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43"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20"/>
          <w:szCs w:val="20"/>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November 30, 2022</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900" w:right="1620" w:hanging="3874"/>
        <w:spacing w:after="0" w:line="423" w:lineRule="auto"/>
        <w:tabs>
          <w:tab w:leader="none" w:pos="458"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______to ______</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1-11869</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FACTSET RESEARCH SYSTEMS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80010</wp:posOffset>
            </wp:positionV>
            <wp:extent cx="141414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25717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tbl>
      <w:tblPr>
        <w:tblLayout w:type="fixed"/>
        <w:tblInd w:w="1240" w:type="dxa"/>
        <w:tblCellMar>
          <w:top w:w="0" w:type="dxa"/>
          <w:left w:w="0" w:type="dxa"/>
          <w:bottom w:w="0" w:type="dxa"/>
          <w:right w:w="0" w:type="dxa"/>
        </w:tblCellMar>
      </w:tblPr>
      <w:tr>
        <w:trPr>
          <w:trHeight w:val="210"/>
        </w:trPr>
        <w:tc>
          <w:tcPr>
            <w:tcW w:w="6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tc>
        <w:tc>
          <w:tcPr>
            <w:tcW w:w="1400" w:type="dxa"/>
            <w:vAlign w:val="bottom"/>
          </w:tcPr>
          <w:p>
            <w:pPr>
              <w:spacing w:after="0"/>
              <w:rPr>
                <w:sz w:val="18"/>
                <w:szCs w:val="18"/>
                <w:color w:val="auto"/>
              </w:rPr>
            </w:pPr>
          </w:p>
        </w:tc>
      </w:tr>
      <w:tr>
        <w:trPr>
          <w:trHeight w:val="258"/>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13-3362547</w:t>
            </w:r>
          </w:p>
        </w:tc>
      </w:tr>
      <w:tr>
        <w:trPr>
          <w:trHeight w:val="180"/>
        </w:trPr>
        <w:tc>
          <w:tcPr>
            <w:tcW w:w="6440" w:type="dxa"/>
            <w:vAlign w:val="bottom"/>
          </w:tcPr>
          <w:p>
            <w:pPr>
              <w:jc w:val="center"/>
              <w:ind w:right="3232"/>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4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60"/>
        </w:trPr>
        <w:tc>
          <w:tcPr>
            <w:tcW w:w="6440" w:type="dxa"/>
            <w:vAlign w:val="bottom"/>
          </w:tcPr>
          <w:p>
            <w:pPr>
              <w:jc w:val="center"/>
              <w:ind w:right="3212"/>
              <w:spacing w:after="0"/>
              <w:rPr>
                <w:sz w:val="20"/>
                <w:szCs w:val="20"/>
                <w:color w:val="auto"/>
              </w:rPr>
            </w:pPr>
            <w:r>
              <w:rPr>
                <w:rFonts w:ascii="Times New Roman" w:cs="Times New Roman" w:eastAsia="Times New Roman" w:hAnsi="Times New Roman"/>
                <w:sz w:val="18"/>
                <w:szCs w:val="18"/>
                <w:b w:val="1"/>
                <w:bCs w:val="1"/>
                <w:color w:val="auto"/>
                <w:w w:val="99"/>
              </w:rPr>
              <w:t>45 Glover Avenue, Norwalk, Connecticut</w:t>
            </w:r>
          </w:p>
        </w:tc>
        <w:tc>
          <w:tcPr>
            <w:tcW w:w="14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06850</w:t>
            </w:r>
          </w:p>
        </w:tc>
      </w:tr>
      <w:tr>
        <w:trPr>
          <w:trHeight w:val="256"/>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810-1000</w:t>
      </w: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 None</w:t>
      </w:r>
    </w:p>
    <w:p>
      <w:pPr>
        <w:spacing w:after="0" w:line="100"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44"/>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FDS</w:t>
            </w: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 LLC</w:t>
            </w:r>
          </w:p>
        </w:tc>
        <w:tc>
          <w:tcPr>
            <w:tcW w:w="0" w:type="dxa"/>
            <w:vAlign w:val="bottom"/>
          </w:tcPr>
          <w:p>
            <w:pPr>
              <w:spacing w:after="0"/>
              <w:rPr>
                <w:sz w:val="1"/>
                <w:szCs w:val="1"/>
                <w:color w:val="auto"/>
              </w:rPr>
            </w:pPr>
          </w:p>
        </w:tc>
      </w:tr>
      <w:tr>
        <w:trPr>
          <w:trHeight w:val="108"/>
        </w:trPr>
        <w:tc>
          <w:tcPr>
            <w:tcW w:w="3260" w:type="dxa"/>
            <w:vAlign w:val="bottom"/>
            <w:tcBorders>
              <w:left w:val="single" w:sz="8" w:color="auto"/>
              <w:right w:val="single" w:sz="8" w:color="auto"/>
            </w:tcBorders>
            <w:vMerge w:val="continue"/>
          </w:tcPr>
          <w:p>
            <w:pPr>
              <w:spacing w:after="0"/>
              <w:rPr>
                <w:sz w:val="9"/>
                <w:szCs w:val="9"/>
                <w:color w:val="auto"/>
              </w:rPr>
            </w:pPr>
          </w:p>
        </w:tc>
        <w:tc>
          <w:tcPr>
            <w:tcW w:w="2960" w:type="dxa"/>
            <w:vAlign w:val="bottom"/>
            <w:tcBorders>
              <w:right w:val="single" w:sz="8" w:color="auto"/>
            </w:tcBorders>
            <w:vMerge w:val="continue"/>
          </w:tcPr>
          <w:p>
            <w:pPr>
              <w:spacing w:after="0"/>
              <w:rPr>
                <w:sz w:val="9"/>
                <w:szCs w:val="9"/>
                <w:color w:val="auto"/>
              </w:rPr>
            </w:pPr>
          </w:p>
        </w:tc>
        <w:tc>
          <w:tcPr>
            <w:tcW w:w="4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bottom w:val="single" w:sz="8" w:color="auto"/>
              <w:right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spacing w:after="0"/>
              <w:rPr>
                <w:sz w:val="12"/>
                <w:szCs w:val="12"/>
                <w:color w:val="auto"/>
              </w:rPr>
            </w:pPr>
          </w:p>
        </w:tc>
        <w:tc>
          <w:tcPr>
            <w:tcW w:w="42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70"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70"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Large accelerated filer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b w:val="1"/>
          <w:bCs w:val="1"/>
          <w:color w:val="auto"/>
        </w:rPr>
        <w:t xml:space="preserve"> Accelerated filer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Non-accelerated filer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Smaller reporting company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Emerging growth company </w:t>
      </w:r>
      <w:r>
        <w:rPr>
          <w:rFonts w:ascii="MS PGothic" w:cs="MS PGothic" w:eastAsia="MS PGothic" w:hAnsi="MS PGothic"/>
          <w:sz w:val="18"/>
          <w:szCs w:val="18"/>
          <w:color w:val="auto"/>
          <w:highlight w:val="black"/>
        </w:rPr>
        <w:t>☐</w:t>
      </w:r>
    </w:p>
    <w:p>
      <w:pPr>
        <w:spacing w:after="0" w:line="92"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3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Wingdings" w:cs="Wingdings" w:eastAsia="Wingdings" w:hAnsi="Wingdings"/>
          <w:sz w:val="18"/>
          <w:szCs w:val="18"/>
          <w:b w:val="1"/>
          <w:bCs w:val="1"/>
          <w:color w:val="auto"/>
        </w:rPr>
        <w:t>x</w:t>
      </w:r>
    </w:p>
    <w:p>
      <w:pPr>
        <w:spacing w:after="0" w:line="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$.01 par value, as of December 27, 2022 was 38,251,828.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6"/>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9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Quarter Ended November 30, 2022</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9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7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9"/>
        </w:trPr>
        <w:tc>
          <w:tcPr>
            <w:tcW w:w="900" w:type="dxa"/>
            <w:vAlign w:val="bottom"/>
            <w:vMerge w:val="continue"/>
          </w:tcPr>
          <w:p>
            <w:pPr>
              <w:spacing w:after="0"/>
              <w:rPr>
                <w:sz w:val="18"/>
                <w:szCs w:val="18"/>
                <w:color w:val="auto"/>
              </w:rPr>
            </w:pPr>
          </w:p>
        </w:tc>
        <w:tc>
          <w:tcPr>
            <w:tcW w:w="97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Financial Statements</w:t>
            </w: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Consolidated Statements of Income for the three months ended November 30, 2022 and 2021</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19"/>
                <w:szCs w:val="19"/>
                <w:color w:val="auto"/>
              </w:rPr>
            </w:pPr>
          </w:p>
        </w:tc>
        <w:tc>
          <w:tcPr>
            <w:tcW w:w="9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three months ended November 30, 2022 and 2021</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Consolidated Balance Sheets at November 30, 2022 and August 31, 2022</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29"/>
        </w:trPr>
        <w:tc>
          <w:tcPr>
            <w:tcW w:w="900" w:type="dxa"/>
            <w:vAlign w:val="bottom"/>
            <w:shd w:val="clear" w:color="auto" w:fill="CCEEFF"/>
          </w:tcPr>
          <w:p>
            <w:pPr>
              <w:spacing w:after="0"/>
              <w:rPr>
                <w:sz w:val="19"/>
                <w:szCs w:val="19"/>
                <w:color w:val="auto"/>
              </w:rPr>
            </w:pPr>
          </w:p>
        </w:tc>
        <w:tc>
          <w:tcPr>
            <w:tcW w:w="9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Consolidated Statements of Cash Flows for the three months ended November 30, 2022 and 2021</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for the three months ended November 30, 2022 and 2021</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29"/>
        </w:trPr>
        <w:tc>
          <w:tcPr>
            <w:tcW w:w="900" w:type="dxa"/>
            <w:vAlign w:val="bottom"/>
            <w:shd w:val="clear" w:color="auto" w:fill="CCEEFF"/>
          </w:tcPr>
          <w:p>
            <w:pPr>
              <w:spacing w:after="0"/>
              <w:rPr>
                <w:sz w:val="19"/>
                <w:szCs w:val="19"/>
                <w:color w:val="auto"/>
              </w:rPr>
            </w:pPr>
          </w:p>
        </w:tc>
        <w:tc>
          <w:tcPr>
            <w:tcW w:w="9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Controls and Procedures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Legal Proceedings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29"/>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Risk Factors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3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29"/>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Mine Safety Disclosures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Information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19"/>
                <w:szCs w:val="19"/>
                <w:color w:val="auto"/>
              </w:rPr>
            </w:pPr>
          </w:p>
        </w:tc>
        <w:tc>
          <w:tcPr>
            <w:tcW w:w="9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Signatures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FactSet Research Systems Inc. and access to its Annual Reports to Stockholders and Securities and Exchange Commission filings, free of charge, please visit FactSet’s website (</w:t>
      </w:r>
      <w:r>
        <w:rPr>
          <w:rFonts w:ascii="Times New Roman" w:cs="Times New Roman" w:eastAsia="Times New Roman" w:hAnsi="Times New Roman"/>
          <w:sz w:val="18"/>
          <w:szCs w:val="18"/>
          <w:u w:val="single" w:color="auto"/>
          <w:color w:val="auto"/>
        </w:rPr>
        <w:t>https://investor.factset.com)</w:t>
      </w:r>
      <w:r>
        <w:rPr>
          <w:rFonts w:ascii="Times New Roman" w:cs="Times New Roman" w:eastAsia="Times New Roman" w:hAnsi="Times New Roman"/>
          <w:sz w:val="18"/>
          <w:szCs w:val="18"/>
          <w:color w:val="auto"/>
        </w:rPr>
        <w:t>. Any information on or linked from the website is not incorporated by reference into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FactSet Research Systems Inc. has made statements under the captions Part I, Item 2.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Part II, Item 1A.</w:t>
      </w:r>
      <w:r>
        <w:rPr>
          <w:rFonts w:ascii="Times New Roman" w:cs="Times New Roman" w:eastAsia="Times New Roman" w:hAnsi="Times New Roman"/>
          <w:sz w:val="18"/>
          <w:szCs w:val="18"/>
          <w:i w:val="1"/>
          <w:iCs w:val="1"/>
          <w:color w:val="auto"/>
        </w:rPr>
        <w:t xml:space="preserve"> Risk Factors, </w:t>
      </w:r>
      <w:r>
        <w:rPr>
          <w:rFonts w:ascii="Times New Roman" w:cs="Times New Roman" w:eastAsia="Times New Roman" w:hAnsi="Times New Roman"/>
          <w:sz w:val="18"/>
          <w:szCs w:val="18"/>
          <w:color w:val="auto"/>
        </w:rPr>
        <w:t>and in other sections of this Quarterly Report on Form 10-Q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30, 2022, that are forward-looking statements. In some cases, you can identify these statements by words such as "may," "might," "will," "should," "expects," "plans," "anticipates," "believes," "estimates," "intends," "projects," "indicates," "predicts," "potential," or "continue," and similar expressions.</w:t>
      </w:r>
    </w:p>
    <w:p>
      <w:pPr>
        <w:spacing w:after="0" w:line="3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These forward-looking statements, which are subject to risks, uncertainties and assumptions about us, may include projections of our future financial performance and anticipated trends in our business. These statements are only predictions based on our current expectations, estimates, forecasts and projections about future events. These statements are not guarantees of future performance and involve a number of risks, uncertainties and assumptions. There are many important factors that could cause our actual results, level of activity, performance or achievements to differ materially from the results, level of activity, performance or achievements expressed or implied by the forward-looking statements, including the numerous factors discussed under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fiscal year ended August 31, 2022, that should be specifically considered.</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speak only as of the date they are made, and actual results could differ materially from those anticipated in forward-looking statements. We do not intend, and are under no duty, to update any of these forward-looking statements after the date of this Quarterly Report on Form 10-Q to reflect actual results, future events or circumstances, or revised expectations.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5"/>
          <w:szCs w:val="25"/>
          <w:b w:val="1"/>
          <w:bCs w:val="1"/>
          <w:color w:val="auto"/>
        </w:rPr>
        <w:t>PART I – FINANCIAL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 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6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960" w:type="dxa"/>
            <w:vAlign w:val="bottom"/>
          </w:tcPr>
          <w:p>
            <w:pPr>
              <w:spacing w:after="0"/>
              <w:rPr>
                <w:sz w:val="20"/>
                <w:szCs w:val="20"/>
                <w:color w:val="auto"/>
              </w:rPr>
            </w:pPr>
          </w:p>
        </w:tc>
      </w:tr>
      <w:tr>
        <w:trPr>
          <w:trHeight w:val="270"/>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504,815</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424,725</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227,042</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207,131</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105,596</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91,238</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 impairments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r>
      <w:tr>
        <w:trPr>
          <w:trHeight w:val="22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332,920</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302,064</w:t>
            </w:r>
          </w:p>
        </w:tc>
      </w:tr>
      <w:tr>
        <w:trPr>
          <w:trHeight w:val="257"/>
        </w:trPr>
        <w:tc>
          <w:tcPr>
            <w:tcW w:w="8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30"/>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171,895</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122,661</w:t>
            </w:r>
          </w:p>
        </w:tc>
      </w:tr>
      <w:tr>
        <w:trPr>
          <w:trHeight w:val="270"/>
        </w:trPr>
        <w:tc>
          <w:tcPr>
            <w:tcW w:w="8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(14,332)</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23"/>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(14,010)</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w:t>
            </w:r>
          </w:p>
        </w:tc>
      </w:tr>
      <w:tr>
        <w:trPr>
          <w:trHeight w:val="270"/>
        </w:trPr>
        <w:tc>
          <w:tcPr>
            <w:tcW w:w="8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157,885</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119,930</w:t>
            </w:r>
          </w:p>
        </w:tc>
      </w:tr>
      <w:tr>
        <w:trPr>
          <w:trHeight w:val="270"/>
        </w:trPr>
        <w:tc>
          <w:tcPr>
            <w:tcW w:w="8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21,087</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12,283</w:t>
            </w:r>
          </w:p>
        </w:tc>
      </w:tr>
      <w:tr>
        <w:trPr>
          <w:trHeight w:val="22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136,798</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107,647</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38,122</w:t>
            </w: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weighted average common shares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38,914</w:t>
            </w: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38,641</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 – Unaudited</w:t>
      </w: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unrealized gain (loss) on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 gains (losses)</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November 30,</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r>
      <w:tr>
        <w:trPr>
          <w:trHeight w:val="228"/>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136,798</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107,647</w:t>
            </w:r>
          </w:p>
        </w:tc>
      </w:tr>
      <w:tr>
        <w:trPr>
          <w:trHeight w:val="706"/>
        </w:trPr>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340" w:type="dxa"/>
            <w:vAlign w:val="bottom"/>
          </w:tcPr>
          <w:p>
            <w:pPr>
              <w:spacing w:after="0"/>
              <w:rPr>
                <w:sz w:val="24"/>
                <w:szCs w:val="24"/>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(18,713)</w:t>
            </w:r>
          </w:p>
        </w:tc>
      </w:tr>
      <w:tr>
        <w:trPr>
          <w:trHeight w:val="223"/>
        </w:trPr>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15,324</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(18,708)</w:t>
            </w:r>
          </w:p>
        </w:tc>
      </w:tr>
      <w:tr>
        <w:trPr>
          <w:trHeight w:val="223"/>
        </w:trPr>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152,122</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88,939</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40" w:space="720"/>
            <w:col w:w="2880"/>
          </w:cols>
          <w:pgMar w:left="320" w:top="121" w:right="339" w:bottom="1440" w:gutter="0" w:footer="0" w:header="0"/>
        </w:sectPr>
      </w:pPr>
    </w:p>
    <w:p>
      <w:pPr>
        <w:spacing w:after="0" w:line="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November 30, 2022 and 2021, the net unrealized gain on cash flow hedges were net of a tax expense of $2,264 thousand and $1 thousand, respectively.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747"/>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8"/>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 Unaudited</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97"/>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November 30, 2022</w:t>
            </w: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August 31, 2022</w:t>
            </w: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437,142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503,273</w:t>
            </w:r>
          </w:p>
        </w:tc>
      </w:tr>
      <w:tr>
        <w:trPr>
          <w:trHeight w:val="23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32,572</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33,219</w:t>
            </w:r>
          </w:p>
        </w:tc>
      </w:tr>
      <w:tr>
        <w:trPr>
          <w:trHeight w:val="270"/>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 of reserves of $3,532 at November 30, 2022 and $2,776 at August 31, 2022</w:t>
            </w:r>
          </w:p>
        </w:tc>
        <w:tc>
          <w:tcPr>
            <w:tcW w:w="18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227,489</w:t>
            </w:r>
          </w:p>
        </w:tc>
        <w:tc>
          <w:tcPr>
            <w:tcW w:w="2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204,102</w:t>
            </w:r>
          </w:p>
        </w:tc>
      </w:tr>
      <w:tr>
        <w:trPr>
          <w:trHeight w:val="229"/>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taxes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32,178</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38,539</w:t>
            </w:r>
          </w:p>
        </w:tc>
      </w:tr>
      <w:tr>
        <w:trPr>
          <w:trHeight w:val="230"/>
        </w:trPr>
        <w:tc>
          <w:tcPr>
            <w:tcW w:w="7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99,826</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91,214</w:t>
            </w:r>
          </w:p>
        </w:tc>
      </w:tr>
      <w:tr>
        <w:trPr>
          <w:trHeight w:val="223"/>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829,207</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870,347</w:t>
            </w:r>
          </w:p>
        </w:tc>
      </w:tr>
      <w:tr>
        <w:trPr>
          <w:trHeight w:val="230"/>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equipment and leasehold improvements, net</w:t>
            </w:r>
          </w:p>
        </w:tc>
        <w:tc>
          <w:tcPr>
            <w:tcW w:w="1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79,296</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80,843</w:t>
            </w:r>
          </w:p>
        </w:tc>
      </w:tr>
      <w:tr>
        <w:trPr>
          <w:trHeight w:val="229"/>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974,846</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965,848</w:t>
            </w:r>
          </w:p>
        </w:tc>
      </w:tr>
      <w:tr>
        <w:trPr>
          <w:trHeight w:val="229"/>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1,882,983</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1,895,909</w:t>
            </w:r>
          </w:p>
        </w:tc>
      </w:tr>
      <w:tr>
        <w:trPr>
          <w:trHeight w:val="23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taxes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3,653</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r>
      <w:tr>
        <w:trPr>
          <w:trHeight w:val="229"/>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1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154,125</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159,458</w:t>
            </w:r>
          </w:p>
        </w:tc>
      </w:tr>
      <w:tr>
        <w:trPr>
          <w:trHeight w:val="229"/>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53,430</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38,747</w:t>
            </w:r>
          </w:p>
        </w:tc>
      </w:tr>
      <w:tr>
        <w:trPr>
          <w:trHeight w:val="223"/>
        </w:trPr>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3,977,540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4,014,305</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7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9"/>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122,710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108,395</w:t>
            </w:r>
          </w:p>
        </w:tc>
      </w:tr>
      <w:tr>
        <w:trPr>
          <w:trHeight w:val="23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28,970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29,185</w:t>
            </w:r>
          </w:p>
        </w:tc>
      </w:tr>
      <w:tr>
        <w:trPr>
          <w:trHeight w:val="229"/>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48,067</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114,808</w:t>
            </w:r>
          </w:p>
        </w:tc>
      </w:tr>
      <w:tr>
        <w:trPr>
          <w:trHeight w:val="27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revenues</w:t>
            </w: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150,264</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152,039</w:t>
            </w:r>
          </w:p>
        </w:tc>
      </w:tr>
      <w:tr>
        <w:trPr>
          <w:trHeight w:val="229"/>
        </w:trPr>
        <w:tc>
          <w:tcPr>
            <w:tcW w:w="7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Dividends payable</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34,010</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33,860</w:t>
            </w:r>
          </w:p>
        </w:tc>
      </w:tr>
      <w:tr>
        <w:trPr>
          <w:trHeight w:val="223"/>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384,021</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438,287</w:t>
            </w:r>
          </w:p>
        </w:tc>
      </w:tr>
      <w:tr>
        <w:trPr>
          <w:trHeight w:val="229"/>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1,859,096</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1,982,424</w:t>
            </w:r>
          </w:p>
        </w:tc>
      </w:tr>
      <w:tr>
        <w:trPr>
          <w:trHeight w:val="23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taxes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10,991</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w:t>
            </w:r>
          </w:p>
        </w:tc>
      </w:tr>
      <w:tr>
        <w:trPr>
          <w:trHeight w:val="270"/>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revenues, non-current</w:t>
            </w:r>
          </w:p>
        </w:tc>
        <w:tc>
          <w:tcPr>
            <w:tcW w:w="18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8,697</w:t>
            </w:r>
          </w:p>
        </w:tc>
        <w:tc>
          <w:tcPr>
            <w:tcW w:w="2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w:t>
            </w:r>
          </w:p>
        </w:tc>
      </w:tr>
      <w:tr>
        <w:trPr>
          <w:trHeight w:val="23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 payable</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35,334</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34,211</w:t>
            </w:r>
          </w:p>
        </w:tc>
      </w:tr>
      <w:tr>
        <w:trPr>
          <w:trHeight w:val="230"/>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201,964</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208,622</w:t>
            </w:r>
          </w:p>
        </w:tc>
      </w:tr>
      <w:tr>
        <w:trPr>
          <w:trHeight w:val="27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3,309</w:t>
            </w:r>
          </w:p>
        </w:tc>
        <w:tc>
          <w:tcPr>
            <w:tcW w:w="2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r>
      <w:tr>
        <w:trPr>
          <w:trHeight w:val="223"/>
        </w:trPr>
        <w:tc>
          <w:tcPr>
            <w:tcW w:w="764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2,503,412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2,682,897</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7"/>
        </w:trPr>
        <w:tc>
          <w:tcPr>
            <w:tcW w:w="7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Commitments and contingencies (see Note 12)</w:t>
            </w:r>
          </w:p>
        </w:tc>
        <w:tc>
          <w:tcPr>
            <w:tcW w:w="1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none issued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6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$0.01 par value; 150,000,000 shares authorized; 41,848,430 and 41,653,218 shares</w:t>
            </w:r>
          </w:p>
        </w:tc>
        <w:tc>
          <w:tcPr>
            <w:tcW w:w="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4"/>
        </w:trPr>
        <w:tc>
          <w:tcPr>
            <w:tcW w:w="76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issued; 38,214,108 and 38,044,756 shares outstanding at November 30, 2022 and August 31, 2022,</w:t>
            </w:r>
          </w:p>
        </w:tc>
        <w:tc>
          <w:tcPr>
            <w:tcW w:w="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4"/>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418</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29"/>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1,225,947</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1,190,350</w:t>
            </w:r>
          </w:p>
        </w:tc>
      </w:tr>
      <w:tr>
        <w:trPr>
          <w:trHeight w:val="175"/>
        </w:trPr>
        <w:tc>
          <w:tcPr>
            <w:tcW w:w="76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Treasury stock, at cost: 3,634,322 and 3,608,462 shares at November 30, 2022 and August 31, 2022,</w:t>
            </w:r>
          </w:p>
        </w:tc>
        <w:tc>
          <w:tcPr>
            <w:tcW w:w="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43"/>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(941,705)</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(930,715)</w:t>
            </w:r>
          </w:p>
        </w:tc>
      </w:tr>
      <w:tr>
        <w:trPr>
          <w:trHeight w:val="229"/>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1,282,527</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1,179,739</w:t>
            </w:r>
          </w:p>
        </w:tc>
      </w:tr>
      <w:tr>
        <w:trPr>
          <w:trHeight w:val="230"/>
        </w:trPr>
        <w:tc>
          <w:tcPr>
            <w:tcW w:w="7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(93,059)</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(108,383)</w:t>
            </w:r>
          </w:p>
        </w:tc>
      </w:tr>
      <w:tr>
        <w:trPr>
          <w:trHeight w:val="223"/>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1,474,128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1,331,408</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3,977,540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4,014,305</w:t>
            </w:r>
          </w:p>
        </w:tc>
      </w:tr>
      <w:tr>
        <w:trPr>
          <w:trHeight w:val="21"/>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747"/>
        </w:trPr>
        <w:tc>
          <w:tcPr>
            <w:tcW w:w="8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8"/>
        </w:trPr>
        <w:tc>
          <w:tcPr>
            <w:tcW w:w="8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Unaudited</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2"/>
        </w:trPr>
        <w:tc>
          <w:tcPr>
            <w:tcW w:w="8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2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29"/>
        </w:trPr>
        <w:tc>
          <w:tcPr>
            <w:tcW w:w="8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860" w:type="dxa"/>
            <w:vAlign w:val="bottom"/>
          </w:tcPr>
          <w:p>
            <w:pPr>
              <w:spacing w:after="0"/>
              <w:rPr>
                <w:sz w:val="19"/>
                <w:szCs w:val="19"/>
                <w:color w:val="auto"/>
              </w:rPr>
            </w:pPr>
          </w:p>
        </w:tc>
      </w:tr>
      <w:tr>
        <w:trPr>
          <w:trHeight w:val="234"/>
        </w:trPr>
        <w:tc>
          <w:tcPr>
            <w:tcW w:w="8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136,798</w:t>
            </w:r>
          </w:p>
        </w:tc>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107,647</w:t>
            </w: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25,997</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17,208</w:t>
            </w:r>
          </w:p>
        </w:tc>
      </w:tr>
      <w:tr>
        <w:trPr>
          <w:trHeight w:val="230"/>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lease right-of-use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9,697</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11,117</w:t>
            </w:r>
          </w:p>
        </w:tc>
      </w:tr>
      <w:tr>
        <w:trPr>
          <w:trHeight w:val="229"/>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12,175</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10,401</w:t>
            </w:r>
          </w:p>
        </w:tc>
      </w:tr>
      <w:tr>
        <w:trPr>
          <w:trHeight w:val="230"/>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(745)</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r>
      <w:tr>
        <w:trPr>
          <w:trHeight w:val="229"/>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impairments</w:t>
            </w:r>
          </w:p>
        </w:tc>
        <w:tc>
          <w:tcPr>
            <w:tcW w:w="3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282</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w:t>
            </w: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 of reserves</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(23,647)</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w:t>
            </w:r>
          </w:p>
        </w:tc>
      </w:tr>
      <w:tr>
        <w:trPr>
          <w:trHeight w:val="229"/>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18,744</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20,702</w:t>
            </w:r>
          </w:p>
        </w:tc>
      </w:tr>
      <w:tr>
        <w:trPr>
          <w:trHeight w:val="229"/>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(66,796)</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(53,457)</w:t>
            </w:r>
          </w:p>
        </w:tc>
      </w:tr>
      <w:tr>
        <w:trPr>
          <w:trHeight w:val="230"/>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(10,248)</w:t>
            </w:r>
          </w:p>
        </w:tc>
      </w:tr>
      <w:tr>
        <w:trPr>
          <w:trHeight w:val="229"/>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payable, net of prepaid taxes</w:t>
            </w:r>
          </w:p>
        </w:tc>
        <w:tc>
          <w:tcPr>
            <w:tcW w:w="3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6,995</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(9,524)</w:t>
            </w:r>
          </w:p>
        </w:tc>
      </w:tr>
      <w:tr>
        <w:trPr>
          <w:trHeight w:val="230"/>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 net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(11,237)</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(11,992)</w:t>
            </w:r>
          </w:p>
        </w:tc>
      </w:tr>
      <w:tr>
        <w:trPr>
          <w:trHeight w:val="229"/>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(1,337)</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(8,870)</w:t>
            </w:r>
          </w:p>
        </w:tc>
      </w:tr>
      <w:tr>
        <w:trPr>
          <w:trHeight w:val="223"/>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106,636</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72,918</w:t>
            </w:r>
          </w:p>
        </w:tc>
      </w:tr>
      <w:tr>
        <w:trPr>
          <w:trHeight w:val="216"/>
        </w:trPr>
        <w:tc>
          <w:tcPr>
            <w:tcW w:w="8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equipment, leasehold improvements and internal-use software</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(17,960)</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(8,583)</w:t>
            </w: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businesses, net of cash and cash equivalents acquired</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(50,018)</w:t>
            </w:r>
          </w:p>
        </w:tc>
      </w:tr>
      <w:tr>
        <w:trPr>
          <w:trHeight w:val="229"/>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(9,892)</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3"/>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(27,852)</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(58,851)</w:t>
            </w:r>
          </w:p>
        </w:tc>
      </w:tr>
      <w:tr>
        <w:trPr>
          <w:trHeight w:val="216"/>
        </w:trPr>
        <w:tc>
          <w:tcPr>
            <w:tcW w:w="8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debt</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(125,000)</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payments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(33,665)</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(30,656)</w:t>
            </w: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3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23,423</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35,763</w:t>
            </w: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(18,639)</w:t>
            </w:r>
          </w:p>
        </w:tc>
      </w:tr>
      <w:tr>
        <w:trPr>
          <w:trHeight w:val="230"/>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(10,990)</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w:t>
            </w:r>
          </w:p>
        </w:tc>
      </w:tr>
      <w:tr>
        <w:trPr>
          <w:trHeight w:val="223"/>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 (used in) financing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(146,232)</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(16,482)</w:t>
            </w:r>
          </w:p>
        </w:tc>
      </w:tr>
      <w:tr>
        <w:trPr>
          <w:trHeight w:val="256"/>
        </w:trPr>
        <w:tc>
          <w:tcPr>
            <w:tcW w:w="8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1,317</w:t>
            </w: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w:t>
            </w: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(66,131)</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(7,965)</w:t>
            </w: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503,273</w:t>
            </w: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681,865</w:t>
            </w: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437,142</w:t>
            </w:r>
          </w:p>
        </w:tc>
        <w:tc>
          <w:tcPr>
            <w:tcW w:w="5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673,900</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the Three Months Ended November 30,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20" w:type="dxa"/>
            <w:vAlign w:val="bottom"/>
          </w:tcPr>
          <w:p>
            <w:pPr>
              <w:spacing w:after="0"/>
              <w:rPr>
                <w:sz w:val="14"/>
                <w:szCs w:val="14"/>
                <w:color w:val="auto"/>
              </w:rPr>
            </w:pPr>
          </w:p>
        </w:tc>
        <w:tc>
          <w:tcPr>
            <w:tcW w:w="2120" w:type="dxa"/>
            <w:vAlign w:val="bottom"/>
            <w:gridSpan w:val="3"/>
          </w:tcPr>
          <w:p>
            <w:pPr>
              <w:jc w:val="right"/>
              <w:ind w:right="657"/>
              <w:spacing w:after="0"/>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tcPr>
          <w:p>
            <w:pPr>
              <w:spacing w:after="0"/>
              <w:rPr>
                <w:sz w:val="14"/>
                <w:szCs w:val="14"/>
                <w:color w:val="auto"/>
              </w:rPr>
            </w:pP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3"/>
                <w:szCs w:val="13"/>
                <w:color w:val="auto"/>
              </w:rPr>
              <w:t>Additional</w:t>
            </w:r>
          </w:p>
        </w:tc>
        <w:tc>
          <w:tcPr>
            <w:tcW w:w="2240" w:type="dxa"/>
            <w:vAlign w:val="bottom"/>
            <w:gridSpan w:val="3"/>
          </w:tcPr>
          <w:p>
            <w:pPr>
              <w:jc w:val="right"/>
              <w:ind w:right="677"/>
              <w:spacing w:after="0"/>
              <w:rPr>
                <w:sz w:val="20"/>
                <w:szCs w:val="20"/>
                <w:color w:val="auto"/>
              </w:rPr>
            </w:pPr>
            <w:r>
              <w:rPr>
                <w:rFonts w:ascii="Times New Roman" w:cs="Times New Roman" w:eastAsia="Times New Roman" w:hAnsi="Times New Roman"/>
                <w:sz w:val="13"/>
                <w:szCs w:val="13"/>
                <w:color w:val="auto"/>
              </w:rPr>
              <w:t>Treasury Stock</w:t>
            </w:r>
          </w:p>
        </w:tc>
        <w:tc>
          <w:tcPr>
            <w:tcW w:w="160" w:type="dxa"/>
            <w:vAlign w:val="bottom"/>
          </w:tcPr>
          <w:p>
            <w:pPr>
              <w:spacing w:after="0"/>
              <w:rPr>
                <w:sz w:val="14"/>
                <w:szCs w:val="14"/>
                <w:color w:val="auto"/>
              </w:rPr>
            </w:pPr>
          </w:p>
        </w:tc>
        <w:tc>
          <w:tcPr>
            <w:tcW w:w="840" w:type="dxa"/>
            <w:vAlign w:val="bottom"/>
            <w:vMerge w:val="restart"/>
          </w:tcPr>
          <w:p>
            <w:pPr>
              <w:jc w:val="right"/>
              <w:ind w:right="237"/>
              <w:spacing w:after="0"/>
              <w:rPr>
                <w:sz w:val="20"/>
                <w:szCs w:val="20"/>
                <w:color w:val="auto"/>
              </w:rPr>
            </w:pPr>
            <w:r>
              <w:rPr>
                <w:rFonts w:ascii="Times New Roman" w:cs="Times New Roman" w:eastAsia="Times New Roman" w:hAnsi="Times New Roman"/>
                <w:sz w:val="13"/>
                <w:szCs w:val="13"/>
                <w:color w:val="auto"/>
              </w:rPr>
              <w:t>Retained</w:t>
            </w:r>
          </w:p>
        </w:tc>
        <w:tc>
          <w:tcPr>
            <w:tcW w:w="220" w:type="dxa"/>
            <w:vAlign w:val="bottom"/>
          </w:tcPr>
          <w:p>
            <w:pPr>
              <w:spacing w:after="0"/>
              <w:rPr>
                <w:sz w:val="14"/>
                <w:szCs w:val="14"/>
                <w:color w:val="auto"/>
              </w:rPr>
            </w:pPr>
          </w:p>
        </w:tc>
        <w:tc>
          <w:tcPr>
            <w:tcW w:w="1000" w:type="dxa"/>
            <w:vAlign w:val="bottom"/>
          </w:tcPr>
          <w:p>
            <w:pPr>
              <w:jc w:val="right"/>
              <w:ind w:right="199"/>
              <w:spacing w:after="0"/>
              <w:rPr>
                <w:sz w:val="20"/>
                <w:szCs w:val="20"/>
                <w:color w:val="auto"/>
              </w:rPr>
            </w:pPr>
            <w:r>
              <w:rPr>
                <w:rFonts w:ascii="Times New Roman" w:cs="Times New Roman" w:eastAsia="Times New Roman" w:hAnsi="Times New Roman"/>
                <w:sz w:val="13"/>
                <w:szCs w:val="13"/>
                <w:color w:val="auto"/>
              </w:rPr>
              <w:t>Accumulated</w:t>
            </w:r>
          </w:p>
        </w:tc>
        <w:tc>
          <w:tcPr>
            <w:tcW w:w="200" w:type="dxa"/>
            <w:vAlign w:val="bottom"/>
          </w:tcPr>
          <w:p>
            <w:pPr>
              <w:spacing w:after="0"/>
              <w:rPr>
                <w:sz w:val="14"/>
                <w:szCs w:val="14"/>
                <w:color w:val="auto"/>
              </w:rPr>
            </w:pPr>
          </w:p>
        </w:tc>
        <w:tc>
          <w:tcPr>
            <w:tcW w:w="960" w:type="dxa"/>
            <w:vAlign w:val="bottom"/>
          </w:tcPr>
          <w:p>
            <w:pPr>
              <w:jc w:val="center"/>
              <w:ind w:right="78"/>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54"/>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share data)</w:t>
            </w: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restart"/>
          </w:tcPr>
          <w:p>
            <w:pPr>
              <w:jc w:val="right"/>
              <w:ind w:right="239"/>
              <w:spacing w:after="0" w:line="95" w:lineRule="exact"/>
              <w:rPr>
                <w:sz w:val="20"/>
                <w:szCs w:val="20"/>
                <w:color w:val="auto"/>
              </w:rPr>
            </w:pPr>
            <w:r>
              <w:rPr>
                <w:rFonts w:ascii="Times New Roman" w:cs="Times New Roman" w:eastAsia="Times New Roman" w:hAnsi="Times New Roman"/>
                <w:sz w:val="10"/>
                <w:szCs w:val="10"/>
                <w:color w:val="auto"/>
              </w:rPr>
              <w:t>Paid-in</w:t>
            </w:r>
          </w:p>
        </w:tc>
        <w:tc>
          <w:tcPr>
            <w:tcW w:w="1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vMerge w:val="restart"/>
          </w:tcPr>
          <w:p>
            <w:pPr>
              <w:jc w:val="right"/>
              <w:ind w:right="399"/>
              <w:spacing w:after="0" w:line="95" w:lineRule="exact"/>
              <w:rPr>
                <w:sz w:val="20"/>
                <w:szCs w:val="20"/>
                <w:color w:val="auto"/>
              </w:rPr>
            </w:pPr>
            <w:r>
              <w:rPr>
                <w:rFonts w:ascii="Times New Roman" w:cs="Times New Roman" w:eastAsia="Times New Roman" w:hAnsi="Times New Roman"/>
                <w:sz w:val="10"/>
                <w:szCs w:val="10"/>
                <w:color w:val="auto"/>
              </w:rPr>
              <w:t>Other</w:t>
            </w:r>
          </w:p>
        </w:tc>
        <w:tc>
          <w:tcPr>
            <w:tcW w:w="200" w:type="dxa"/>
            <w:vAlign w:val="bottom"/>
          </w:tcPr>
          <w:p>
            <w:pPr>
              <w:spacing w:after="0"/>
              <w:rPr>
                <w:sz w:val="4"/>
                <w:szCs w:val="4"/>
                <w:color w:val="auto"/>
              </w:rPr>
            </w:pPr>
          </w:p>
        </w:tc>
        <w:tc>
          <w:tcPr>
            <w:tcW w:w="960" w:type="dxa"/>
            <w:vAlign w:val="bottom"/>
            <w:vMerge w:val="restart"/>
          </w:tcPr>
          <w:p>
            <w:pPr>
              <w:jc w:val="center"/>
              <w:ind w:right="78"/>
              <w:spacing w:after="0" w:line="95" w:lineRule="exact"/>
              <w:rPr>
                <w:sz w:val="20"/>
                <w:szCs w:val="20"/>
                <w:color w:val="auto"/>
              </w:rPr>
            </w:pPr>
            <w:r>
              <w:rPr>
                <w:rFonts w:ascii="Times New Roman" w:cs="Times New Roman" w:eastAsia="Times New Roman" w:hAnsi="Times New Roman"/>
                <w:sz w:val="10"/>
                <w:szCs w:val="10"/>
                <w:color w:val="auto"/>
              </w:rPr>
              <w:t>Stockholders’</w:t>
            </w:r>
          </w:p>
        </w:tc>
        <w:tc>
          <w:tcPr>
            <w:tcW w:w="0" w:type="dxa"/>
            <w:vAlign w:val="bottom"/>
          </w:tcPr>
          <w:p>
            <w:pPr>
              <w:spacing w:after="0"/>
              <w:rPr>
                <w:sz w:val="1"/>
                <w:szCs w:val="1"/>
                <w:color w:val="auto"/>
              </w:rPr>
            </w:pPr>
          </w:p>
        </w:tc>
      </w:tr>
      <w:tr>
        <w:trPr>
          <w:trHeight w:val="20"/>
        </w:trPr>
        <w:tc>
          <w:tcPr>
            <w:tcW w:w="2520" w:type="dxa"/>
            <w:vAlign w:val="bottom"/>
            <w:vMerge w:val="continue"/>
          </w:tcPr>
          <w:p>
            <w:pPr>
              <w:spacing w:after="0" w:line="20" w:lineRule="exact"/>
              <w:rPr>
                <w:sz w:val="1"/>
                <w:szCs w:val="1"/>
                <w:color w:val="auto"/>
              </w:rPr>
            </w:pPr>
          </w:p>
        </w:tc>
        <w:tc>
          <w:tcPr>
            <w:tcW w:w="1000" w:type="dxa"/>
            <w:vAlign w:val="bottom"/>
            <w:vMerge w:val="restart"/>
          </w:tcPr>
          <w:p>
            <w:pPr>
              <w:jc w:val="right"/>
              <w:ind w:right="297"/>
              <w:spacing w:after="0"/>
              <w:rPr>
                <w:sz w:val="20"/>
                <w:szCs w:val="20"/>
                <w:color w:val="auto"/>
              </w:rPr>
            </w:pPr>
            <w:r>
              <w:rPr>
                <w:rFonts w:ascii="Times New Roman" w:cs="Times New Roman" w:eastAsia="Times New Roman" w:hAnsi="Times New Roman"/>
                <w:sz w:val="13"/>
                <w:szCs w:val="13"/>
                <w:color w:val="auto"/>
              </w:rPr>
              <w:t>Shares</w:t>
            </w:r>
          </w:p>
        </w:tc>
        <w:tc>
          <w:tcPr>
            <w:tcW w:w="220" w:type="dxa"/>
            <w:vAlign w:val="bottom"/>
          </w:tcPr>
          <w:p>
            <w:pPr>
              <w:spacing w:after="0" w:line="20" w:lineRule="exact"/>
              <w:rPr>
                <w:sz w:val="1"/>
                <w:szCs w:val="1"/>
                <w:color w:val="auto"/>
              </w:rPr>
            </w:pPr>
          </w:p>
        </w:tc>
        <w:tc>
          <w:tcPr>
            <w:tcW w:w="90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color w:val="auto"/>
              </w:rPr>
              <w:t>Par Value</w:t>
            </w:r>
          </w:p>
        </w:tc>
        <w:tc>
          <w:tcPr>
            <w:tcW w:w="14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110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color w:val="auto"/>
              </w:rPr>
              <w:t>Shares</w:t>
            </w:r>
          </w:p>
        </w:tc>
        <w:tc>
          <w:tcPr>
            <w:tcW w:w="240" w:type="dxa"/>
            <w:vAlign w:val="bottom"/>
          </w:tcPr>
          <w:p>
            <w:pPr>
              <w:spacing w:after="0" w:line="20" w:lineRule="exact"/>
              <w:rPr>
                <w:sz w:val="1"/>
                <w:szCs w:val="1"/>
                <w:color w:val="auto"/>
              </w:rPr>
            </w:pPr>
          </w:p>
        </w:tc>
        <w:tc>
          <w:tcPr>
            <w:tcW w:w="900" w:type="dxa"/>
            <w:vAlign w:val="bottom"/>
            <w:vMerge w:val="restart"/>
          </w:tcPr>
          <w:p>
            <w:pPr>
              <w:jc w:val="right"/>
              <w:ind w:right="317"/>
              <w:spacing w:after="0"/>
              <w:rPr>
                <w:sz w:val="20"/>
                <w:szCs w:val="20"/>
                <w:color w:val="auto"/>
              </w:rPr>
            </w:pPr>
            <w:r>
              <w:rPr>
                <w:rFonts w:ascii="Times New Roman" w:cs="Times New Roman" w:eastAsia="Times New Roman" w:hAnsi="Times New Roman"/>
                <w:sz w:val="13"/>
                <w:szCs w:val="13"/>
                <w:color w:val="auto"/>
              </w:rPr>
              <w:t>Amount</w:t>
            </w:r>
          </w:p>
        </w:tc>
        <w:tc>
          <w:tcPr>
            <w:tcW w:w="16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52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3"/>
                <w:szCs w:val="13"/>
                <w:color w:val="auto"/>
              </w:rPr>
              <w:t>Capital</w:t>
            </w:r>
          </w:p>
        </w:tc>
        <w:tc>
          <w:tcPr>
            <w:tcW w:w="11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Earnings</w:t>
            </w:r>
          </w:p>
        </w:tc>
        <w:tc>
          <w:tcPr>
            <w:tcW w:w="12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Comprehensive Loss</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75"/>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August 31, 2022</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41,653,218</w:t>
            </w:r>
          </w:p>
        </w:tc>
        <w:tc>
          <w:tcPr>
            <w:tcW w:w="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1,190,350</w:t>
            </w: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3,608,462</w:t>
            </w:r>
          </w:p>
        </w:tc>
        <w:tc>
          <w:tcPr>
            <w:tcW w:w="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(930,715)</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1,179,739</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rPr>
              <w:t>(108,383)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1,331,408</w:t>
            </w:r>
          </w:p>
        </w:tc>
        <w:tc>
          <w:tcPr>
            <w:tcW w:w="0" w:type="dxa"/>
            <w:vAlign w:val="bottom"/>
          </w:tcPr>
          <w:p>
            <w:pPr>
              <w:spacing w:after="0"/>
              <w:rPr>
                <w:sz w:val="1"/>
                <w:szCs w:val="1"/>
                <w:color w:val="auto"/>
              </w:rPr>
            </w:pPr>
          </w:p>
        </w:tc>
      </w:tr>
      <w:tr>
        <w:trPr>
          <w:trHeight w:val="170"/>
        </w:trPr>
        <w:tc>
          <w:tcPr>
            <w:tcW w:w="2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136,798</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136,798</w:t>
            </w: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15,324</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15,324</w:t>
            </w:r>
          </w:p>
        </w:tc>
        <w:tc>
          <w:tcPr>
            <w:tcW w:w="0" w:type="dxa"/>
            <w:vAlign w:val="bottom"/>
          </w:tcPr>
          <w:p>
            <w:pPr>
              <w:spacing w:after="0"/>
              <w:rPr>
                <w:sz w:val="1"/>
                <w:szCs w:val="1"/>
                <w:color w:val="auto"/>
              </w:rPr>
            </w:pPr>
          </w:p>
        </w:tc>
      </w:tr>
      <w:tr>
        <w:trPr>
          <w:trHeight w:val="130"/>
        </w:trPr>
        <w:tc>
          <w:tcPr>
            <w:tcW w:w="252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Common stock issued for employee stock</w:t>
            </w:r>
          </w:p>
        </w:tc>
        <w:tc>
          <w:tcPr>
            <w:tcW w:w="10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131,423</w:t>
            </w:r>
          </w:p>
        </w:tc>
        <w:tc>
          <w:tcPr>
            <w:tcW w:w="220" w:type="dxa"/>
            <w:vAlign w:val="bottom"/>
          </w:tcPr>
          <w:p>
            <w:pPr>
              <w:spacing w:after="0"/>
              <w:rPr>
                <w:sz w:val="11"/>
                <w:szCs w:val="11"/>
                <w:color w:val="auto"/>
              </w:rPr>
            </w:pPr>
          </w:p>
        </w:tc>
        <w:tc>
          <w:tcPr>
            <w:tcW w:w="9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23,422</w:t>
            </w:r>
          </w:p>
        </w:tc>
        <w:tc>
          <w:tcPr>
            <w:tcW w:w="11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410</w:t>
            </w:r>
          </w:p>
        </w:tc>
        <w:tc>
          <w:tcPr>
            <w:tcW w:w="240" w:type="dxa"/>
            <w:vAlign w:val="bottom"/>
          </w:tcPr>
          <w:p>
            <w:pPr>
              <w:spacing w:after="0"/>
              <w:rPr>
                <w:sz w:val="11"/>
                <w:szCs w:val="11"/>
                <w:color w:val="auto"/>
              </w:rPr>
            </w:pPr>
          </w:p>
        </w:tc>
        <w:tc>
          <w:tcPr>
            <w:tcW w:w="90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(166)</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23,257</w:t>
            </w:r>
          </w:p>
        </w:tc>
        <w:tc>
          <w:tcPr>
            <w:tcW w:w="0" w:type="dxa"/>
            <w:vAlign w:val="bottom"/>
          </w:tcPr>
          <w:p>
            <w:pPr>
              <w:spacing w:after="0"/>
              <w:rPr>
                <w:sz w:val="1"/>
                <w:szCs w:val="1"/>
                <w:color w:val="auto"/>
              </w:rPr>
            </w:pPr>
          </w:p>
        </w:tc>
      </w:tr>
      <w:tr>
        <w:trPr>
          <w:trHeight w:val="97"/>
        </w:trPr>
        <w:tc>
          <w:tcPr>
            <w:tcW w:w="25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plans</w:t>
            </w:r>
          </w:p>
        </w:tc>
        <w:tc>
          <w:tcPr>
            <w:tcW w:w="1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52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Vesting of restricted stock</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63,789</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25,450</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(10,824)</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(10,824)</w:t>
            </w:r>
          </w:p>
        </w:tc>
        <w:tc>
          <w:tcPr>
            <w:tcW w:w="0" w:type="dxa"/>
            <w:vAlign w:val="bottom"/>
          </w:tcPr>
          <w:p>
            <w:pPr>
              <w:spacing w:after="0"/>
              <w:rPr>
                <w:sz w:val="1"/>
                <w:szCs w:val="1"/>
                <w:color w:val="auto"/>
              </w:rPr>
            </w:pPr>
          </w:p>
        </w:tc>
      </w:tr>
      <w:tr>
        <w:trPr>
          <w:trHeight w:val="170"/>
        </w:trPr>
        <w:tc>
          <w:tcPr>
            <w:tcW w:w="2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12,175</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12,175</w:t>
            </w:r>
          </w:p>
        </w:tc>
        <w:tc>
          <w:tcPr>
            <w:tcW w:w="0" w:type="dxa"/>
            <w:vAlign w:val="bottom"/>
          </w:tcPr>
          <w:p>
            <w:pPr>
              <w:spacing w:after="0"/>
              <w:rPr>
                <w:sz w:val="1"/>
                <w:szCs w:val="1"/>
                <w:color w:val="auto"/>
              </w:rPr>
            </w:pPr>
          </w:p>
        </w:tc>
      </w:tr>
      <w:tr>
        <w:trPr>
          <w:trHeight w:val="170"/>
        </w:trPr>
        <w:tc>
          <w:tcPr>
            <w:tcW w:w="2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Dividends declared</w:t>
            </w: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(34,010)</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(34,010)</w:t>
            </w:r>
          </w:p>
        </w:tc>
        <w:tc>
          <w:tcPr>
            <w:tcW w:w="0" w:type="dxa"/>
            <w:vAlign w:val="bottom"/>
          </w:tcPr>
          <w:p>
            <w:pPr>
              <w:spacing w:after="0"/>
              <w:rPr>
                <w:sz w:val="1"/>
                <w:szCs w:val="1"/>
                <w:color w:val="auto"/>
              </w:rPr>
            </w:pPr>
          </w:p>
        </w:tc>
      </w:tr>
      <w:tr>
        <w:trPr>
          <w:trHeight w:val="194"/>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November 30, 2022</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41,848,430</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1,225,947</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3,634,322</w:t>
            </w:r>
          </w:p>
        </w:tc>
        <w:tc>
          <w:tcPr>
            <w:tcW w:w="2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(941,705)</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1,282,527</w:t>
            </w:r>
          </w:p>
        </w:tc>
        <w:tc>
          <w:tcPr>
            <w:tcW w:w="2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rPr>
              <w:t>(93,059)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1,474,128</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the Three Months Ended November 30, 2021</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159"/>
              <w:spacing w:after="0"/>
              <w:rPr>
                <w:sz w:val="20"/>
                <w:szCs w:val="20"/>
                <w:color w:val="auto"/>
              </w:rPr>
            </w:pPr>
            <w:r>
              <w:rPr>
                <w:rFonts w:ascii="Times New Roman" w:cs="Times New Roman" w:eastAsia="Times New Roman" w:hAnsi="Times New Roman"/>
                <w:sz w:val="13"/>
                <w:szCs w:val="13"/>
                <w:color w:val="auto"/>
              </w:rPr>
              <w:t>Additional</w:t>
            </w: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3"/>
                <w:szCs w:val="13"/>
                <w:color w:val="auto"/>
                <w:w w:val="98"/>
              </w:rPr>
              <w:t>Accumulated</w:t>
            </w:r>
          </w:p>
        </w:tc>
        <w:tc>
          <w:tcPr>
            <w:tcW w:w="200" w:type="dxa"/>
            <w:vAlign w:val="bottom"/>
          </w:tcPr>
          <w:p>
            <w:pPr>
              <w:spacing w:after="0"/>
              <w:rPr>
                <w:sz w:val="12"/>
                <w:szCs w:val="12"/>
                <w:color w:val="auto"/>
              </w:rPr>
            </w:pPr>
          </w:p>
        </w:tc>
        <w:tc>
          <w:tcPr>
            <w:tcW w:w="960" w:type="dxa"/>
            <w:vAlign w:val="bottom"/>
            <w:vMerge w:val="restart"/>
          </w:tcPr>
          <w:p>
            <w:pPr>
              <w:jc w:val="center"/>
              <w:ind w:right="78"/>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53"/>
        </w:trPr>
        <w:tc>
          <w:tcPr>
            <w:tcW w:w="2520" w:type="dxa"/>
            <w:vAlign w:val="bottom"/>
          </w:tcPr>
          <w:p>
            <w:pPr>
              <w:spacing w:after="0"/>
              <w:rPr>
                <w:sz w:val="13"/>
                <w:szCs w:val="13"/>
                <w:color w:val="auto"/>
              </w:rPr>
            </w:pPr>
          </w:p>
        </w:tc>
        <w:tc>
          <w:tcPr>
            <w:tcW w:w="2120" w:type="dxa"/>
            <w:vAlign w:val="bottom"/>
            <w:gridSpan w:val="3"/>
          </w:tcPr>
          <w:p>
            <w:pPr>
              <w:jc w:val="right"/>
              <w:ind w:right="657"/>
              <w:spacing w:after="0"/>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240" w:type="dxa"/>
            <w:vAlign w:val="bottom"/>
            <w:gridSpan w:val="3"/>
          </w:tcPr>
          <w:p>
            <w:pPr>
              <w:jc w:val="right"/>
              <w:ind w:right="677"/>
              <w:spacing w:after="0"/>
              <w:rPr>
                <w:sz w:val="20"/>
                <w:szCs w:val="20"/>
                <w:color w:val="auto"/>
              </w:rPr>
            </w:pPr>
            <w:r>
              <w:rPr>
                <w:rFonts w:ascii="Times New Roman" w:cs="Times New Roman" w:eastAsia="Times New Roman" w:hAnsi="Times New Roman"/>
                <w:sz w:val="13"/>
                <w:szCs w:val="13"/>
                <w:color w:val="auto"/>
              </w:rPr>
              <w:t>Treasury Stock</w:t>
            </w:r>
          </w:p>
        </w:tc>
        <w:tc>
          <w:tcPr>
            <w:tcW w:w="160" w:type="dxa"/>
            <w:vAlign w:val="bottom"/>
          </w:tcPr>
          <w:p>
            <w:pPr>
              <w:spacing w:after="0"/>
              <w:rPr>
                <w:sz w:val="13"/>
                <w:szCs w:val="13"/>
                <w:color w:val="auto"/>
              </w:rPr>
            </w:pP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Retained</w:t>
            </w:r>
          </w:p>
        </w:tc>
        <w:tc>
          <w:tcPr>
            <w:tcW w:w="180" w:type="dxa"/>
            <w:vAlign w:val="bottom"/>
          </w:tcPr>
          <w:p>
            <w:pPr>
              <w:spacing w:after="0"/>
              <w:rPr>
                <w:sz w:val="13"/>
                <w:szCs w:val="13"/>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3"/>
                <w:szCs w:val="13"/>
                <w:color w:val="auto"/>
                <w:w w:val="94"/>
              </w:rPr>
              <w:t>Other</w:t>
            </w:r>
          </w:p>
        </w:tc>
        <w:tc>
          <w:tcPr>
            <w:tcW w:w="2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share data)</w:t>
            </w: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restart"/>
          </w:tcPr>
          <w:p>
            <w:pPr>
              <w:jc w:val="right"/>
              <w:ind w:right="239"/>
              <w:spacing w:after="0" w:line="95" w:lineRule="exact"/>
              <w:rPr>
                <w:sz w:val="20"/>
                <w:szCs w:val="20"/>
                <w:color w:val="auto"/>
              </w:rPr>
            </w:pPr>
            <w:r>
              <w:rPr>
                <w:rFonts w:ascii="Times New Roman" w:cs="Times New Roman" w:eastAsia="Times New Roman" w:hAnsi="Times New Roman"/>
                <w:sz w:val="10"/>
                <w:szCs w:val="10"/>
                <w:color w:val="auto"/>
              </w:rPr>
              <w:t>Paid-in</w:t>
            </w:r>
          </w:p>
        </w:tc>
        <w:tc>
          <w:tcPr>
            <w:tcW w:w="1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restart"/>
          </w:tcPr>
          <w:p>
            <w:pPr>
              <w:jc w:val="center"/>
              <w:ind w:right="99"/>
              <w:spacing w:after="0" w:line="95" w:lineRule="exact"/>
              <w:rPr>
                <w:sz w:val="20"/>
                <w:szCs w:val="20"/>
                <w:color w:val="auto"/>
              </w:rPr>
            </w:pPr>
            <w:r>
              <w:rPr>
                <w:rFonts w:ascii="Times New Roman" w:cs="Times New Roman" w:eastAsia="Times New Roman" w:hAnsi="Times New Roman"/>
                <w:sz w:val="10"/>
                <w:szCs w:val="10"/>
                <w:color w:val="auto"/>
              </w:rPr>
              <w:t>Comprehensive</w:t>
            </w:r>
          </w:p>
        </w:tc>
        <w:tc>
          <w:tcPr>
            <w:tcW w:w="200" w:type="dxa"/>
            <w:vAlign w:val="bottom"/>
          </w:tcPr>
          <w:p>
            <w:pPr>
              <w:spacing w:after="0"/>
              <w:rPr>
                <w:sz w:val="4"/>
                <w:szCs w:val="4"/>
                <w:color w:val="auto"/>
              </w:rPr>
            </w:pPr>
          </w:p>
        </w:tc>
        <w:tc>
          <w:tcPr>
            <w:tcW w:w="960" w:type="dxa"/>
            <w:vAlign w:val="bottom"/>
            <w:vMerge w:val="restart"/>
          </w:tcPr>
          <w:p>
            <w:pPr>
              <w:jc w:val="center"/>
              <w:ind w:right="78"/>
              <w:spacing w:after="0" w:line="95" w:lineRule="exact"/>
              <w:rPr>
                <w:sz w:val="20"/>
                <w:szCs w:val="20"/>
                <w:color w:val="auto"/>
              </w:rPr>
            </w:pPr>
            <w:r>
              <w:rPr>
                <w:rFonts w:ascii="Times New Roman" w:cs="Times New Roman" w:eastAsia="Times New Roman" w:hAnsi="Times New Roman"/>
                <w:sz w:val="10"/>
                <w:szCs w:val="10"/>
                <w:color w:val="auto"/>
              </w:rPr>
              <w:t>Stockholders’</w:t>
            </w:r>
          </w:p>
        </w:tc>
        <w:tc>
          <w:tcPr>
            <w:tcW w:w="0" w:type="dxa"/>
            <w:vAlign w:val="bottom"/>
          </w:tcPr>
          <w:p>
            <w:pPr>
              <w:spacing w:after="0"/>
              <w:rPr>
                <w:sz w:val="1"/>
                <w:szCs w:val="1"/>
                <w:color w:val="auto"/>
              </w:rPr>
            </w:pPr>
          </w:p>
        </w:tc>
      </w:tr>
      <w:tr>
        <w:trPr>
          <w:trHeight w:val="21"/>
        </w:trPr>
        <w:tc>
          <w:tcPr>
            <w:tcW w:w="2520" w:type="dxa"/>
            <w:vAlign w:val="bottom"/>
            <w:vMerge w:val="continue"/>
          </w:tcPr>
          <w:p>
            <w:pPr>
              <w:spacing w:after="0" w:line="20" w:lineRule="exact"/>
              <w:rPr>
                <w:sz w:val="1"/>
                <w:szCs w:val="1"/>
                <w:color w:val="auto"/>
              </w:rPr>
            </w:pPr>
          </w:p>
        </w:tc>
        <w:tc>
          <w:tcPr>
            <w:tcW w:w="1000" w:type="dxa"/>
            <w:vAlign w:val="bottom"/>
            <w:vMerge w:val="restart"/>
          </w:tcPr>
          <w:p>
            <w:pPr>
              <w:jc w:val="right"/>
              <w:ind w:right="297"/>
              <w:spacing w:after="0"/>
              <w:rPr>
                <w:sz w:val="20"/>
                <w:szCs w:val="20"/>
                <w:color w:val="auto"/>
              </w:rPr>
            </w:pPr>
            <w:r>
              <w:rPr>
                <w:rFonts w:ascii="Times New Roman" w:cs="Times New Roman" w:eastAsia="Times New Roman" w:hAnsi="Times New Roman"/>
                <w:sz w:val="13"/>
                <w:szCs w:val="13"/>
                <w:color w:val="auto"/>
              </w:rPr>
              <w:t>Shares</w:t>
            </w:r>
          </w:p>
        </w:tc>
        <w:tc>
          <w:tcPr>
            <w:tcW w:w="220" w:type="dxa"/>
            <w:vAlign w:val="bottom"/>
          </w:tcPr>
          <w:p>
            <w:pPr>
              <w:spacing w:after="0" w:line="20" w:lineRule="exact"/>
              <w:rPr>
                <w:sz w:val="1"/>
                <w:szCs w:val="1"/>
                <w:color w:val="auto"/>
              </w:rPr>
            </w:pPr>
          </w:p>
        </w:tc>
        <w:tc>
          <w:tcPr>
            <w:tcW w:w="90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color w:val="auto"/>
              </w:rPr>
              <w:t>Par Value</w:t>
            </w:r>
          </w:p>
        </w:tc>
        <w:tc>
          <w:tcPr>
            <w:tcW w:w="14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110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color w:val="auto"/>
              </w:rPr>
              <w:t>Shares</w:t>
            </w:r>
          </w:p>
        </w:tc>
        <w:tc>
          <w:tcPr>
            <w:tcW w:w="240" w:type="dxa"/>
            <w:vAlign w:val="bottom"/>
          </w:tcPr>
          <w:p>
            <w:pPr>
              <w:spacing w:after="0" w:line="20" w:lineRule="exact"/>
              <w:rPr>
                <w:sz w:val="1"/>
                <w:szCs w:val="1"/>
                <w:color w:val="auto"/>
              </w:rPr>
            </w:pPr>
          </w:p>
        </w:tc>
        <w:tc>
          <w:tcPr>
            <w:tcW w:w="900" w:type="dxa"/>
            <w:vAlign w:val="bottom"/>
            <w:vMerge w:val="restart"/>
          </w:tcPr>
          <w:p>
            <w:pPr>
              <w:jc w:val="right"/>
              <w:ind w:right="317"/>
              <w:spacing w:after="0"/>
              <w:rPr>
                <w:sz w:val="20"/>
                <w:szCs w:val="20"/>
                <w:color w:val="auto"/>
              </w:rPr>
            </w:pPr>
            <w:r>
              <w:rPr>
                <w:rFonts w:ascii="Times New Roman" w:cs="Times New Roman" w:eastAsia="Times New Roman" w:hAnsi="Times New Roman"/>
                <w:sz w:val="13"/>
                <w:szCs w:val="13"/>
                <w:color w:val="auto"/>
              </w:rPr>
              <w:t>Amount</w:t>
            </w:r>
          </w:p>
        </w:tc>
        <w:tc>
          <w:tcPr>
            <w:tcW w:w="16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52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3"/>
                <w:szCs w:val="13"/>
                <w:color w:val="auto"/>
              </w:rPr>
              <w:t>Capital</w:t>
            </w:r>
          </w:p>
        </w:tc>
        <w:tc>
          <w:tcPr>
            <w:tcW w:w="11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Earnings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3"/>
                <w:szCs w:val="13"/>
                <w:color w:val="auto"/>
                <w:w w:val="97"/>
              </w:rPr>
              <w:t>Loss</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75"/>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August 31, 2021</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41,163,192</w:t>
            </w:r>
          </w:p>
        </w:tc>
        <w:tc>
          <w:tcPr>
            <w:tcW w:w="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1,048,305</w:t>
            </w: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3,547,773</w:t>
            </w:r>
          </w:p>
        </w:tc>
        <w:tc>
          <w:tcPr>
            <w:tcW w:w="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(905,917)</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912,515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rPr>
              <w:t>(38,962)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1,016,353</w:t>
            </w:r>
          </w:p>
        </w:tc>
        <w:tc>
          <w:tcPr>
            <w:tcW w:w="0" w:type="dxa"/>
            <w:vAlign w:val="bottom"/>
          </w:tcPr>
          <w:p>
            <w:pPr>
              <w:spacing w:after="0"/>
              <w:rPr>
                <w:sz w:val="1"/>
                <w:szCs w:val="1"/>
                <w:color w:val="auto"/>
              </w:rPr>
            </w:pPr>
          </w:p>
        </w:tc>
      </w:tr>
      <w:tr>
        <w:trPr>
          <w:trHeight w:val="170"/>
        </w:trPr>
        <w:tc>
          <w:tcPr>
            <w:tcW w:w="2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107,647</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107,647</w:t>
            </w: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rPr>
              <w:t>(18,708)</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(18,708)</w:t>
            </w:r>
          </w:p>
        </w:tc>
        <w:tc>
          <w:tcPr>
            <w:tcW w:w="0" w:type="dxa"/>
            <w:vAlign w:val="bottom"/>
          </w:tcPr>
          <w:p>
            <w:pPr>
              <w:spacing w:after="0"/>
              <w:rPr>
                <w:sz w:val="1"/>
                <w:szCs w:val="1"/>
                <w:color w:val="auto"/>
              </w:rPr>
            </w:pPr>
          </w:p>
        </w:tc>
      </w:tr>
      <w:tr>
        <w:trPr>
          <w:trHeight w:val="130"/>
        </w:trPr>
        <w:tc>
          <w:tcPr>
            <w:tcW w:w="252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Common stock issued for employee stock</w:t>
            </w:r>
          </w:p>
        </w:tc>
        <w:tc>
          <w:tcPr>
            <w:tcW w:w="10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192,349</w:t>
            </w:r>
          </w:p>
        </w:tc>
        <w:tc>
          <w:tcPr>
            <w:tcW w:w="220" w:type="dxa"/>
            <w:vAlign w:val="bottom"/>
          </w:tcPr>
          <w:p>
            <w:pPr>
              <w:spacing w:after="0"/>
              <w:rPr>
                <w:sz w:val="11"/>
                <w:szCs w:val="11"/>
                <w:color w:val="auto"/>
              </w:rPr>
            </w:pPr>
          </w:p>
        </w:tc>
        <w:tc>
          <w:tcPr>
            <w:tcW w:w="9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35,761</w:t>
            </w: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35,763</w:t>
            </w:r>
          </w:p>
        </w:tc>
        <w:tc>
          <w:tcPr>
            <w:tcW w:w="0" w:type="dxa"/>
            <w:vAlign w:val="bottom"/>
          </w:tcPr>
          <w:p>
            <w:pPr>
              <w:spacing w:after="0"/>
              <w:rPr>
                <w:sz w:val="1"/>
                <w:szCs w:val="1"/>
                <w:color w:val="auto"/>
              </w:rPr>
            </w:pPr>
          </w:p>
        </w:tc>
      </w:tr>
      <w:tr>
        <w:trPr>
          <w:trHeight w:val="97"/>
        </w:trPr>
        <w:tc>
          <w:tcPr>
            <w:tcW w:w="25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plans</w:t>
            </w:r>
          </w:p>
        </w:tc>
        <w:tc>
          <w:tcPr>
            <w:tcW w:w="1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52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Vesting of restricted stock</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17,349</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6,747</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(2,949)</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(2,949)</w:t>
            </w:r>
          </w:p>
        </w:tc>
        <w:tc>
          <w:tcPr>
            <w:tcW w:w="0" w:type="dxa"/>
            <w:vAlign w:val="bottom"/>
          </w:tcPr>
          <w:p>
            <w:pPr>
              <w:spacing w:after="0"/>
              <w:rPr>
                <w:sz w:val="1"/>
                <w:szCs w:val="1"/>
                <w:color w:val="auto"/>
              </w:rPr>
            </w:pPr>
          </w:p>
        </w:tc>
      </w:tr>
      <w:tr>
        <w:trPr>
          <w:trHeight w:val="170"/>
        </w:trPr>
        <w:tc>
          <w:tcPr>
            <w:tcW w:w="2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46,200</w:t>
            </w:r>
          </w:p>
        </w:tc>
        <w:tc>
          <w:tcPr>
            <w:tcW w:w="24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(18,639)</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(18,639)</w:t>
            </w: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10,401</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10,401</w:t>
            </w:r>
          </w:p>
        </w:tc>
        <w:tc>
          <w:tcPr>
            <w:tcW w:w="0" w:type="dxa"/>
            <w:vAlign w:val="bottom"/>
          </w:tcPr>
          <w:p>
            <w:pPr>
              <w:spacing w:after="0"/>
              <w:rPr>
                <w:sz w:val="1"/>
                <w:szCs w:val="1"/>
                <w:color w:val="auto"/>
              </w:rPr>
            </w:pPr>
          </w:p>
        </w:tc>
      </w:tr>
      <w:tr>
        <w:trPr>
          <w:trHeight w:val="170"/>
        </w:trPr>
        <w:tc>
          <w:tcPr>
            <w:tcW w:w="2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Dividends declared</w:t>
            </w: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rPr>
              <w:t>(30,973)</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(30,973)</w:t>
            </w:r>
          </w:p>
        </w:tc>
        <w:tc>
          <w:tcPr>
            <w:tcW w:w="0" w:type="dxa"/>
            <w:vAlign w:val="bottom"/>
          </w:tcPr>
          <w:p>
            <w:pPr>
              <w:spacing w:after="0"/>
              <w:rPr>
                <w:sz w:val="1"/>
                <w:szCs w:val="1"/>
                <w:color w:val="auto"/>
              </w:rPr>
            </w:pPr>
          </w:p>
        </w:tc>
      </w:tr>
      <w:tr>
        <w:trPr>
          <w:trHeight w:val="194"/>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November 30, 2021</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41,372,890</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414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1,094,467</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3,600,720</w:t>
            </w:r>
          </w:p>
        </w:tc>
        <w:tc>
          <w:tcPr>
            <w:tcW w:w="2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(927,505)</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989,189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rPr>
              <w:t>(57,670)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1,098,895</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FactSet Research Systems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1</w:t>
            </w:r>
          </w:p>
        </w:tc>
        <w:tc>
          <w:tcPr>
            <w:tcW w:w="1340" w:type="dxa"/>
            <w:vAlign w:val="bottom"/>
            <w:gridSpan w:val="2"/>
            <w:shd w:val="clear" w:color="auto" w:fill="CCEEFF"/>
          </w:tcPr>
          <w:p>
            <w:pPr>
              <w:spacing w:after="0"/>
              <w:rPr>
                <w:sz w:val="16"/>
                <w:szCs w:val="16"/>
                <w:color w:val="auto"/>
              </w:rPr>
            </w:pP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Description of Business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2</w:t>
            </w:r>
          </w:p>
        </w:tc>
        <w:tc>
          <w:tcPr>
            <w:tcW w:w="1340" w:type="dxa"/>
            <w:vAlign w:val="bottom"/>
            <w:gridSpan w:val="2"/>
          </w:tcPr>
          <w:p>
            <w:pPr>
              <w:spacing w:after="0"/>
              <w:rPr>
                <w:sz w:val="16"/>
                <w:szCs w:val="16"/>
                <w:color w:val="auto"/>
              </w:rPr>
            </w:pP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w w:val="99"/>
              </w:rPr>
              <w:t>Summary of Significant Accounting Policies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3</w:t>
            </w:r>
          </w:p>
        </w:tc>
        <w:tc>
          <w:tcPr>
            <w:tcW w:w="1340" w:type="dxa"/>
            <w:vAlign w:val="bottom"/>
            <w:gridSpan w:val="2"/>
            <w:shd w:val="clear" w:color="auto" w:fill="CCEEFF"/>
          </w:tcPr>
          <w:p>
            <w:pPr>
              <w:spacing w:after="0"/>
              <w:rPr>
                <w:sz w:val="16"/>
                <w:szCs w:val="16"/>
                <w:color w:val="auto"/>
              </w:rPr>
            </w:pP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Revenue Recognition</w:t>
            </w:r>
          </w:p>
        </w:tc>
        <w:tc>
          <w:tcPr>
            <w:tcW w:w="49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4</w:t>
            </w:r>
          </w:p>
        </w:tc>
        <w:tc>
          <w:tcPr>
            <w:tcW w:w="1340" w:type="dxa"/>
            <w:vAlign w:val="bottom"/>
            <w:gridSpan w:val="2"/>
          </w:tcPr>
          <w:p>
            <w:pPr>
              <w:spacing w:after="0"/>
              <w:rPr>
                <w:sz w:val="16"/>
                <w:szCs w:val="16"/>
                <w:color w:val="auto"/>
              </w:rPr>
            </w:pP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Fair Value Measures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5</w:t>
            </w:r>
          </w:p>
        </w:tc>
        <w:tc>
          <w:tcPr>
            <w:tcW w:w="1340" w:type="dxa"/>
            <w:vAlign w:val="bottom"/>
            <w:gridSpan w:val="2"/>
            <w:shd w:val="clear" w:color="auto" w:fill="CCEEFF"/>
          </w:tcPr>
          <w:p>
            <w:pPr>
              <w:spacing w:after="0"/>
              <w:rPr>
                <w:sz w:val="16"/>
                <w:szCs w:val="16"/>
                <w:color w:val="auto"/>
              </w:rPr>
            </w:pP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Derivative Instruments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15</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6</w:t>
            </w:r>
          </w:p>
        </w:tc>
        <w:tc>
          <w:tcPr>
            <w:tcW w:w="1340" w:type="dxa"/>
            <w:vAlign w:val="bottom"/>
            <w:gridSpan w:val="2"/>
          </w:tcPr>
          <w:p>
            <w:pPr>
              <w:spacing w:after="0"/>
              <w:rPr>
                <w:sz w:val="16"/>
                <w:szCs w:val="16"/>
                <w:color w:val="auto"/>
              </w:rPr>
            </w:pP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Acquisitions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7</w:t>
            </w:r>
          </w:p>
        </w:tc>
        <w:tc>
          <w:tcPr>
            <w:tcW w:w="1340" w:type="dxa"/>
            <w:vAlign w:val="bottom"/>
            <w:gridSpan w:val="2"/>
            <w:shd w:val="clear" w:color="auto" w:fill="CCEEFF"/>
          </w:tcPr>
          <w:p>
            <w:pPr>
              <w:spacing w:after="0"/>
              <w:rPr>
                <w:sz w:val="16"/>
                <w:szCs w:val="16"/>
                <w:color w:val="auto"/>
              </w:rPr>
            </w:pP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Goodwill</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8</w:t>
            </w:r>
          </w:p>
        </w:tc>
        <w:tc>
          <w:tcPr>
            <w:tcW w:w="1340" w:type="dxa"/>
            <w:vAlign w:val="bottom"/>
            <w:gridSpan w:val="2"/>
          </w:tcPr>
          <w:p>
            <w:pPr>
              <w:spacing w:after="0"/>
              <w:rPr>
                <w:sz w:val="16"/>
                <w:szCs w:val="16"/>
                <w:color w:val="auto"/>
              </w:rPr>
            </w:pP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Intangible Assets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9</w:t>
            </w:r>
          </w:p>
        </w:tc>
        <w:tc>
          <w:tcPr>
            <w:tcW w:w="1340" w:type="dxa"/>
            <w:vAlign w:val="bottom"/>
            <w:gridSpan w:val="2"/>
            <w:shd w:val="clear" w:color="auto" w:fill="CCEEFF"/>
          </w:tcPr>
          <w:p>
            <w:pPr>
              <w:spacing w:after="0"/>
              <w:rPr>
                <w:sz w:val="16"/>
                <w:szCs w:val="16"/>
                <w:color w:val="auto"/>
              </w:rPr>
            </w:pP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Income Taxes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19</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10</w:t>
            </w: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Leases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11</w:t>
            </w: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Debt</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12</w:t>
            </w: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Commitments and Contingencies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13</w:t>
            </w: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Stockholders' Equity</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14</w:t>
            </w: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Earnings Per Share</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15</w:t>
            </w: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Stock-Based Compensation</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16</w:t>
            </w: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Segment Information</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6"/>
                <w:szCs w:val="16"/>
                <w:color w:val="auto"/>
              </w:rPr>
            </w:pPr>
          </w:p>
        </w:tc>
      </w:tr>
      <w:tr>
        <w:trPr>
          <w:trHeight w:val="885"/>
        </w:trPr>
        <w:tc>
          <w:tcPr>
            <w:tcW w:w="2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Borders>
              <w:top w:val="single" w:sz="8" w:color="0000FF"/>
            </w:tcBorders>
            <w:gridSpan w:val="10"/>
          </w:tcPr>
          <w:p>
            <w:pPr>
              <w:spacing w:after="0"/>
              <w:rPr>
                <w:sz w:val="24"/>
                <w:szCs w:val="24"/>
                <w:color w:val="auto"/>
              </w:rPr>
            </w:pPr>
          </w:p>
        </w:tc>
        <w:tc>
          <w:tcPr>
            <w:tcW w:w="168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color w:val="auto"/>
              </w:rPr>
              <w:t>9</w:t>
            </w:r>
          </w:p>
        </w:tc>
        <w:tc>
          <w:tcPr>
            <w:tcW w:w="47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DESCRIPTION OF BUSINESS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(collectively, "we," "our," "us," the "Company" or "FactSet") is a global financial data and analytics company with an open and flexible digital platform that drives the investment community to see more, think bigger and do its best work. Our strategy is to build the leading open content and analytics platform to deliver a differentiated advantage for our clients’ success.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45 years, our platform has delivered expansive data, sophisticated analytics and flexible technology used by global financial professionals to power their critical investment workflows. As of November 30, 2022, we had more than 7,600 clients comprised of approximately 181,000 investment professionals, including asset managers, bankers, wealth managers, asset owners, channel partners, hedge funds, corporate users, private equity and venture capital professionals. Our on- and off-platform solutions span the investment lifecycle including investment research, portfolio construction and analysis, trade execution, performance measurement, risk management and reporting. Our revenues are primarily derived from subscriptions to our multi-asset class data and solutions powered by our connected content, referred to as our "content refinery". Our products and services include workstations, portfolio analytics and enterprise solutions.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financial data and market intelligence on securities, companies, industries and people to enable our clients to research investment ideas, as well as to analyze, monitor and manage their portfolios. We combine dedicated client service with open and flexible technology offerings, including a configurable desktop and mobile platform, comprehensive data feeds, cloud-based digital solutions and application programming interfaces ("APIs"). Our CUSIP Global Services ("CGS") business supports security master files relied on by the investment industry for critical front, middle and back office functions.</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drive our business based on our detailed understanding of our clients’ workflows, which helps us to solve their most complex challenges. We provide them with an open digital platform, connected and reliable data, next-generation workflow solutions and highly committed service specialists.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operate our business through three reportable segments ("segments"): the Americas, EMEA and Asia Pacific. Refer to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further discussion. For each of our segments, we execute our strategy through three workflow solutions: Research &amp; Advisory; Analytics &amp; Trading; and Content &amp; Technology Solutions ("CTS").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 business globally and manage our business on a geographic basis. The accompanying unaudited Consolidated Financial Statements and Notes to the Consolidated Financial Statements included in this Quarterly Report on Form 10-Q are prepared in accordance with generally accepted accounting principles in the United States ("GAAP") for interim financial information and the instructions to Form 10-Q and Article 10 of Regulation S-X. Accordingly, they do not include all information and footnotes required by GAAP for annual financial statements; as such, the information in this Quarterly Report on Form 10-Q should be read in conjunction with the audited Consolidated Financial Statements and notes thereto included in our Annual Report on Form 10-K for the fiscal year ended August 31, 2022. The accompanying unaudited Consolidated Financial Statements include our accounts and those of our wholly-owned subsidiaries; all intercompany activity and balances have been eliminated.</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include all normal recurring adjustments, transactions or events discretely impacting the interim periods considered necessary to present fairly our results of operations, financial position, cash flows and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reclassified comparative figures for the three months ended November 30, 2021 related to the impairment of our lease right-of-use ("ROU") assets and property, equipment and leasehold improvements to Asset impairments in the Consolidated Statements of Income and Consolidated Statements of Cash Flows to conform to the current year's presentation. The reclassifications to Asset impairments in the Consolidated Statements of Income was from Selling, general and administrative and Cost of services and in the Consolidated Statements of Cash Flows was from Depreciation and amortization and Lease liabilities, net.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and related disclosures, in conformity with GAAP, required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may have been made in areas that include income taxes, stock-based compensation, goodwill and intangible assets, business combinations, long-lived assets and contingencies. We base our estimates on historical experience and on various other assumptions that are believed to be reasonable, the results of which form the basis for making judgments about the carrying values of assets and liabilities. Actual results could differ from those estimates.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and cash equivalents. We are exposed to credit risk for cash and cash equivalents held in financial institutions in the event of a default, to the extent that such amounts are in excess of applicable insurance limits. We have not experienced any losses from maintaining cash accounts in excess of such limits. We do not believe our concentration of cash and cash equivalents presents a significant credit risk as the counterparties to the instruments consist of multiple high-quality, credit-worthy financial institutions.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accounts receivable credit risk is dependent upon the financial stability of our individual clients; however, this risk is generally limited due to our large and geographically dispersed client base. No single client represented more than 3% of our total subscription revenues in any period presented. The receivable reserve was $3.5 million and $2.8 million as of November 30, 2022 and August 31, 2022, respectively. We do not require collateral from our clients.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Our use of derivative instruments exposes us to credit risk to the extent counterparties may be unable to meet the terms of their agreements. To mitigate credit risk, we limit counterparties to credit-worthy financial institutions and use several institutions to reduce concentration risk. We do not expect any losses as a result of default by our counterparties.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Data Providers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integrate data from various third-party sources into our hosted proprietary data and analytics platform, which our clients access to perform their analyses. As certain data sources have a limited number of suppliers, we make every effort to assure that, where reasonable, alternative sources are available. We are not dependent on any individual third-party data supplier in order to meet the needs of our clients, with only two data suppliers each representing more than 10% of our total data costs for the three months ended November 30,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adopt any new standards or updates issued by the Financial Accounting Standards Board ("FASB") during the three months ended November 30, 2022 that had a material impact on our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Reduction Act of 2022</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("IRA") was signed into law. The IRA contains several revisions to the Internal Revenue Code effective in taxable years beginning after December 31, 2022, including a 15% minimum income tax on certain large corporations and a 1% excise tax on corporate stock repurchases by publicly traded U.S. corporations. We are in the process of evaluating the impact of the IRA. We do not expect this law to have a material impact on our Consolidated Financial Statements.</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pronouncements issued or effective as of November 30, 2022 have had, or are expected to have, a material impact on our Consolidated Financial Statements.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REVENUE RECOGNITION</w:t>
      </w:r>
    </w:p>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derive most of our revenues by providing client access to our multi-asset class solutions powered by our content refinery available over the associated contractual term (referred to as the "Hosted Platform"). The Hosted Platform is a subscription-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service that provides client access to various combinations of products and services including workstations, portfolio analytics and enterprise solutions. In addition, through our CGS platform, we provide subscription access to a database of universally recognized identifiers reflecting differentiating characteristics for issuers and their financial instruments (referred to as the "Identifier Platform").</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determined that the majority of each of our Hosted Platform and Identifier Platform services represents a single performance obligation covering a series of distinct products and services that are substantially the same and that have the same pattern of transfer to the client. We also determined the primary nature of the promise to the client is to provide daily access to each of these data and analytics platforms. These platforms provide integrated financial information, analytical applications and industry-leading service for the investment community. Based on the nature of the services and products offered by these platforms, we apply an output time-based measure of progress as the client is simultaneously receiving and consuming the benefits of the platform. We recognize revenue for the majority of these platforms in accordance with the 'as invoiced' practical expedient as the amount of consideration that we have the right to invoice corresponds directly with the value of our performance to date.</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consider payment terms as a performance obligation for clients with contractual terms that are one year or less and we have elected the practical expedient.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with clients can include certain fulfillment costs, comprised of up-front costs to allow for the delivery of products and services, which are recoverable. Fulfillment costs are recognized as an asset, with the current portion recorded in the Prepaid expenses and other current assets and the non-current portion recorded in Other assets, based on the term of the license period. The fulfillment costs are amortized consistent with the associated revenues for providing the services. There are no significant judgments that would impact the timing of revenue recognition.</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majority of client contracts have a duration of one year or the amount we are entitled to receive corresponds directly with the value of performance obligations completed to date, and therefore, we do not disclose the value of the remaining unsatisfied performance obligations.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disaggregate revenues from contracts with clients by our segments which consist of the Americas, EMEA and Asia Pacific. We believe these segments are reflective of how we manage our business and the markets in which we serve and best depict the nature, amount, timing and uncertainty of revenues and cash flows related to contracts with clients. Segment revenues reflect sales to our clients based on their respective geographic locations. Refer to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further information.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this disaggregation by segment:</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92"/>
        </w:trPr>
        <w:tc>
          <w:tcPr>
            <w:tcW w:w="8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8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1000" w:type="dxa"/>
            <w:vAlign w:val="bottom"/>
          </w:tcPr>
          <w:p>
            <w:pPr>
              <w:spacing w:after="0"/>
              <w:rPr>
                <w:sz w:val="20"/>
                <w:szCs w:val="20"/>
                <w:color w:val="auto"/>
              </w:rPr>
            </w:pPr>
          </w:p>
        </w:tc>
      </w:tr>
      <w:tr>
        <w:trPr>
          <w:trHeight w:val="270"/>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6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323,367</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266,913</w:t>
            </w: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130,738</w:t>
            </w: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115,003</w:t>
            </w: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50,710</w:t>
            </w: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42,809</w:t>
            </w:r>
          </w:p>
        </w:tc>
      </w:tr>
      <w:tr>
        <w:trPr>
          <w:trHeight w:val="228"/>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504,815</w:t>
            </w:r>
          </w:p>
        </w:tc>
        <w:tc>
          <w:tcPr>
            <w:tcW w:w="6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424,725</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FAIR VALUE MEASURES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We consider the principal or most advantageous market in which we would transact and consider assumptions that market participants would use when pricing the asset or liability.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guidance for fair value measurements establishes a fair value hierarchy that requires an entity to maximize the use of observable inputs and minimize the use of unobservable inputs when measuring fair value. There are three levels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inputs that may be used to measure fair value based on the reliability of inputs. A financial instrument’s categorization within the fair value hierarchy is based upon the lowest level of input that is significant to the fair value measurement. Our assessment of the significance of a particular input to the fair value measurement requires judgment and may affect its placement within the fair value hierarchy levels. We have categorized our cash equivalents, investments and derivatives within the fair value hierarchy as follows: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Level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quoted prices in active markets for identical assets or liabilities.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Level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inputs other than quoted prices that are observable for the asset or liability such as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3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Level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unobservable inputs to the valuation methodology that are significant to the measurement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 assets or liabilities.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Assets and Liabilities Measured at Fair Value on a Recurring Basis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show, by level within the fair value hierarchy, our assets and liabilities that are measured at fair value on a recurring basis as of November 30, 2022 and August 31, 2022. We did not have any transfers between levels of fair value measurements during the periods presented below. We held no Level 3 assets or liabilities measured at fair value on a recurring basis as of November 30, 2022 and August 31,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00" w:type="dxa"/>
            <w:vAlign w:val="bottom"/>
            <w:gridSpan w:val="5"/>
          </w:tcPr>
          <w:p>
            <w:pPr>
              <w:jc w:val="center"/>
              <w:ind w:right="210"/>
              <w:spacing w:after="0"/>
              <w:rPr>
                <w:sz w:val="20"/>
                <w:szCs w:val="20"/>
                <w:color w:val="auto"/>
              </w:rPr>
            </w:pPr>
            <w:r>
              <w:rPr>
                <w:rFonts w:ascii="Times New Roman" w:cs="Times New Roman" w:eastAsia="Times New Roman" w:hAnsi="Times New Roman"/>
                <w:sz w:val="18"/>
                <w:szCs w:val="18"/>
                <w:color w:val="auto"/>
                <w:w w:val="99"/>
              </w:rPr>
              <w:t>Fair Value Measurements at November 30, 2022</w:t>
            </w:r>
          </w:p>
        </w:tc>
      </w:tr>
      <w:tr>
        <w:trPr>
          <w:trHeight w:val="270"/>
        </w:trPr>
        <w:tc>
          <w:tcPr>
            <w:tcW w:w="20" w:type="dxa"/>
            <w:vAlign w:val="bottom"/>
            <w:tcBorders>
              <w:bottom w:val="single" w:sz="8" w:color="auto"/>
            </w:tcBorders>
          </w:tcPr>
          <w:p>
            <w:pPr>
              <w:spacing w:after="0"/>
              <w:rPr>
                <w:sz w:val="23"/>
                <w:szCs w:val="23"/>
                <w:color w:val="auto"/>
              </w:rPr>
            </w:pPr>
          </w:p>
        </w:tc>
        <w:tc>
          <w:tcPr>
            <w:tcW w:w="64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Level 1</w:t>
            </w: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Level 2</w:t>
            </w:r>
          </w:p>
        </w:tc>
        <w:tc>
          <w:tcPr>
            <w:tcW w:w="4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7"/>
              </w:rPr>
              <w:t>Assets</w:t>
            </w:r>
          </w:p>
        </w:tc>
        <w:tc>
          <w:tcPr>
            <w:tcW w:w="594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money market funds</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210,951</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210,951</w:t>
            </w:r>
          </w:p>
        </w:tc>
      </w:tr>
      <w:tr>
        <w:trPr>
          <w:trHeight w:val="270"/>
        </w:trPr>
        <w:tc>
          <w:tcPr>
            <w:tcW w:w="20" w:type="dxa"/>
            <w:vAlign w:val="bottom"/>
            <w:shd w:val="clear" w:color="auto" w:fill="CCEEFF"/>
          </w:tcPr>
          <w:p>
            <w:pPr>
              <w:spacing w:after="0"/>
              <w:rPr>
                <w:sz w:val="23"/>
                <w:szCs w:val="23"/>
                <w:color w:val="auto"/>
              </w:rPr>
            </w:pPr>
          </w:p>
        </w:tc>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32,572</w:t>
            </w:r>
          </w:p>
        </w:tc>
        <w:tc>
          <w:tcPr>
            <w:tcW w:w="4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32,572</w:t>
            </w:r>
          </w:p>
        </w:tc>
      </w:tr>
      <w:tr>
        <w:trPr>
          <w:trHeight w:val="270"/>
        </w:trPr>
        <w:tc>
          <w:tcPr>
            <w:tcW w:w="20" w:type="dxa"/>
            <w:vAlign w:val="bottom"/>
            <w:tcBorders>
              <w:bottom w:val="single" w:sz="8" w:color="CCEEFF"/>
            </w:tcBorders>
          </w:tcPr>
          <w:p>
            <w:pPr>
              <w:spacing w:after="0"/>
              <w:rPr>
                <w:sz w:val="23"/>
                <w:szCs w:val="23"/>
                <w:color w:val="auto"/>
              </w:rPr>
            </w:pPr>
          </w:p>
        </w:tc>
        <w:tc>
          <w:tcPr>
            <w:tcW w:w="6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15,410</w:t>
            </w:r>
          </w:p>
        </w:tc>
        <w:tc>
          <w:tcPr>
            <w:tcW w:w="4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15,410</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210,951</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47,982</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258,933</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Liabilities</w:t>
            </w:r>
          </w:p>
        </w:tc>
        <w:tc>
          <w:tcPr>
            <w:tcW w:w="56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6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2,486</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2,486</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r>
      <w:tr>
        <w:trPr>
          <w:trHeight w:val="351"/>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00" w:type="dxa"/>
            <w:vAlign w:val="bottom"/>
            <w:gridSpan w:val="5"/>
          </w:tcPr>
          <w:p>
            <w:pPr>
              <w:jc w:val="center"/>
              <w:ind w:right="210"/>
              <w:spacing w:after="0"/>
              <w:rPr>
                <w:sz w:val="20"/>
                <w:szCs w:val="20"/>
                <w:color w:val="auto"/>
              </w:rPr>
            </w:pPr>
            <w:r>
              <w:rPr>
                <w:rFonts w:ascii="Times New Roman" w:cs="Times New Roman" w:eastAsia="Times New Roman" w:hAnsi="Times New Roman"/>
                <w:sz w:val="18"/>
                <w:szCs w:val="18"/>
                <w:color w:val="auto"/>
                <w:w w:val="98"/>
              </w:rPr>
              <w:t>Fair Value Measurements at August 31, 2022</w:t>
            </w:r>
          </w:p>
        </w:tc>
      </w:tr>
      <w:tr>
        <w:trPr>
          <w:trHeight w:val="270"/>
        </w:trPr>
        <w:tc>
          <w:tcPr>
            <w:tcW w:w="20" w:type="dxa"/>
            <w:vAlign w:val="bottom"/>
            <w:tcBorders>
              <w:bottom w:val="single" w:sz="8" w:color="auto"/>
            </w:tcBorders>
          </w:tcPr>
          <w:p>
            <w:pPr>
              <w:spacing w:after="0"/>
              <w:rPr>
                <w:sz w:val="23"/>
                <w:szCs w:val="23"/>
                <w:color w:val="auto"/>
              </w:rPr>
            </w:pPr>
          </w:p>
        </w:tc>
        <w:tc>
          <w:tcPr>
            <w:tcW w:w="64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Level 1</w:t>
            </w: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Level 2</w:t>
            </w:r>
          </w:p>
        </w:tc>
        <w:tc>
          <w:tcPr>
            <w:tcW w:w="4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7"/>
              </w:rPr>
              <w:t>Assets</w:t>
            </w:r>
          </w:p>
        </w:tc>
        <w:tc>
          <w:tcPr>
            <w:tcW w:w="594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money market funds</w:t>
            </w:r>
            <w:r>
              <w:rPr>
                <w:rFonts w:ascii="Times New Roman" w:cs="Times New Roman" w:eastAsia="Times New Roman" w:hAnsi="Times New Roman"/>
                <w:sz w:val="23"/>
                <w:szCs w:val="23"/>
                <w:i w:val="1"/>
                <w:iCs w:val="1"/>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179,330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179,330</w:t>
            </w:r>
          </w:p>
        </w:tc>
      </w:tr>
      <w:tr>
        <w:trPr>
          <w:trHeight w:val="270"/>
        </w:trPr>
        <w:tc>
          <w:tcPr>
            <w:tcW w:w="20" w:type="dxa"/>
            <w:vAlign w:val="bottom"/>
            <w:shd w:val="clear" w:color="auto" w:fill="CCEEFF"/>
          </w:tcPr>
          <w:p>
            <w:pPr>
              <w:spacing w:after="0"/>
              <w:rPr>
                <w:sz w:val="23"/>
                <w:szCs w:val="23"/>
                <w:color w:val="auto"/>
              </w:rPr>
            </w:pPr>
          </w:p>
        </w:tc>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i w:val="1"/>
                <w:iCs w:val="1"/>
                <w:color w:val="auto"/>
                <w:vertAlign w:val="superscript"/>
              </w:rPr>
              <w:t>(2)</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33,219</w:t>
            </w:r>
          </w:p>
        </w:tc>
        <w:tc>
          <w:tcPr>
            <w:tcW w:w="4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33,219</w:t>
            </w:r>
          </w:p>
        </w:tc>
      </w:tr>
      <w:tr>
        <w:trPr>
          <w:trHeight w:val="270"/>
        </w:trPr>
        <w:tc>
          <w:tcPr>
            <w:tcW w:w="20" w:type="dxa"/>
            <w:vAlign w:val="bottom"/>
            <w:tcBorders>
              <w:bottom w:val="single" w:sz="8" w:color="CCEEFF"/>
            </w:tcBorders>
          </w:tcPr>
          <w:p>
            <w:pPr>
              <w:spacing w:after="0"/>
              <w:rPr>
                <w:sz w:val="23"/>
                <w:szCs w:val="23"/>
                <w:color w:val="auto"/>
              </w:rPr>
            </w:pPr>
          </w:p>
        </w:tc>
        <w:tc>
          <w:tcPr>
            <w:tcW w:w="6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i w:val="1"/>
                <w:iCs w:val="1"/>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12,412</w:t>
            </w:r>
          </w:p>
        </w:tc>
        <w:tc>
          <w:tcPr>
            <w:tcW w:w="4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12,412</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179,330</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45,631</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224,961</w:t>
            </w:r>
          </w:p>
        </w:tc>
      </w:tr>
      <w:tr>
        <w:trPr>
          <w:trHeight w:val="216"/>
        </w:trPr>
        <w:tc>
          <w:tcPr>
            <w:tcW w:w="20" w:type="dxa"/>
            <w:vAlign w:val="bottom"/>
          </w:tcPr>
          <w:p>
            <w:pPr>
              <w:spacing w:after="0"/>
              <w:rPr>
                <w:sz w:val="18"/>
                <w:szCs w:val="18"/>
                <w:color w:val="auto"/>
              </w:rPr>
            </w:pPr>
          </w:p>
        </w:tc>
        <w:tc>
          <w:tcPr>
            <w:tcW w:w="6420" w:type="dxa"/>
            <w:vAlign w:val="bottom"/>
            <w:gridSpan w:val="3"/>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Liabilities</w:t>
            </w:r>
          </w:p>
        </w:tc>
        <w:tc>
          <w:tcPr>
            <w:tcW w:w="56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6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i w:val="1"/>
                <w:iCs w:val="1"/>
                <w:color w:val="auto"/>
                <w:vertAlign w:val="superscript"/>
              </w:rPr>
              <w:t>(3)</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8,307</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8,307</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8,307</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w:t>
            </w:r>
          </w:p>
        </w:tc>
      </w:tr>
    </w:tbl>
    <w:p>
      <w:pPr>
        <w:spacing w:after="0" w:line="187" w:lineRule="exact"/>
        <w:rPr>
          <w:sz w:val="20"/>
          <w:szCs w:val="20"/>
          <w:color w:val="auto"/>
        </w:rPr>
      </w:pPr>
    </w:p>
    <w:p>
      <w:pPr>
        <w:ind w:left="260" w:hanging="252"/>
        <w:spacing w:after="0" w:line="283" w:lineRule="auto"/>
        <w:tabs>
          <w:tab w:leader="none" w:pos="246"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Our corporate money market funds are readily convertible into cash and the net asset value of each fund on the last day of the quarter is used to determine its fair value. Our corporate money market funds are included in Cash and cash equivalents within the Consolidated Balance Sheets.</w:t>
      </w:r>
    </w:p>
    <w:p>
      <w:pPr>
        <w:spacing w:after="0" w:line="52" w:lineRule="exact"/>
        <w:rPr>
          <w:rFonts w:ascii="Times New Roman" w:cs="Times New Roman" w:eastAsia="Times New Roman" w:hAnsi="Times New Roman"/>
          <w:sz w:val="16"/>
          <w:szCs w:val="16"/>
          <w:i w:val="1"/>
          <w:iCs w:val="1"/>
          <w:color w:val="auto"/>
        </w:rPr>
      </w:pPr>
    </w:p>
    <w:p>
      <w:pPr>
        <w:jc w:val="both"/>
        <w:ind w:left="260" w:hanging="252"/>
        <w:spacing w:after="0" w:line="273" w:lineRule="auto"/>
        <w:tabs>
          <w:tab w:leader="none" w:pos="248"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Our mutual funds have a fair value based on the fair value of the underlying investments held by the mutual funds, allocated to each share of the mutual fund using a net asset value approach. The fair value of the underlying investments is based on observable inputs. Our mutual funds are included in Investments (short-term) within the Consolidated Balance Sheets.</w:t>
      </w:r>
    </w:p>
    <w:p>
      <w:pPr>
        <w:spacing w:after="0" w:line="74" w:lineRule="exact"/>
        <w:rPr>
          <w:rFonts w:ascii="Times New Roman" w:cs="Times New Roman" w:eastAsia="Times New Roman" w:hAnsi="Times New Roman"/>
          <w:sz w:val="16"/>
          <w:szCs w:val="16"/>
          <w:i w:val="1"/>
          <w:iCs w:val="1"/>
          <w:color w:val="auto"/>
        </w:rPr>
      </w:pPr>
    </w:p>
    <w:p>
      <w:pPr>
        <w:ind w:left="260" w:hanging="252"/>
        <w:spacing w:after="0" w:line="283" w:lineRule="auto"/>
        <w:tabs>
          <w:tab w:leader="none" w:pos="25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Our derivative instruments include our foreign exchange forward contracts and interest rate swap agreements. We utilize the income approach to measure fair value for our foreign exchange forward contracts. The income approach uses pricing models that rely 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260"/>
        <w:spacing w:after="0" w:line="273" w:lineRule="auto"/>
        <w:rPr>
          <w:sz w:val="20"/>
          <w:szCs w:val="20"/>
          <w:color w:val="auto"/>
        </w:rPr>
      </w:pPr>
      <w:r>
        <w:rPr>
          <w:rFonts w:ascii="Times New Roman" w:cs="Times New Roman" w:eastAsia="Times New Roman" w:hAnsi="Times New Roman"/>
          <w:sz w:val="16"/>
          <w:szCs w:val="16"/>
          <w:i w:val="1"/>
          <w:iCs w:val="1"/>
          <w:color w:val="auto"/>
        </w:rPr>
        <w:t>market observable inputs such as spot, forward and interest rates, as well as credit default swap spreads. To estimate fair value for our interest rate swap agreements, we utilize a present value of future cash flows, leveraging a model-derived valuation that uses observable inputs such as interest rate yield curves. Refer to Note 5</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Derivative Instruments, for more information on our derivative instruments and their classification within the Consolidated Balance Sheets.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Assets and Liabilities Measured at Fair Value on a Non-Recurring Basis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Assets and liabilities that are measured at fair value on a non-recurring basis relate primarily to our tangible fixed assets, lease ROU assets, goodwill and intangible assets. The fair values of these non-financial assets and liabilities are determined based on valuation techniques using the best information available, and may include quoted market prices, market comparable information, and discounted cash flow projections. These non-financial assets are required to be assessed for impairment whenever events or circumstances indicate their carrying value may not be fully recoverable, and at least annually for goodwill.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 Assets and Liabilities Measured at Fair Value for Disclosure Purposes </w:t>
      </w: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b w:val="1"/>
          <w:bCs w:val="1"/>
          <w:i w:val="1"/>
          <w:iCs w:val="1"/>
          <w:color w:val="auto"/>
        </w:rPr>
        <w:t>nly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elected not to carry our Long-term debt at fair value. The carrying value of our Long-term debt is net of related unamortized discount and debt issuance costs.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fair value of our Senior Notes is estimated based on quoted prices in active markets as of the reporting date, given that the Senior Notes are publicly traded, which are considered Level 1 inputs. The fair value of our 2022 Credit Facilities is estimated based on quoted market prices for similar instruments, adjusted for unobservable inputs to ensure comparability to our investment rating, maturity terms and principal outstanding, which are considered Level 3 inputs. 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definitions of these terms and more information on the Senior Notes and 2022 Credit Facilities.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on our outstanding debt as of November 30, 2022 and August 31,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0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November 30, 2022</w:t>
            </w:r>
          </w:p>
        </w:tc>
        <w:tc>
          <w:tcPr>
            <w:tcW w:w="180" w:type="dxa"/>
            <w:vAlign w:val="bottom"/>
          </w:tcPr>
          <w:p>
            <w:pPr>
              <w:spacing w:after="0"/>
              <w:rPr>
                <w:sz w:val="19"/>
                <w:szCs w:val="19"/>
                <w:color w:val="auto"/>
              </w:rPr>
            </w:pPr>
          </w:p>
        </w:tc>
        <w:tc>
          <w:tcPr>
            <w:tcW w:w="222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August 31, 2022</w:t>
            </w:r>
          </w:p>
        </w:tc>
        <w:tc>
          <w:tcPr>
            <w:tcW w:w="0" w:type="dxa"/>
            <w:vAlign w:val="bottom"/>
          </w:tcPr>
          <w:p>
            <w:pPr>
              <w:spacing w:after="0"/>
              <w:rPr>
                <w:sz w:val="1"/>
                <w:szCs w:val="1"/>
                <w:color w:val="auto"/>
              </w:rPr>
            </w:pPr>
          </w:p>
        </w:tc>
      </w:tr>
      <w:tr>
        <w:trPr>
          <w:trHeight w:val="189"/>
        </w:trPr>
        <w:tc>
          <w:tcPr>
            <w:tcW w:w="4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80" w:type="dxa"/>
            <w:vAlign w:val="bottom"/>
          </w:tcPr>
          <w:p>
            <w:pPr>
              <w:jc w:val="center"/>
              <w:ind w:left="450"/>
              <w:spacing w:after="0" w:line="189" w:lineRule="exact"/>
              <w:rPr>
                <w:sz w:val="20"/>
                <w:szCs w:val="20"/>
                <w:color w:val="auto"/>
              </w:rPr>
            </w:pPr>
            <w:r>
              <w:rPr>
                <w:rFonts w:ascii="Times New Roman" w:cs="Times New Roman" w:eastAsia="Times New Roman" w:hAnsi="Times New Roman"/>
                <w:sz w:val="18"/>
                <w:szCs w:val="18"/>
                <w:color w:val="auto"/>
                <w:w w:val="99"/>
              </w:rPr>
              <w:t>Fair Value</w:t>
            </w:r>
          </w:p>
        </w:tc>
        <w:tc>
          <w:tcPr>
            <w:tcW w:w="200" w:type="dxa"/>
            <w:vAlign w:val="bottom"/>
          </w:tcPr>
          <w:p>
            <w:pPr>
              <w:spacing w:after="0"/>
              <w:rPr>
                <w:sz w:val="16"/>
                <w:szCs w:val="16"/>
                <w:color w:val="auto"/>
              </w:rPr>
            </w:pPr>
          </w:p>
        </w:tc>
        <w:tc>
          <w:tcPr>
            <w:tcW w:w="100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Principal</w:t>
            </w:r>
          </w:p>
        </w:tc>
        <w:tc>
          <w:tcPr>
            <w:tcW w:w="1300" w:type="dxa"/>
            <w:vAlign w:val="bottom"/>
            <w:gridSpan w:val="2"/>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Estimated Fair</w:t>
            </w:r>
          </w:p>
        </w:tc>
        <w:tc>
          <w:tcPr>
            <w:tcW w:w="180" w:type="dxa"/>
            <w:vAlign w:val="bottom"/>
          </w:tcPr>
          <w:p>
            <w:pPr>
              <w:spacing w:after="0"/>
              <w:rPr>
                <w:sz w:val="16"/>
                <w:szCs w:val="16"/>
                <w:color w:val="auto"/>
              </w:rPr>
            </w:pPr>
          </w:p>
        </w:tc>
        <w:tc>
          <w:tcPr>
            <w:tcW w:w="102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Principal</w:t>
            </w:r>
          </w:p>
        </w:tc>
        <w:tc>
          <w:tcPr>
            <w:tcW w:w="1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Estimated Fair</w:t>
            </w:r>
          </w:p>
        </w:tc>
        <w:tc>
          <w:tcPr>
            <w:tcW w:w="0" w:type="dxa"/>
            <w:vAlign w:val="bottom"/>
          </w:tcPr>
          <w:p>
            <w:pPr>
              <w:spacing w:after="0"/>
              <w:rPr>
                <w:sz w:val="1"/>
                <w:szCs w:val="1"/>
                <w:color w:val="auto"/>
              </w:rPr>
            </w:pPr>
          </w:p>
        </w:tc>
      </w:tr>
      <w:tr>
        <w:trPr>
          <w:trHeight w:val="234"/>
        </w:trPr>
        <w:tc>
          <w:tcPr>
            <w:tcW w:w="4560" w:type="dxa"/>
            <w:vAlign w:val="bottom"/>
            <w:tcBorders>
              <w:bottom w:val="single" w:sz="8" w:color="auto"/>
            </w:tcBorders>
            <w:gridSpan w:val="2"/>
            <w:vMerge w:val="continue"/>
          </w:tcPr>
          <w:p>
            <w:pPr>
              <w:spacing w:after="0"/>
              <w:rPr>
                <w:sz w:val="20"/>
                <w:szCs w:val="20"/>
                <w:color w:val="auto"/>
              </w:rPr>
            </w:pPr>
          </w:p>
        </w:tc>
        <w:tc>
          <w:tcPr>
            <w:tcW w:w="178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9"/>
              </w:rPr>
              <w:t>Hierarchy</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4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7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455,470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470,525</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7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419,860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438,205</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4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Facility</w:t>
            </w:r>
          </w:p>
        </w:tc>
        <w:tc>
          <w:tcPr>
            <w:tcW w:w="17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Level 3</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627,344</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750,975</w:t>
            </w:r>
          </w:p>
        </w:tc>
        <w:tc>
          <w:tcPr>
            <w:tcW w:w="0" w:type="dxa"/>
            <w:vAlign w:val="bottom"/>
          </w:tcPr>
          <w:p>
            <w:pPr>
              <w:spacing w:after="0"/>
              <w:rPr>
                <w:sz w:val="1"/>
                <w:szCs w:val="1"/>
                <w:color w:val="auto"/>
              </w:rPr>
            </w:pPr>
          </w:p>
        </w:tc>
      </w:tr>
      <w:tr>
        <w:trPr>
          <w:trHeight w:val="230"/>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4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Revolving Facility</w:t>
            </w:r>
          </w:p>
        </w:tc>
        <w:tc>
          <w:tcPr>
            <w:tcW w:w="1780" w:type="dxa"/>
            <w:vAlign w:val="bottom"/>
            <w:tcBorders>
              <w:bottom w:val="single" w:sz="8" w:color="CCEEFF"/>
            </w:tcBorders>
          </w:tcPr>
          <w:p>
            <w:pPr>
              <w:jc w:val="center"/>
              <w:ind w:left="450"/>
              <w:spacing w:after="0"/>
              <w:rPr>
                <w:sz w:val="20"/>
                <w:szCs w:val="20"/>
                <w:color w:val="auto"/>
              </w:rPr>
            </w:pPr>
            <w:r>
              <w:rPr>
                <w:rFonts w:ascii="Times New Roman" w:cs="Times New Roman" w:eastAsia="Times New Roman" w:hAnsi="Times New Roman"/>
                <w:sz w:val="18"/>
                <w:szCs w:val="18"/>
                <w:color w:val="auto"/>
              </w:rPr>
              <w:t>Level 3</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246,562</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249,075</w:t>
            </w:r>
          </w:p>
        </w:tc>
        <w:tc>
          <w:tcPr>
            <w:tcW w:w="0" w:type="dxa"/>
            <w:vAlign w:val="bottom"/>
          </w:tcPr>
          <w:p>
            <w:pPr>
              <w:spacing w:after="0"/>
              <w:rPr>
                <w:sz w:val="1"/>
                <w:szCs w:val="1"/>
                <w:color w:val="auto"/>
              </w:rPr>
            </w:pPr>
          </w:p>
        </w:tc>
      </w:tr>
      <w:tr>
        <w:trPr>
          <w:trHeight w:val="223"/>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principal amount</w:t>
            </w:r>
          </w:p>
        </w:tc>
        <w:tc>
          <w:tcPr>
            <w:tcW w:w="17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1,749,236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1,908,780</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unamortized discounts and debt issuance costs</w:t>
            </w:r>
          </w:p>
        </w:tc>
        <w:tc>
          <w:tcPr>
            <w:tcW w:w="17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(15,904)</w:t>
            </w:r>
          </w:p>
        </w:tc>
        <w:tc>
          <w:tcPr>
            <w:tcW w:w="2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(17,576)</w:t>
            </w: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carrying value of debt</w:t>
            </w:r>
          </w:p>
        </w:tc>
        <w:tc>
          <w:tcPr>
            <w:tcW w:w="1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1,859,096</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1,982,424</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CCEEFF"/>
            </w:tcBorders>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4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DERIVATIVE INSTRUMENTS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designing our hedging approach, we consider several factors, including offsetting exposures, the significance of exposures, the forecasting of risk and the potential effectiveness of the hedge to reduce the volatility of our earnings and cash flows. Factors considered in the decision to hedge an underlying market exposure include the materiality of the risk, the volatility of the market, the duration of the hedge, the degree to which the underlying exposure is committed to, and the availability, effectiveness and cost of derivative instruments. Derivative instruments are only utilized for risk management purposes and are not used for speculative or trading purposes. We limit counterparties to credit-worthy financial institutions. Refer to Note 2, </w:t>
      </w:r>
      <w:r>
        <w:rPr>
          <w:rFonts w:ascii="Times New Roman" w:cs="Times New Roman" w:eastAsia="Times New Roman" w:hAnsi="Times New Roman"/>
          <w:sz w:val="18"/>
          <w:szCs w:val="18"/>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 - Concentrations of Credit Risk</w:t>
      </w:r>
      <w:r>
        <w:rPr>
          <w:rFonts w:ascii="Times New Roman" w:cs="Times New Roman" w:eastAsia="Times New Roman" w:hAnsi="Times New Roman"/>
          <w:sz w:val="18"/>
          <w:szCs w:val="18"/>
          <w:color w:val="auto"/>
        </w:rPr>
        <w:t>, for further discussion on counterparty credit risk.</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leverage foreign currency forward contracts and interest rate swaps to mitigate certain operational exposures from the impact of changes in foreign currency exchange rates and to manage our interest rate exposure. We have designated and accounted for these derivatives as cash flow hedges with the unrealized gains or losses recorded in Accumulated Other Comprehensive Loss ("AOCL"), net of tax, in the Consolidated Balance Sheets. Realized gains or losses resulting from settlement of our forward contracts and swap agreements are subsequently reclassified into Selling, general and administrative ("SG&amp;A") and Interest expense, net, respectively, in the Consolidated Statements of Income when the hedges are settled.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 Contracts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conduct business outside the U.S. in several currencies, we are exposed to movements in foreign currency exchange rates. The gains and losses on foreign currency forward contracts offset the variability in operating expenses associated with currency movements. As of November 30, 2022, we maintained a series of foreign currency forward contracts to hedge a portion of our exposures related to our primary currencies of the British Pound Sterling, Euro, Indian Rupee and Philippine Peso. We entered into these contracts to mitigate our currency exposure ranging from 25% to 75%, over their respective hedged periods, which are set to mature at various points between the second quarter of fiscal 2023 through the first quarter of fiscal 2024.</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gross notional value of foreign currency forward contracts to purchase British Pound Sterling, Euros, Indian Rupees and Philippine Pesos with U.S. dollars as of November 30, 2022 and August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40" w:type="dxa"/>
            <w:vAlign w:val="bottom"/>
            <w:gridSpan w:val="3"/>
          </w:tcPr>
          <w:p>
            <w:pPr>
              <w:jc w:val="right"/>
              <w:ind w:right="1030"/>
              <w:spacing w:after="0"/>
              <w:rPr>
                <w:sz w:val="20"/>
                <w:szCs w:val="20"/>
                <w:color w:val="auto"/>
              </w:rPr>
            </w:pPr>
            <w:r>
              <w:rPr>
                <w:rFonts w:ascii="Times New Roman" w:cs="Times New Roman" w:eastAsia="Times New Roman" w:hAnsi="Times New Roman"/>
                <w:sz w:val="18"/>
                <w:szCs w:val="18"/>
                <w:color w:val="auto"/>
              </w:rPr>
              <w:t>November 30, 2022</w:t>
            </w:r>
          </w:p>
        </w:tc>
        <w:tc>
          <w:tcPr>
            <w:tcW w:w="760" w:type="dxa"/>
            <w:vAlign w:val="bottom"/>
          </w:tcPr>
          <w:p>
            <w:pPr>
              <w:spacing w:after="0"/>
              <w:rPr>
                <w:sz w:val="19"/>
                <w:szCs w:val="19"/>
                <w:color w:val="auto"/>
              </w:rPr>
            </w:pPr>
          </w:p>
        </w:tc>
        <w:tc>
          <w:tcPr>
            <w:tcW w:w="304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color w:val="auto"/>
              </w:rPr>
              <w:t>August 31, 2022</w:t>
            </w:r>
          </w:p>
        </w:tc>
        <w:tc>
          <w:tcPr>
            <w:tcW w:w="0" w:type="dxa"/>
            <w:vAlign w:val="bottom"/>
          </w:tcPr>
          <w:p>
            <w:pPr>
              <w:spacing w:after="0"/>
              <w:rPr>
                <w:sz w:val="1"/>
                <w:szCs w:val="1"/>
                <w:color w:val="auto"/>
              </w:rPr>
            </w:pPr>
          </w:p>
        </w:tc>
      </w:tr>
      <w:tr>
        <w:trPr>
          <w:trHeight w:val="189"/>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Notional Contract</w:t>
            </w: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Notional Contract</w:t>
            </w:r>
          </w:p>
        </w:tc>
        <w:tc>
          <w:tcPr>
            <w:tcW w:w="0" w:type="dxa"/>
            <w:vAlign w:val="bottom"/>
          </w:tcPr>
          <w:p>
            <w:pPr>
              <w:spacing w:after="0"/>
              <w:rPr>
                <w:sz w:val="1"/>
                <w:szCs w:val="1"/>
                <w:color w:val="auto"/>
              </w:rPr>
            </w:pPr>
          </w:p>
        </w:tc>
      </w:tr>
      <w:tr>
        <w:trPr>
          <w:trHeight w:val="234"/>
        </w:trPr>
        <w:tc>
          <w:tcPr>
            <w:tcW w:w="2700" w:type="dxa"/>
            <w:vAlign w:val="bottom"/>
            <w:tcBorders>
              <w:bottom w:val="single" w:sz="8" w:color="auto"/>
            </w:tcBorders>
            <w:vMerge w:val="continue"/>
          </w:tcPr>
          <w:p>
            <w:pPr>
              <w:spacing w:after="0"/>
              <w:rPr>
                <w:sz w:val="20"/>
                <w:szCs w:val="20"/>
                <w:color w:val="auto"/>
              </w:rPr>
            </w:pPr>
          </w:p>
        </w:tc>
        <w:tc>
          <w:tcPr>
            <w:tcW w:w="2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2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17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57,337</w:t>
            </w: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55,567</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7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39,892</w:t>
            </w: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40,679</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Indian Rupee</w:t>
            </w:r>
          </w:p>
        </w:tc>
        <w:tc>
          <w:tcPr>
            <w:tcW w:w="17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Rs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2,739,827</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2,667,928</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Philippine Peso</w:t>
            </w:r>
          </w:p>
        </w:tc>
        <w:tc>
          <w:tcPr>
            <w:tcW w:w="170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1,540,066</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27,300</w:t>
            </w:r>
          </w:p>
        </w:tc>
        <w:tc>
          <w:tcPr>
            <w:tcW w:w="7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1,462,060</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158,129</w:t>
            </w:r>
          </w:p>
        </w:tc>
        <w:tc>
          <w:tcPr>
            <w:tcW w:w="7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156,846</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Foreign Currency Transaction Risk</w:t>
      </w:r>
      <w:r>
        <w:rPr>
          <w:rFonts w:ascii="Times New Roman" w:cs="Times New Roman" w:eastAsia="Times New Roman" w:hAnsi="Times New Roman"/>
          <w:sz w:val="18"/>
          <w:szCs w:val="18"/>
          <w:color w:val="auto"/>
        </w:rPr>
        <w:t xml:space="preserve"> in Item 3. Quantitative and Qualitative Disclosures About Market Risk of this Quarterly Report on Form 10-Q for further discussion of our exposure to foreign exchange rate fluctuations.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Swap Agreement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5, 2020, we entered into an interest rate swap agreement ("2020 Swap Agreement") with a notional amount of $287.5 million. The 2020 Swap Agreement hedged a portion of our then outstanding floating LIBOR rate debt with a fixed interest rate of 0.7995% to mitigate our interest rate exposure. On March 1, 2022, we terminated the 2020 Swap Agreement, which resulted in a one-time benefit of $3.5 million recognized in Interest expense, net in the Consolidated Statements of Income during the third quarter of fiscal 2022, based on its fair market value.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Swap Agreement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 2022, we entered into an interest rate swap agreement ("2022 Swap Agreement") with a notional amount of $800.0 million to hedge a portion of our outstanding floating Secured Overnight Financing Rate ("SOFR") rate debt with a fixed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rate of 1.162%. The notional amount of the 2022 Swap Agreement declines by $100.0 million on a quarterly basis as of May 31, 2022 and is maturing on February 28, 2024. As of November 30, 2022, the notional amount of the 2022 Swap Agreement was $500.0 million.</w:t>
      </w:r>
    </w:p>
    <w:p>
      <w:pPr>
        <w:spacing w:after="0" w:line="13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discussion of our outstanding floating SOFR rate debt. Refer to </w:t>
      </w:r>
      <w:r>
        <w:rPr>
          <w:rFonts w:ascii="Times New Roman" w:cs="Times New Roman" w:eastAsia="Times New Roman" w:hAnsi="Times New Roman"/>
          <w:sz w:val="18"/>
          <w:szCs w:val="18"/>
          <w:i w:val="1"/>
          <w:iCs w:val="1"/>
          <w:color w:val="auto"/>
        </w:rPr>
        <w:t>Interest Rate Risk</w:t>
      </w:r>
      <w:r>
        <w:rPr>
          <w:rFonts w:ascii="Times New Roman" w:cs="Times New Roman" w:eastAsia="Times New Roman" w:hAnsi="Times New Roman"/>
          <w:sz w:val="18"/>
          <w:szCs w:val="18"/>
          <w:color w:val="auto"/>
        </w:rPr>
        <w:t xml:space="preserve"> in Part I, Item 3. Quantitative and Qualitative Disclosures About Market Risk of this Quarterly Report on Form 10-Q for further discussion of our exposure to interest rate risk on our long-term debt outstanding.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Notional Value and Fair Value of Derivative Instruments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gross notional values of the derivative instruments: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60" w:type="dxa"/>
            <w:vAlign w:val="bottom"/>
            <w:gridSpan w:val="3"/>
          </w:tcPr>
          <w:p>
            <w:pPr>
              <w:jc w:val="right"/>
              <w:ind w:right="950"/>
              <w:spacing w:after="0"/>
              <w:rPr>
                <w:sz w:val="20"/>
                <w:szCs w:val="20"/>
                <w:color w:val="auto"/>
              </w:rPr>
            </w:pPr>
            <w:r>
              <w:rPr>
                <w:rFonts w:ascii="Times New Roman" w:cs="Times New Roman" w:eastAsia="Times New Roman" w:hAnsi="Times New Roman"/>
                <w:sz w:val="18"/>
                <w:szCs w:val="18"/>
                <w:color w:val="auto"/>
              </w:rPr>
              <w:t>Gross Notional Value</w:t>
            </w:r>
          </w:p>
        </w:tc>
        <w:tc>
          <w:tcPr>
            <w:tcW w:w="0" w:type="dxa"/>
            <w:vAlign w:val="bottom"/>
          </w:tcPr>
          <w:p>
            <w:pPr>
              <w:spacing w:after="0"/>
              <w:rPr>
                <w:sz w:val="1"/>
                <w:szCs w:val="1"/>
                <w:color w:val="auto"/>
              </w:rPr>
            </w:pPr>
          </w:p>
        </w:tc>
      </w:tr>
      <w:tr>
        <w:trPr>
          <w:trHeight w:val="27"/>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760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November 30, 2022</w:t>
            </w: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August 31, 2022</w:t>
            </w:r>
          </w:p>
        </w:tc>
        <w:tc>
          <w:tcPr>
            <w:tcW w:w="0" w:type="dxa"/>
            <w:vAlign w:val="bottom"/>
          </w:tcPr>
          <w:p>
            <w:pPr>
              <w:spacing w:after="0"/>
              <w:rPr>
                <w:sz w:val="1"/>
                <w:szCs w:val="1"/>
                <w:color w:val="auto"/>
              </w:rPr>
            </w:pPr>
          </w:p>
        </w:tc>
      </w:tr>
      <w:tr>
        <w:trPr>
          <w:trHeight w:val="244"/>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158,129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156,846</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658,129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756,846</w:t>
            </w:r>
          </w:p>
        </w:tc>
        <w:tc>
          <w:tcPr>
            <w:tcW w:w="0" w:type="dxa"/>
            <w:vAlign w:val="bottom"/>
          </w:tcPr>
          <w:p>
            <w:pPr>
              <w:spacing w:after="0"/>
              <w:rPr>
                <w:sz w:val="1"/>
                <w:szCs w:val="1"/>
                <w:color w:val="auto"/>
              </w:rPr>
            </w:pPr>
          </w:p>
        </w:tc>
      </w:tr>
      <w:tr>
        <w:trPr>
          <w:trHeight w:val="22"/>
        </w:trPr>
        <w:tc>
          <w:tcPr>
            <w:tcW w:w="76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fair values of our derivative instruments: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Fair Value of Derivative Instruments</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Derivative Assets</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18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8"/>
                <w:szCs w:val="18"/>
                <w:color w:val="auto"/>
              </w:rPr>
              <w:t>Derivative Liabilities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69"/>
        </w:trPr>
        <w:tc>
          <w:tcPr>
            <w:tcW w:w="23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Derivatives designated as</w:t>
            </w:r>
          </w:p>
        </w:tc>
        <w:tc>
          <w:tcPr>
            <w:tcW w:w="15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Balance Sheet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color w:val="auto"/>
              </w:rPr>
              <w:t>November 30,</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Balance Sheet</w:t>
            </w:r>
          </w:p>
        </w:tc>
        <w:tc>
          <w:tcPr>
            <w:tcW w:w="160" w:type="dxa"/>
            <w:vAlign w:val="bottom"/>
          </w:tcPr>
          <w:p>
            <w:pPr>
              <w:spacing w:after="0"/>
              <w:rPr>
                <w:sz w:val="14"/>
                <w:szCs w:val="14"/>
                <w:color w:val="auto"/>
              </w:rPr>
            </w:pPr>
          </w:p>
        </w:tc>
        <w:tc>
          <w:tcPr>
            <w:tcW w:w="124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November 30,</w:t>
            </w:r>
          </w:p>
        </w:tc>
        <w:tc>
          <w:tcPr>
            <w:tcW w:w="160" w:type="dxa"/>
            <w:vAlign w:val="bottom"/>
          </w:tcPr>
          <w:p>
            <w:pPr>
              <w:spacing w:after="0"/>
              <w:rPr>
                <w:sz w:val="14"/>
                <w:szCs w:val="14"/>
                <w:color w:val="auto"/>
              </w:rPr>
            </w:pPr>
          </w:p>
        </w:tc>
        <w:tc>
          <w:tcPr>
            <w:tcW w:w="98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color w:val="auto"/>
              </w:rPr>
              <w:t>August 31,</w:t>
            </w:r>
          </w:p>
        </w:tc>
      </w:tr>
      <w:tr>
        <w:trPr>
          <w:trHeight w:val="243"/>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hedging instruments</w:t>
            </w:r>
          </w:p>
        </w:tc>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Classification</w:t>
            </w: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August 31, 2022</w:t>
            </w:r>
          </w:p>
        </w:tc>
        <w:tc>
          <w:tcPr>
            <w:tcW w:w="100" w:type="dxa"/>
            <w:vAlign w:val="bottom"/>
            <w:tcBorders>
              <w:bottom w:val="single" w:sz="8" w:color="CCEEFF"/>
            </w:tcBorders>
          </w:tcPr>
          <w:p>
            <w:pPr>
              <w:spacing w:after="0"/>
              <w:rPr>
                <w:sz w:val="21"/>
                <w:szCs w:val="21"/>
                <w:color w:val="auto"/>
              </w:rPr>
            </w:pPr>
          </w:p>
        </w:tc>
        <w:tc>
          <w:tcPr>
            <w:tcW w:w="1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Classification</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r>
      <w:tr>
        <w:trPr>
          <w:trHeight w:val="169"/>
        </w:trPr>
        <w:tc>
          <w:tcPr>
            <w:tcW w:w="23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Foreign currency forward</w:t>
            </w:r>
          </w:p>
        </w:tc>
        <w:tc>
          <w:tcPr>
            <w:tcW w:w="15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Prepaid expenses and</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Accounts payable and</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4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w:t>
            </w:r>
          </w:p>
        </w:tc>
      </w:tr>
      <w:tr>
        <w:trPr>
          <w:trHeight w:val="391"/>
        </w:trPr>
        <w:tc>
          <w:tcPr>
            <w:tcW w:w="2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w w:val="99"/>
              </w:rPr>
              <w:t>Prepaid expenses and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12,162</w:t>
            </w: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100" w:type="dxa"/>
            <w:vAlign w:val="bottom"/>
          </w:tcPr>
          <w:p>
            <w:pPr>
              <w:spacing w:after="0"/>
              <w:rPr>
                <w:sz w:val="21"/>
                <w:szCs w:val="21"/>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78"/>
        </w:trPr>
        <w:tc>
          <w:tcPr>
            <w:tcW w:w="238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tcBorders>
              <w:bottom w:val="single" w:sz="8" w:color="CCEEFF"/>
            </w:tcBorders>
          </w:tcPr>
          <w:p>
            <w:pPr>
              <w:spacing w:after="0"/>
              <w:rPr>
                <w:sz w:val="24"/>
                <w:szCs w:val="24"/>
                <w:color w:val="auto"/>
              </w:rPr>
            </w:pPr>
          </w:p>
        </w:tc>
        <w:tc>
          <w:tcPr>
            <w:tcW w:w="1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15,410</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12,412</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derivatives were designated as hedging instruments as of November 30, 2022 and August 31, 2022.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Recognition</w:t>
      </w:r>
    </w:p>
    <w:p>
      <w:pPr>
        <w:spacing w:after="0" w:line="18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pre-tax effect of derivative instruments in cash flow hedging relationships for the three months ended November 30, 2022 and November 30, 2021,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color w:val="auto"/>
              </w:rPr>
              <w:t>Gain (Loss) Recognized in</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Gain (Loss) Reclassified from</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color w:val="auto"/>
                <w:w w:val="99"/>
              </w:rPr>
              <w:t>AOCL on Derivatives</w:t>
            </w:r>
          </w:p>
        </w:tc>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AOCL into Income</w:t>
            </w:r>
          </w:p>
        </w:tc>
        <w:tc>
          <w:tcPr>
            <w:tcW w:w="0" w:type="dxa"/>
            <w:vAlign w:val="bottom"/>
          </w:tcPr>
          <w:p>
            <w:pPr>
              <w:spacing w:after="0"/>
              <w:rPr>
                <w:sz w:val="1"/>
                <w:szCs w:val="1"/>
                <w:color w:val="auto"/>
              </w:rPr>
            </w:pPr>
          </w:p>
        </w:tc>
      </w:tr>
      <w:tr>
        <w:trPr>
          <w:trHeight w:val="27"/>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color w:val="auto"/>
                <w:w w:val="99"/>
              </w:rPr>
              <w:t>November 30,</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Location of Gain (Loss)</w:t>
            </w:r>
          </w:p>
        </w:tc>
        <w:tc>
          <w:tcPr>
            <w:tcW w:w="140" w:type="dxa"/>
            <w:vAlign w:val="bottom"/>
          </w:tcPr>
          <w:p>
            <w:pPr>
              <w:spacing w:after="0"/>
              <w:rPr>
                <w:sz w:val="18"/>
                <w:szCs w:val="18"/>
                <w:color w:val="auto"/>
              </w:rPr>
            </w:pPr>
          </w:p>
        </w:tc>
        <w:tc>
          <w:tcPr>
            <w:tcW w:w="238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rPr>
              <w:t>November 30,</w:t>
            </w:r>
          </w:p>
        </w:tc>
        <w:tc>
          <w:tcPr>
            <w:tcW w:w="0" w:type="dxa"/>
            <w:vAlign w:val="bottom"/>
          </w:tcPr>
          <w:p>
            <w:pPr>
              <w:spacing w:after="0"/>
              <w:rPr>
                <w:sz w:val="1"/>
                <w:szCs w:val="1"/>
                <w:color w:val="auto"/>
              </w:rPr>
            </w:pPr>
          </w:p>
        </w:tc>
      </w:tr>
      <w:tr>
        <w:trPr>
          <w:trHeight w:val="180"/>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180" w:type="dxa"/>
            <w:vAlign w:val="bottom"/>
          </w:tcPr>
          <w:p>
            <w:pPr>
              <w:spacing w:after="0"/>
              <w:rPr>
                <w:sz w:val="15"/>
                <w:szCs w:val="15"/>
                <w:color w:val="auto"/>
              </w:rPr>
            </w:pPr>
          </w:p>
        </w:tc>
        <w:tc>
          <w:tcPr>
            <w:tcW w:w="10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15"/>
                <w:szCs w:val="15"/>
                <w:color w:val="auto"/>
              </w:rPr>
            </w:pPr>
          </w:p>
        </w:tc>
        <w:tc>
          <w:tcPr>
            <w:tcW w:w="9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24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Reclassified from AOCL into</w:t>
            </w:r>
          </w:p>
        </w:tc>
        <w:tc>
          <w:tcPr>
            <w:tcW w:w="140" w:type="dxa"/>
            <w:vAlign w:val="bottom"/>
          </w:tcPr>
          <w:p>
            <w:pPr>
              <w:spacing w:after="0"/>
              <w:rPr>
                <w:sz w:val="15"/>
                <w:szCs w:val="15"/>
                <w:color w:val="auto"/>
              </w:rPr>
            </w:pPr>
          </w:p>
        </w:tc>
        <w:tc>
          <w:tcPr>
            <w:tcW w:w="11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15"/>
                <w:szCs w:val="15"/>
                <w:color w:val="auto"/>
              </w:rPr>
            </w:pPr>
          </w:p>
        </w:tc>
        <w:tc>
          <w:tcPr>
            <w:tcW w:w="9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SG&amp;A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8"/>
              </w:rPr>
              <w:t>(4,965)</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2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8"/>
              </w:rPr>
              <w:t>2,897</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8"/>
              </w:rPr>
              <w:t>(2,068)</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November 30, 2022, we estimate that net pre-tax derivative gains of $12.1 million included in AOCL will be reclassified into earnings within the next 12 months. As of November 30, 2022, our cash flow hedges were highly effective with no amount of ineffectiveness recorded in the Consolidated Statements of Income for these designated cash flow hedges and all components of each derivative’s gain or loss were included in the assessment of hedge effectiveness. There was no discontinuance of our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 hedges during the three months ended November 30, 2022 or November 30, 2021, and as such, no corresponding gains or losses related to changes in the value of our contracts were reclassified into earnings prior to settlement.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Offsetting of Derivative Instruments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 into master netting arrangements designed to permit net settlement of derivative transactions among the respective counterparties, settled on the same date and in the same currency. As of November 30, 2022 and August 31, 2022, there were no material amounts recorded net on the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ACQUISITIONS</w:t>
      </w:r>
    </w:p>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2022 and 2021, we completed acquisitions of several businesses, with the most significant cash flows related to the acquisitions of CUSIP Global Services ("CGS") and Cobalt Software, Inc. ("Cobalt").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Global Services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 2022, we completed the acquisition of CGS for a cash purchase price of $1.932 billion, inclusive of working capital adjustments. CGS manages a database of 60 different data elements uniquely identifying more than 50 million global financial instruments. It is the foundation for security master files relied on by critical front, middle and back-office functions. CGS, operating on behalf of the American Bankers Association ("ABA"), is the provider of Committee on Uniform Security Identification Procedures ("CUSIP") and CUSIP International Number System ("CINS") identifiers globally and also acts as the official numbering agency for International Securities Identification Number ("ISIN") identifiers in the United States and as a substitute number agency for more than 35 other countries. We believe that the CGS acquisition will significantly expand our critical role in the global capital markets. The CGS purchase price was in excess of the fair value of net assets acquired, resulting in the recognition of goodwill. We finalized the purchase accounting for the CGS acquisition during the fourth quarter of fiscal 2022 and did not record any material changes to the preliminary purchase price allocation.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date fair values of major classes of assets acquired and liabilities assumed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Acquisition Date Fair Value</w:t>
            </w:r>
          </w:p>
        </w:tc>
        <w:tc>
          <w:tcPr>
            <w:tcW w:w="25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Acquisition Date Useful Life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Amortization Method</w:t>
            </w:r>
          </w:p>
        </w:tc>
      </w:tr>
      <w:tr>
        <w:trPr>
          <w:trHeight w:val="236"/>
        </w:trPr>
        <w:tc>
          <w:tcPr>
            <w:tcW w:w="4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5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i w:val="1"/>
                <w:iCs w:val="1"/>
                <w:color w:val="auto"/>
                <w:w w:val="97"/>
              </w:rPr>
              <w:t>(in years)</w:t>
            </w:r>
          </w:p>
        </w:tc>
        <w:tc>
          <w:tcPr>
            <w:tcW w:w="1660" w:type="dxa"/>
            <w:vAlign w:val="bottom"/>
            <w:tcBorders>
              <w:bottom w:val="single" w:sz="8" w:color="auto"/>
            </w:tcBorders>
          </w:tcPr>
          <w:p>
            <w:pPr>
              <w:spacing w:after="0"/>
              <w:rPr>
                <w:sz w:val="20"/>
                <w:szCs w:val="20"/>
                <w:color w:val="auto"/>
              </w:rPr>
            </w:pPr>
          </w:p>
        </w:tc>
      </w:tr>
      <w:tr>
        <w:trPr>
          <w:trHeight w:val="223"/>
        </w:trPr>
        <w:tc>
          <w:tcPr>
            <w:tcW w:w="47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Current assets</w:t>
            </w:r>
            <w:r>
              <w:rPr>
                <w:rFonts w:ascii="Times New Roman" w:cs="Times New Roman" w:eastAsia="Times New Roman" w:hAnsi="Times New Roman"/>
                <w:sz w:val="23"/>
                <w:szCs w:val="23"/>
                <w:i w:val="1"/>
                <w:iCs w:val="1"/>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29,728</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ABA business process</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1,583,000</w:t>
            </w:r>
          </w:p>
        </w:tc>
        <w:tc>
          <w:tcPr>
            <w:tcW w:w="256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36 years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Client relationships</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164,000</w:t>
            </w:r>
          </w:p>
        </w:tc>
        <w:tc>
          <w:tcPr>
            <w:tcW w:w="25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26 years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30"/>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Acquired databases</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256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15 years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214,970</w:t>
            </w:r>
          </w:p>
        </w:tc>
        <w:tc>
          <w:tcPr>
            <w:tcW w:w="25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Current liabilities</w:t>
            </w:r>
            <w:r>
              <w:rPr>
                <w:rFonts w:ascii="Times New Roman" w:cs="Times New Roman" w:eastAsia="Times New Roman" w:hAnsi="Times New Roman"/>
                <w:sz w:val="23"/>
                <w:szCs w:val="23"/>
                <w:i w:val="1"/>
                <w:iCs w:val="1"/>
                <w:color w:val="auto"/>
                <w:vertAlign w:val="superscript"/>
              </w:rPr>
              <w:t>(2)</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(104,691)</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revenues, long-term</w:t>
            </w:r>
          </w:p>
        </w:tc>
        <w:tc>
          <w:tcPr>
            <w:tcW w:w="1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256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1,931,526</w:t>
            </w:r>
          </w:p>
        </w:tc>
        <w:tc>
          <w:tcPr>
            <w:tcW w:w="25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187" w:lineRule="exact"/>
        <w:rPr>
          <w:sz w:val="20"/>
          <w:szCs w:val="20"/>
          <w:color w:val="auto"/>
        </w:rPr>
      </w:pPr>
    </w:p>
    <w:p>
      <w:pPr>
        <w:ind w:left="240" w:hanging="232"/>
        <w:spacing w:after="0"/>
        <w:tabs>
          <w:tab w:leader="none" w:pos="24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an accounts receivable balance of $29.5 million.</w:t>
      </w:r>
    </w:p>
    <w:p>
      <w:pPr>
        <w:spacing w:after="0" w:line="113" w:lineRule="exact"/>
        <w:rPr>
          <w:rFonts w:ascii="Times New Roman" w:cs="Times New Roman" w:eastAsia="Times New Roman" w:hAnsi="Times New Roman"/>
          <w:sz w:val="16"/>
          <w:szCs w:val="16"/>
          <w:i w:val="1"/>
          <w:iCs w:val="1"/>
          <w:color w:val="auto"/>
        </w:rPr>
      </w:pPr>
    </w:p>
    <w:p>
      <w:pPr>
        <w:jc w:val="both"/>
        <w:ind w:left="260" w:right="480" w:hanging="252"/>
        <w:spacing w:after="0" w:line="273" w:lineRule="auto"/>
        <w:tabs>
          <w:tab w:leader="none" w:pos="246"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a deferred revenues balance of $99.4 million. The CGS acquisition was accounted for in accordance with our adoption of ASU No. 2021-08; as such, the deferred revenues did not include a fair value adjustment. Refer to Note 2, Summary of Significant Accounting Policies in the Notes to the Consolidated Financial Statements included in Item 8. of our Annual Report on Form 10-K for the fiscal year ended August 31, 2022 for more information on ASU No. 2021-08.</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totaling $215.0 million represents the excess of the CGS purchase price over the fair value of net assets acquired and considers future economic benefits that we expect to achieve as a result of the acquisition. The goodwill is included in the Americas segment and is deductible for income tax purposes. The majority of the net assets acquired relate to an ABA business process intangible which is a renewable license agreement with the ABA to manage the issuance, maintenance and access to the CUSIP numbering system and related database of CUSIP identifiers. This intangible asset's valuation and associated useful life considers the nature of the business relationship, multi-year term of the current agreement and the likelihood of long-term renewals. The useful life assigned to the Client relationships intangible asset considers the strong historical client retention and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client renewals as a basis for expected future retention. The useful life assigned to Acquired databases considers the historical period of data collection and the limited changes to the data on an annual basis.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results of CGS's operations have been included in our Consolidated Financial Statements, within the Americas, EMEA, and Asia Pacific segments, beginning with the closing of the acquisition on March 1, 2022. CGS functions as part of CTS. Pro forma information has not been presented because the effect of the CGS acquisition was not material to our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Cobalt Software, Inc.</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12, 2021, we acquired all of the outstanding shares of Cobalt for a purchase price of $50.0 million, net of cash acquired, and inclusive of working capital adjustments. Cobalt is a leading portfolio monitoring solutions provider for the private capital industry. This acquisition advances our strategy to scale our data and workflow solutions through targeted investments as part of our multi-year investment plan and expands our private markets offering. The Cobalt purchase price was in excess of the fair value of net assets acquired, resulting in the recognition of goodwill. We finalized the purchase accounting for the Cobalt acquisition during the fourth quarter of fiscal 2022 and did not record any material changes to the preliminary purchase price allocation.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date fair values of major classes of assets acquired and liabilities assumed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Pr>
          <w:p>
            <w:pPr>
              <w:spacing w:after="0"/>
              <w:rPr>
                <w:sz w:val="19"/>
                <w:szCs w:val="19"/>
                <w:color w:val="auto"/>
              </w:rPr>
            </w:pPr>
          </w:p>
        </w:tc>
        <w:tc>
          <w:tcPr>
            <w:tcW w:w="2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Acquisition Date Fair Value</w:t>
            </w:r>
          </w:p>
        </w:tc>
        <w:tc>
          <w:tcPr>
            <w:tcW w:w="25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Acquisition Date Useful Life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Amortization Method</w:t>
            </w:r>
          </w:p>
        </w:tc>
      </w:tr>
      <w:tr>
        <w:trPr>
          <w:trHeight w:val="236"/>
        </w:trPr>
        <w:tc>
          <w:tcPr>
            <w:tcW w:w="47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i w:val="1"/>
                <w:iCs w:val="1"/>
                <w:color w:val="auto"/>
                <w:w w:val="97"/>
              </w:rPr>
              <w:t>(in years)</w:t>
            </w:r>
          </w:p>
        </w:tc>
        <w:tc>
          <w:tcPr>
            <w:tcW w:w="1660" w:type="dxa"/>
            <w:vAlign w:val="bottom"/>
            <w:tcBorders>
              <w:bottom w:val="single" w:sz="8" w:color="auto"/>
            </w:tcBorders>
          </w:tcPr>
          <w:p>
            <w:pPr>
              <w:spacing w:after="0"/>
              <w:rPr>
                <w:sz w:val="20"/>
                <w:szCs w:val="20"/>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6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Software technology</w:t>
            </w:r>
          </w:p>
        </w:tc>
        <w:tc>
          <w:tcPr>
            <w:tcW w:w="1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256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5 years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Client relationships</w:t>
            </w:r>
          </w:p>
        </w:tc>
        <w:tc>
          <w:tcPr>
            <w:tcW w:w="1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25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11 years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41,338</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5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(4,437)</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56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660" w:type="dxa"/>
            <w:vAlign w:val="bottom"/>
            <w:tcBorders>
              <w:bottom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50,018</w:t>
            </w:r>
          </w:p>
        </w:tc>
        <w:tc>
          <w:tcPr>
            <w:tcW w:w="25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Goodwill totaling $41.3 million represents the excess of the Cobalt purchase price over the fair value of net assets acquired and is included in the Americas and EMEA segments. Goodwill generated from the Cobalt acquisition is not deductible for income tax purposes. The useful life assigned to the Client relationships intangible asset considers the historical client retention as a basis for expected future retention. The useful life assigned to Software technology considers our historical experience and anticipated technological changes.</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results of Cobalt's operations have been included in our Consolidated Financial Statements, within the Americas and EMEA segments, beginning with its acquisition on October 12, 2021. Pro forma information has not been presented because the effect of the Cobalt acquisition were not material to our Consolidated Financial Statements.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GOODWILL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segment for the three months ended November 30, 2022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Asia Pacific</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686,412</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277,087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2,349</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965,848</w:t>
            </w:r>
          </w:p>
        </w:tc>
      </w:tr>
      <w:tr>
        <w:trPr>
          <w:trHeight w:val="229"/>
        </w:trPr>
        <w:tc>
          <w:tcPr>
            <w:tcW w:w="5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8,984</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8,998</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November 30, 2022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686,412</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286,071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2,363</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974,846</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is not amortized as it is estimated to have an indefinite life. At least annually, we are required to test goodwill at the reporting unit level, which is consistent with our segments, for potential impairment, and, if impaired, we write down our goodwill to fair value based on the present value of discounted cash flows. We performed our annual goodwill impairment test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fourth quarter of fiscal 2022 utilizing a qualitative analysis, consistent with the timing and methodology of previous years. We concluded it was more likely than not that the fair value of each of our segments was not less than its respective carrying value and no impairment charge was required.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INTANGIBLE ASSETS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amortize intangible assets on a straight line basis over their estimated useful lives. The estimated useful life, gross carrying amounts and accumulated amortization totals related to our identifiable intangible assets are as follows: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Estimated</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November 30, 2022</w:t>
            </w:r>
          </w:p>
        </w:tc>
        <w:tc>
          <w:tcPr>
            <w:tcW w:w="11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August 31, 2022</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 except useful</w:t>
            </w:r>
          </w:p>
        </w:tc>
        <w:tc>
          <w:tcPr>
            <w:tcW w:w="1100" w:type="dxa"/>
            <w:vAlign w:val="bottom"/>
            <w:vMerge w:val="continue"/>
          </w:tcPr>
          <w:p>
            <w:pPr>
              <w:spacing w:after="0"/>
              <w:rPr>
                <w:sz w:val="13"/>
                <w:szCs w:val="13"/>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Gross Carrying</w:t>
            </w:r>
          </w:p>
        </w:tc>
        <w:tc>
          <w:tcPr>
            <w:tcW w:w="180" w:type="dxa"/>
            <w:vAlign w:val="bottom"/>
          </w:tcPr>
          <w:p>
            <w:pPr>
              <w:spacing w:after="0"/>
              <w:rPr>
                <w:sz w:val="13"/>
                <w:szCs w:val="13"/>
                <w:color w:val="auto"/>
              </w:rPr>
            </w:pPr>
          </w:p>
        </w:tc>
        <w:tc>
          <w:tcPr>
            <w:tcW w:w="11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Accumulated</w:t>
            </w:r>
          </w:p>
        </w:tc>
        <w:tc>
          <w:tcPr>
            <w:tcW w:w="160" w:type="dxa"/>
            <w:vAlign w:val="bottom"/>
          </w:tcPr>
          <w:p>
            <w:pPr>
              <w:spacing w:after="0"/>
              <w:rPr>
                <w:sz w:val="13"/>
                <w:szCs w:val="13"/>
                <w:color w:val="auto"/>
              </w:rPr>
            </w:pPr>
          </w:p>
        </w:tc>
        <w:tc>
          <w:tcPr>
            <w:tcW w:w="13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color w:val="auto"/>
                <w:w w:val="99"/>
              </w:rPr>
              <w:t>Net Carrying</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Gross Carrying</w:t>
            </w:r>
          </w:p>
        </w:tc>
        <w:tc>
          <w:tcPr>
            <w:tcW w:w="140" w:type="dxa"/>
            <w:vAlign w:val="bottom"/>
          </w:tcPr>
          <w:p>
            <w:pPr>
              <w:spacing w:after="0"/>
              <w:rPr>
                <w:sz w:val="13"/>
                <w:szCs w:val="13"/>
                <w:color w:val="auto"/>
              </w:rPr>
            </w:pPr>
          </w:p>
        </w:tc>
        <w:tc>
          <w:tcPr>
            <w:tcW w:w="12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Accumulated</w:t>
            </w:r>
          </w:p>
        </w:tc>
        <w:tc>
          <w:tcPr>
            <w:tcW w:w="160" w:type="dxa"/>
            <w:vAlign w:val="bottom"/>
          </w:tcPr>
          <w:p>
            <w:pPr>
              <w:spacing w:after="0"/>
              <w:rPr>
                <w:sz w:val="13"/>
                <w:szCs w:val="13"/>
                <w:color w:val="auto"/>
              </w:rPr>
            </w:pPr>
          </w:p>
        </w:tc>
        <w:tc>
          <w:tcPr>
            <w:tcW w:w="11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Net Carrying</w:t>
            </w:r>
          </w:p>
        </w:tc>
        <w:tc>
          <w:tcPr>
            <w:tcW w:w="0" w:type="dxa"/>
            <w:vAlign w:val="bottom"/>
          </w:tcPr>
          <w:p>
            <w:pPr>
              <w:spacing w:after="0"/>
              <w:rPr>
                <w:sz w:val="1"/>
                <w:szCs w:val="1"/>
                <w:color w:val="auto"/>
              </w:rPr>
            </w:pPr>
          </w:p>
        </w:tc>
      </w:tr>
      <w:tr>
        <w:trPr>
          <w:trHeight w:val="175"/>
        </w:trPr>
        <w:tc>
          <w:tcPr>
            <w:tcW w:w="2140" w:type="dxa"/>
            <w:vAlign w:val="bottom"/>
            <w:vMerge w:val="continue"/>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Useful Life</w:t>
            </w: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220" w:type="dxa"/>
            <w:vAlign w:val="bottom"/>
          </w:tcPr>
          <w:p>
            <w:pPr>
              <w:spacing w:after="0"/>
              <w:rPr>
                <w:sz w:val="21"/>
                <w:szCs w:val="21"/>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21"/>
                <w:szCs w:val="21"/>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Pr>
          <w:p>
            <w:pPr>
              <w:spacing w:after="0"/>
              <w:rPr>
                <w:sz w:val="21"/>
                <w:szCs w:val="21"/>
                <w:color w:val="auto"/>
              </w:rPr>
            </w:pP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21"/>
                <w:szCs w:val="21"/>
                <w:color w:val="auto"/>
              </w:rPr>
            </w:pP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23"/>
        </w:trPr>
        <w:tc>
          <w:tcPr>
            <w:tcW w:w="2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ABA business process</w:t>
            </w: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1,583,000</w:t>
            </w:r>
          </w:p>
        </w:tc>
        <w:tc>
          <w:tcPr>
            <w:tcW w:w="1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1,550,021</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1,583,000</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1,561,014</w:t>
            </w:r>
          </w:p>
        </w:tc>
        <w:tc>
          <w:tcPr>
            <w:tcW w:w="0" w:type="dxa"/>
            <w:vAlign w:val="bottom"/>
          </w:tcPr>
          <w:p>
            <w:pPr>
              <w:spacing w:after="0"/>
              <w:rPr>
                <w:sz w:val="1"/>
                <w:szCs w:val="1"/>
                <w:color w:val="auto"/>
              </w:rPr>
            </w:pPr>
          </w:p>
        </w:tc>
      </w:tr>
      <w:tr>
        <w:trPr>
          <w:trHeight w:val="324"/>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 to 26</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264,742</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59,313</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205,429</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263,163</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55,405</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207,758</w:t>
            </w:r>
          </w:p>
        </w:tc>
        <w:tc>
          <w:tcPr>
            <w:tcW w:w="0" w:type="dxa"/>
            <w:vAlign w:val="bottom"/>
          </w:tcPr>
          <w:p>
            <w:pPr>
              <w:spacing w:after="0"/>
              <w:rPr>
                <w:sz w:val="1"/>
                <w:szCs w:val="1"/>
                <w:color w:val="auto"/>
              </w:rPr>
            </w:pPr>
          </w:p>
        </w:tc>
      </w:tr>
      <w:tr>
        <w:trPr>
          <w:trHeight w:val="88"/>
        </w:trPr>
        <w:tc>
          <w:tcPr>
            <w:tcW w:w="2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1"/>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technology</w:t>
            </w: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to 9</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123,584</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100,609</w:t>
            </w: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22,975</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122,363</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96,567</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25,796</w:t>
            </w:r>
          </w:p>
        </w:tc>
        <w:tc>
          <w:tcPr>
            <w:tcW w:w="0" w:type="dxa"/>
            <w:vAlign w:val="bottom"/>
          </w:tcPr>
          <w:p>
            <w:pPr>
              <w:spacing w:after="0"/>
              <w:rPr>
                <w:sz w:val="1"/>
                <w:szCs w:val="1"/>
                <w:color w:val="auto"/>
              </w:rPr>
            </w:pPr>
          </w:p>
        </w:tc>
      </w:tr>
      <w:tr>
        <w:trPr>
          <w:trHeight w:val="95"/>
        </w:trPr>
        <w:tc>
          <w:tcPr>
            <w:tcW w:w="214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 to 5</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89,081</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37,870</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80,956</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33,676</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47,280</w:t>
            </w:r>
          </w:p>
        </w:tc>
        <w:tc>
          <w:tcPr>
            <w:tcW w:w="0" w:type="dxa"/>
            <w:vAlign w:val="bottom"/>
          </w:tcPr>
          <w:p>
            <w:pPr>
              <w:spacing w:after="0"/>
              <w:rPr>
                <w:sz w:val="1"/>
                <w:szCs w:val="1"/>
                <w:color w:val="auto"/>
              </w:rPr>
            </w:pPr>
          </w:p>
        </w:tc>
      </w:tr>
      <w:tr>
        <w:trPr>
          <w:trHeight w:val="88"/>
        </w:trPr>
        <w:tc>
          <w:tcPr>
            <w:tcW w:w="2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databases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43,700</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44,467</w:t>
            </w:r>
          </w:p>
        </w:tc>
        <w:tc>
          <w:tcPr>
            <w:tcW w:w="0" w:type="dxa"/>
            <w:vAlign w:val="bottom"/>
          </w:tcPr>
          <w:p>
            <w:pPr>
              <w:spacing w:after="0"/>
              <w:rPr>
                <w:sz w:val="1"/>
                <w:szCs w:val="1"/>
                <w:color w:val="auto"/>
              </w:rPr>
            </w:pPr>
          </w:p>
        </w:tc>
      </w:tr>
      <w:tr>
        <w:trPr>
          <w:trHeight w:val="230"/>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content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 to 20</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33,389</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26,153</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32,305</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24,973</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0" w:type="dxa"/>
            <w:vAlign w:val="bottom"/>
          </w:tcPr>
          <w:p>
            <w:pPr>
              <w:spacing w:after="0"/>
              <w:rPr>
                <w:sz w:val="1"/>
                <w:szCs w:val="1"/>
                <w:color w:val="auto"/>
              </w:rPr>
            </w:pPr>
          </w:p>
        </w:tc>
      </w:tr>
      <w:tr>
        <w:trPr>
          <w:trHeight w:val="32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0" w:type="dxa"/>
            <w:vAlign w:val="bottom"/>
          </w:tcPr>
          <w:p>
            <w:pPr>
              <w:spacing w:after="0"/>
              <w:rPr>
                <w:sz w:val="1"/>
                <w:szCs w:val="1"/>
                <w:color w:val="auto"/>
              </w:rPr>
            </w:pPr>
          </w:p>
        </w:tc>
      </w:tr>
      <w:tr>
        <w:trPr>
          <w:trHeight w:val="95"/>
        </w:trPr>
        <w:tc>
          <w:tcPr>
            <w:tcW w:w="214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960" w:type="dxa"/>
            <w:vAlign w:val="bottom"/>
            <w:tcBorders>
              <w:bottom w:val="single" w:sz="8" w:color="auto"/>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180" w:type="dxa"/>
            <w:vAlign w:val="bottom"/>
            <w:tcBorders>
              <w:bottom w:val="single" w:sz="8" w:color="auto"/>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1140" w:type="dxa"/>
            <w:vAlign w:val="bottom"/>
            <w:tcBorders>
              <w:bottom w:val="single" w:sz="8" w:color="auto"/>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980" w:type="dxa"/>
            <w:vAlign w:val="bottom"/>
            <w:tcBorders>
              <w:bottom w:val="single" w:sz="8" w:color="auto"/>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1240" w:type="dxa"/>
            <w:vAlign w:val="bottom"/>
            <w:tcBorders>
              <w:bottom w:val="single" w:sz="8" w:color="auto"/>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118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140" w:type="dxa"/>
            <w:vAlign w:val="bottom"/>
          </w:tcPr>
          <w:p>
            <w:pPr>
              <w:ind w:left="48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1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2,146,547</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263,564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1,882,983</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2,134,480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238,571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1,895,909</w:t>
            </w:r>
          </w:p>
        </w:tc>
        <w:tc>
          <w:tcPr>
            <w:tcW w:w="0" w:type="dxa"/>
            <w:vAlign w:val="bottom"/>
          </w:tcPr>
          <w:p>
            <w:pPr>
              <w:spacing w:after="0"/>
              <w:rPr>
                <w:sz w:val="1"/>
                <w:szCs w:val="1"/>
                <w:color w:val="auto"/>
              </w:rPr>
            </w:pPr>
          </w:p>
        </w:tc>
      </w:tr>
    </w:tbl>
    <w:p>
      <w:pPr>
        <w:spacing w:after="0" w:line="2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weighted average useful life of our intangible assets at November 30, 2022 was 32.8 years. As described in Note 6,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we acquired several intangible assets as part of the CGS acquisition. The weighted average useful life of our intangible assets at November 30, 2022, excluding those acquired from CGS, was 9.5 years. We assess intangible assets for indicators of impairment on a quarterly basis, including an evaluation of our useful lives to determine if events and circumstances warrant a revision to the remaining period of amortization. If indicators of impairment are present, amortizable intangible assets are tested for impairment by comparing the carrying value to undiscounted cash flows and, if impaired, written down to fair value based on discounted cash flows. We have not identified a material impairment nor a material change to the estimated remaining useful lives of our intangible assets for the three months ended November 30, 2022 and November 30, 2021. The intangible assets have no assigned residual values.</w:t>
      </w:r>
    </w:p>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expense recorded for intangible assets for the three months ended November 30, 2022 and November 30, 2021 was $21.7 million and $10.1 million,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30, 2022, estimated intangible asset amortization expense for each of the next five years and thereafter are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Fiscal Year </w:t>
            </w:r>
            <w:r>
              <w:rPr>
                <w:rFonts w:ascii="Times New Roman" w:cs="Times New Roman" w:eastAsia="Times New Roman" w:hAnsi="Times New Roman"/>
                <w:sz w:val="18"/>
                <w:szCs w:val="18"/>
                <w:i w:val="1"/>
                <w:iCs w:val="1"/>
                <w:color w:val="auto"/>
              </w:rPr>
              <w:t>(in thousands)</w:t>
            </w:r>
          </w:p>
        </w:tc>
        <w:tc>
          <w:tcPr>
            <w:tcW w:w="3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Estimated Amortization Expense</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(remaining nine months)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82,708</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76,216</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67,546</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62,783</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1,524,332</w:t>
            </w:r>
          </w:p>
        </w:tc>
      </w:tr>
      <w:tr>
        <w:trPr>
          <w:trHeight w:val="223"/>
        </w:trPr>
        <w:tc>
          <w:tcPr>
            <w:tcW w:w="8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1,882,983</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 INCOME TAXES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is based on taxable income determined in accordance with current enacted laws and tax rates. Deferred income taxes are recorded for the temporary differences between the financial statement and the tax bases of assets and liabilities using currently enacted tax rates.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15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5"/>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Provision and Effective Tax Rate</w:t>
            </w:r>
          </w:p>
        </w:tc>
        <w:tc>
          <w:tcPr>
            <w:tcW w:w="1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The provision for income taxes and effective tax rate are as follows:</w:t>
            </w:r>
          </w:p>
        </w:tc>
        <w:tc>
          <w:tcPr>
            <w:tcW w:w="1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9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00" w:type="dxa"/>
            <w:vAlign w:val="bottom"/>
          </w:tcPr>
          <w:p>
            <w:pPr>
              <w:spacing w:after="0"/>
              <w:rPr>
                <w:sz w:val="19"/>
                <w:szCs w:val="19"/>
                <w:color w:val="auto"/>
              </w:rPr>
            </w:pPr>
          </w:p>
        </w:tc>
        <w:tc>
          <w:tcPr>
            <w:tcW w:w="2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November 30,</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60" w:type="dxa"/>
            <w:vAlign w:val="bottom"/>
            <w:tcBorders>
              <w:bottom w:val="single" w:sz="8" w:color="auto"/>
            </w:tcBorders>
            <w:vMerge w:val="continue"/>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2022</w:t>
            </w:r>
          </w:p>
        </w:tc>
        <w:tc>
          <w:tcPr>
            <w:tcW w:w="8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157,885</w:t>
            </w:r>
          </w:p>
        </w:tc>
        <w:tc>
          <w:tcPr>
            <w:tcW w:w="8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119,930</w:t>
            </w:r>
          </w:p>
        </w:tc>
        <w:tc>
          <w:tcPr>
            <w:tcW w:w="0" w:type="dxa"/>
            <w:vAlign w:val="bottom"/>
          </w:tcPr>
          <w:p>
            <w:pPr>
              <w:spacing w:after="0"/>
              <w:rPr>
                <w:sz w:val="1"/>
                <w:szCs w:val="1"/>
                <w:color w:val="auto"/>
              </w:rPr>
            </w:pPr>
          </w:p>
        </w:tc>
      </w:tr>
      <w:tr>
        <w:trPr>
          <w:trHeight w:val="229"/>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21,087</w:t>
            </w:r>
          </w:p>
        </w:tc>
        <w:tc>
          <w:tcPr>
            <w:tcW w:w="8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12,283</w:t>
            </w: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Effective tax rate</w:t>
            </w:r>
          </w:p>
        </w:tc>
        <w:tc>
          <w:tcPr>
            <w:tcW w:w="1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8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is based on recurring factors and non-recurring events, including the taxation of foreign income. Our effective tax rate will vary based on, among other things, changes in levels of foreign income, as well as discrete and other non-recurring events that may not be predictable. For the three months ended November 30, 2022, our effective tax rate is lower than the applicable U.S. corporate income tax rate mainly due to research and development ("R&amp;D") tax credits, a foreign derived intangible income ("FDII") deduction and a tax benefit from the exercise of stock options.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November 30, 2022, the provision for income taxes was $21.1 million, compared with $12.3 million for the same period a year ago. The provision increased mainly due to higher pretax income at a higher effective tax rate and, to a lesser extent, an increase of the UK statutory tax rate.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LEASES</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lease portfolio is primarily related to our office space, </w:t>
      </w:r>
      <w:r>
        <w:rPr>
          <w:rFonts w:ascii="Times New Roman" w:cs="Times New Roman" w:eastAsia="Times New Roman" w:hAnsi="Times New Roman"/>
          <w:sz w:val="18"/>
          <w:szCs w:val="18"/>
          <w:color w:val="212529"/>
        </w:rPr>
        <w:t>under various operating lease agreements.</w:t>
      </w:r>
      <w:r>
        <w:rPr>
          <w:rFonts w:ascii="Times New Roman" w:cs="Times New Roman" w:eastAsia="Times New Roman" w:hAnsi="Times New Roman"/>
          <w:sz w:val="18"/>
          <w:szCs w:val="18"/>
          <w:color w:val="auto"/>
        </w:rPr>
        <w:t xml:space="preserve"> We review new arrangements at inception to evaluate whether we obtain substantially all the economic benefits of and have the right to control the use of an asset. </w:t>
      </w:r>
      <w:r>
        <w:rPr>
          <w:rFonts w:ascii="Times New Roman" w:cs="Times New Roman" w:eastAsia="Times New Roman" w:hAnsi="Times New Roman"/>
          <w:sz w:val="18"/>
          <w:szCs w:val="18"/>
          <w:color w:val="212529"/>
        </w:rPr>
        <w:t>Our</w:t>
      </w:r>
      <w:r>
        <w:rPr>
          <w:rFonts w:ascii="Times New Roman" w:cs="Times New Roman" w:eastAsia="Times New Roman" w:hAnsi="Times New Roman"/>
          <w:sz w:val="18"/>
          <w:szCs w:val="18"/>
          <w:color w:val="auto"/>
        </w:rPr>
        <w:t xml:space="preserve"> lease ROU assets and lease liabilities are recognized based on </w:t>
      </w:r>
      <w:r>
        <w:rPr>
          <w:rFonts w:ascii="Times New Roman" w:cs="Times New Roman" w:eastAsia="Times New Roman" w:hAnsi="Times New Roman"/>
          <w:sz w:val="18"/>
          <w:szCs w:val="18"/>
          <w:color w:val="212529"/>
        </w:rPr>
        <w:t>the present value of future minimum lease payments at lease commencement (which includes fixed lease payments and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qualifying index-based variable payments) </w:t>
      </w:r>
      <w:r>
        <w:rPr>
          <w:rFonts w:ascii="Times New Roman" w:cs="Times New Roman" w:eastAsia="Times New Roman" w:hAnsi="Times New Roman"/>
          <w:sz w:val="18"/>
          <w:szCs w:val="18"/>
          <w:color w:val="000000"/>
        </w:rPr>
        <w:t>over the reasonably certain lease term, leveraging</w:t>
      </w:r>
      <w:r>
        <w:rPr>
          <w:rFonts w:ascii="Times New Roman" w:cs="Times New Roman" w:eastAsia="Times New Roman" w:hAnsi="Times New Roman"/>
          <w:sz w:val="18"/>
          <w:szCs w:val="18"/>
          <w:color w:val="212529"/>
        </w:rPr>
        <w:t xml:space="preserve"> an estimated IBR. </w:t>
      </w:r>
      <w:r>
        <w:rPr>
          <w:rFonts w:ascii="Times New Roman" w:cs="Times New Roman" w:eastAsia="Times New Roman" w:hAnsi="Times New Roman"/>
          <w:sz w:val="18"/>
          <w:szCs w:val="18"/>
          <w:color w:val="000000"/>
        </w:rPr>
        <w:t>Certain adjustments to calculate our lease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ROU assets may be required due to prepayments, lease incentives received and initial direct costs incurred. We account for the lease and non-lease components as a single lease component, which we recognize over the expected term on a straight-line expense basis in occupancy costs (a component of SG&amp;A expense) in our Consolidated Statements of Income.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 xml:space="preserve">As of </w:t>
      </w:r>
      <w:r>
        <w:rPr>
          <w:rFonts w:ascii="Times New Roman" w:cs="Times New Roman" w:eastAsia="Times New Roman" w:hAnsi="Times New Roman"/>
          <w:sz w:val="18"/>
          <w:szCs w:val="18"/>
          <w:color w:val="000000"/>
        </w:rPr>
        <w:t>November 30, 2022, we recognized $154.1 million of Lease right-of-use assets, net and $230.9 million of combined Current lease liabilities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Long-term lease liabilities in the Consolidated Balance Sheets. Such leases </w:t>
      </w:r>
      <w:r>
        <w:rPr>
          <w:rFonts w:ascii="Times New Roman" w:cs="Times New Roman" w:eastAsia="Times New Roman" w:hAnsi="Times New Roman"/>
          <w:sz w:val="18"/>
          <w:szCs w:val="18"/>
          <w:color w:val="212529"/>
        </w:rPr>
        <w:t>have a remaining lease term ranging from less than</w:t>
      </w:r>
      <w:r>
        <w:rPr>
          <w:rFonts w:ascii="Times New Roman" w:cs="Times New Roman" w:eastAsia="Times New Roman" w:hAnsi="Times New Roman"/>
          <w:sz w:val="18"/>
          <w:szCs w:val="18"/>
          <w:color w:val="000000"/>
        </w:rPr>
        <w:t xml:space="preserve"> one year </w:t>
      </w:r>
      <w:r>
        <w:rPr>
          <w:rFonts w:ascii="Times New Roman" w:cs="Times New Roman" w:eastAsia="Times New Roman" w:hAnsi="Times New Roman"/>
          <w:sz w:val="18"/>
          <w:szCs w:val="18"/>
          <w:color w:val="212529"/>
        </w:rPr>
        <w:t>to just over</w:t>
      </w:r>
      <w:r>
        <w:rPr>
          <w:rFonts w:ascii="Times New Roman" w:cs="Times New Roman" w:eastAsia="Times New Roman" w:hAnsi="Times New Roman"/>
          <w:sz w:val="18"/>
          <w:szCs w:val="18"/>
          <w:color w:val="000000"/>
        </w:rPr>
        <w:t xml:space="preserve"> 13 years </w:t>
      </w:r>
      <w:r>
        <w:rPr>
          <w:rFonts w:ascii="Times New Roman" w:cs="Times New Roman" w:eastAsia="Times New Roman" w:hAnsi="Times New Roman"/>
          <w:sz w:val="18"/>
          <w:szCs w:val="18"/>
          <w:color w:val="212529"/>
        </w:rPr>
        <w:t>and</w:t>
      </w:r>
      <w:r>
        <w:rPr>
          <w:rFonts w:ascii="Times New Roman" w:cs="Times New Roman" w:eastAsia="Times New Roman" w:hAnsi="Times New Roman"/>
          <w:sz w:val="18"/>
          <w:szCs w:val="18"/>
          <w:color w:val="000000"/>
        </w:rPr>
        <w:t xml:space="preserve"> did not include any renewal or termination options that were not yet reasonably certain to be exercised.</w:t>
      </w:r>
    </w:p>
    <w:p>
      <w:pPr>
        <w:spacing w:after="0" w:line="13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212529"/>
        </w:rPr>
        <w:t xml:space="preserve">The following table reconciles our future undiscounted cash flows related to our operating leases and the reconciliation to the combined </w:t>
      </w:r>
      <w:r>
        <w:rPr>
          <w:rFonts w:ascii="Times New Roman" w:cs="Times New Roman" w:eastAsia="Times New Roman" w:hAnsi="Times New Roman"/>
          <w:sz w:val="18"/>
          <w:szCs w:val="18"/>
          <w:color w:val="000000"/>
        </w:rPr>
        <w:t>Current lease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liabilities and Long-term lease liabilities in the Consolidated Balance Sheets </w:t>
      </w:r>
      <w:r>
        <w:rPr>
          <w:rFonts w:ascii="Times New Roman" w:cs="Times New Roman" w:eastAsia="Times New Roman" w:hAnsi="Times New Roman"/>
          <w:sz w:val="18"/>
          <w:szCs w:val="18"/>
          <w:color w:val="212529"/>
        </w:rPr>
        <w:t>as of</w:t>
      </w:r>
      <w:r>
        <w:rPr>
          <w:rFonts w:ascii="Times New Roman" w:cs="Times New Roman" w:eastAsia="Times New Roman" w:hAnsi="Times New Roman"/>
          <w:sz w:val="18"/>
          <w:szCs w:val="18"/>
          <w:color w:val="000000"/>
        </w:rPr>
        <w:t xml:space="preserve"> November 30, 2022</w:t>
      </w:r>
      <w:r>
        <w:rPr>
          <w:rFonts w:ascii="Times New Roman" w:cs="Times New Roman" w:eastAsia="Times New Roman" w:hAnsi="Times New Roman"/>
          <w:sz w:val="18"/>
          <w:szCs w:val="18"/>
          <w:color w:val="212529"/>
        </w:rPr>
        <w: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6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Minimum Lease</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4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Payments</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(remaining nine months)</w:t>
            </w:r>
          </w:p>
        </w:tc>
        <w:tc>
          <w:tcPr>
            <w:tcW w:w="470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28,995</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35,424</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33,332</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32,546</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31,694</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114,070</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1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276,061</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45,127</w:t>
            </w:r>
          </w:p>
        </w:tc>
        <w:tc>
          <w:tcPr>
            <w:tcW w:w="0" w:type="dxa"/>
            <w:vAlign w:val="bottom"/>
          </w:tcPr>
          <w:p>
            <w:pPr>
              <w:spacing w:after="0"/>
              <w:rPr>
                <w:sz w:val="1"/>
                <w:szCs w:val="1"/>
                <w:color w:val="auto"/>
              </w:rPr>
            </w:pPr>
          </w:p>
        </w:tc>
      </w:tr>
      <w:tr>
        <w:trPr>
          <w:trHeight w:val="248"/>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w:t>
            </w:r>
          </w:p>
        </w:tc>
        <w:tc>
          <w:tcPr>
            <w:tcW w:w="4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230,934</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bottom w:val="single" w:sz="8" w:color="CCEEFF"/>
            </w:tcBorders>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88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5"/>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includes the components of our occupancy costs in our Consolidated Statements of Income:</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8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8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w w:val="98"/>
              </w:rPr>
              <w:t>Three Months Ended</w:t>
            </w:r>
          </w:p>
        </w:tc>
        <w:tc>
          <w:tcPr>
            <w:tcW w:w="0" w:type="dxa"/>
            <w:vAlign w:val="bottom"/>
          </w:tcPr>
          <w:p>
            <w:pPr>
              <w:spacing w:after="0"/>
              <w:rPr>
                <w:sz w:val="1"/>
                <w:szCs w:val="1"/>
                <w:color w:val="auto"/>
              </w:rPr>
            </w:pPr>
          </w:p>
        </w:tc>
      </w:tr>
      <w:tr>
        <w:trPr>
          <w:trHeight w:val="229"/>
        </w:trPr>
        <w:tc>
          <w:tcPr>
            <w:tcW w:w="8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740" w:type="dxa"/>
            <w:vAlign w:val="bottom"/>
          </w:tcPr>
          <w:p>
            <w:pPr>
              <w:spacing w:after="0"/>
              <w:rPr>
                <w:sz w:val="19"/>
                <w:szCs w:val="19"/>
                <w:color w:val="auto"/>
              </w:rPr>
            </w:pPr>
          </w:p>
        </w:tc>
        <w:tc>
          <w:tcPr>
            <w:tcW w:w="208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November 30,</w:t>
            </w:r>
          </w:p>
        </w:tc>
        <w:tc>
          <w:tcPr>
            <w:tcW w:w="0" w:type="dxa"/>
            <w:vAlign w:val="bottom"/>
          </w:tcPr>
          <w:p>
            <w:pPr>
              <w:spacing w:after="0"/>
              <w:rPr>
                <w:sz w:val="1"/>
                <w:szCs w:val="1"/>
                <w:color w:val="auto"/>
              </w:rPr>
            </w:pPr>
          </w:p>
        </w:tc>
      </w:tr>
      <w:tr>
        <w:trPr>
          <w:trHeight w:val="234"/>
        </w:trPr>
        <w:tc>
          <w:tcPr>
            <w:tcW w:w="8420" w:type="dxa"/>
            <w:vAlign w:val="bottom"/>
            <w:tcBorders>
              <w:bottom w:val="single" w:sz="8" w:color="auto"/>
            </w:tcBorders>
            <w:vMerge w:val="continue"/>
          </w:tcPr>
          <w:p>
            <w:pPr>
              <w:spacing w:after="0"/>
              <w:rPr>
                <w:sz w:val="20"/>
                <w:szCs w:val="20"/>
                <w:color w:val="auto"/>
              </w:rPr>
            </w:pPr>
          </w:p>
        </w:tc>
        <w:tc>
          <w:tcPr>
            <w:tcW w:w="1480" w:type="dxa"/>
            <w:vAlign w:val="bottom"/>
            <w:tcBorders>
              <w:bottom w:val="single" w:sz="8" w:color="auto"/>
            </w:tcBorders>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3"/>
                <w:szCs w:val="23"/>
                <w:i w:val="1"/>
                <w:iCs w:val="1"/>
                <w:color w:val="auto"/>
                <w:vertAlign w:val="superscript"/>
              </w:rPr>
              <w:t>(1)</w:t>
            </w:r>
          </w:p>
        </w:tc>
        <w:tc>
          <w:tcPr>
            <w:tcW w:w="7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21252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8.1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312"/>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3"/>
                <w:szCs w:val="23"/>
                <w:i w:val="1"/>
                <w:iCs w:val="1"/>
                <w:color w:val="auto"/>
                <w:vertAlign w:val="superscript"/>
              </w:rPr>
              <w:t>(2)</w:t>
            </w: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93"/>
        </w:trPr>
        <w:tc>
          <w:tcPr>
            <w:tcW w:w="91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(1)   Operating lease costs include costs associated with fixed lease payments and index-based variable payments that qualified for lease</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accounting under ASC 842,</w:t>
            </w:r>
          </w:p>
        </w:tc>
        <w:tc>
          <w:tcPr>
            <w:tcW w:w="0" w:type="dxa"/>
            <w:vAlign w:val="bottom"/>
          </w:tcPr>
          <w:p>
            <w:pPr>
              <w:spacing w:after="0"/>
              <w:rPr>
                <w:sz w:val="1"/>
                <w:szCs w:val="1"/>
                <w:color w:val="auto"/>
              </w:rPr>
            </w:pPr>
          </w:p>
        </w:tc>
      </w:tr>
      <w:tr>
        <w:trPr>
          <w:trHeight w:val="212"/>
        </w:trPr>
        <w:tc>
          <w:tcPr>
            <w:tcW w:w="8420" w:type="dxa"/>
            <w:vAlign w:val="bottom"/>
          </w:tcPr>
          <w:p>
            <w:pPr>
              <w:ind w:left="260"/>
              <w:spacing w:after="0"/>
              <w:rPr>
                <w:sz w:val="20"/>
                <w:szCs w:val="20"/>
                <w:color w:val="auto"/>
              </w:rPr>
            </w:pPr>
            <w:r>
              <w:rPr>
                <w:rFonts w:ascii="Times New Roman" w:cs="Times New Roman" w:eastAsia="Times New Roman" w:hAnsi="Times New Roman"/>
                <w:sz w:val="16"/>
                <w:szCs w:val="16"/>
                <w:i w:val="1"/>
                <w:iCs w:val="1"/>
                <w:color w:val="auto"/>
              </w:rPr>
              <w:t>Leases and complied with the practical expedients and exceptions elected by us.</w:t>
            </w: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ind w:left="260" w:hanging="252"/>
        <w:spacing w:after="0" w:line="273" w:lineRule="auto"/>
        <w:tabs>
          <w:tab w:leader="none" w:pos="384"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Variable lease costs include costs that were not fixed at the lease commencement date and are not dependent on an index or rate. These costs were not included in the measurement of lease liabilities and primarily include variable non-lease costs, such as utilities, real estate taxes, insurance and maintenance, as well as lease costs for those leases that qualified for the short-term lease exception.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lease term and discount rate assumptions related to the operating leases recorded on the Consolidated Balance Sheets: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As of November 30, 2022</w:t>
            </w:r>
          </w:p>
        </w:tc>
        <w:tc>
          <w:tcPr>
            <w:tcW w:w="23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As of August 31, 2022</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remaining lease term </w:t>
            </w:r>
            <w:r>
              <w:rPr>
                <w:rFonts w:ascii="Times New Roman" w:cs="Times New Roman" w:eastAsia="Times New Roman" w:hAnsi="Times New Roman"/>
                <w:sz w:val="18"/>
                <w:szCs w:val="18"/>
                <w:i w:val="1"/>
                <w:iCs w:val="1"/>
                <w:color w:val="auto"/>
              </w:rPr>
              <w:t>(in years)</w:t>
            </w:r>
          </w:p>
        </w:tc>
        <w:tc>
          <w:tcPr>
            <w:tcW w:w="3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discount rate </w:t>
            </w:r>
            <w:r>
              <w:rPr>
                <w:rFonts w:ascii="Times New Roman" w:cs="Times New Roman" w:eastAsia="Times New Roman" w:hAnsi="Times New Roman"/>
                <w:sz w:val="18"/>
                <w:szCs w:val="18"/>
                <w:i w:val="1"/>
                <w:iCs w:val="1"/>
                <w:color w:val="auto"/>
              </w:rPr>
              <w:t>(IBR)</w:t>
            </w:r>
          </w:p>
        </w:tc>
        <w:tc>
          <w:tcPr>
            <w:tcW w:w="3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4.4 %</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supplemental cash flow information related to our operating leases: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5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November 30,</w:t>
            </w:r>
          </w:p>
        </w:tc>
        <w:tc>
          <w:tcPr>
            <w:tcW w:w="122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auto"/>
            </w:tcBorders>
            <w:vMerge w:val="continue"/>
          </w:tcPr>
          <w:p>
            <w:pPr>
              <w:spacing w:after="0"/>
              <w:rPr>
                <w:sz w:val="19"/>
                <w:szCs w:val="19"/>
                <w:color w:val="auto"/>
              </w:rPr>
            </w:pPr>
          </w:p>
        </w:tc>
        <w:tc>
          <w:tcPr>
            <w:tcW w:w="228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8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308"/>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ROU assets obtained in exchange for lease liabilities</w:t>
            </w:r>
            <w:r>
              <w:rPr>
                <w:rFonts w:ascii="Times New Roman" w:cs="Times New Roman" w:eastAsia="Times New Roman" w:hAnsi="Times New Roman"/>
                <w:sz w:val="23"/>
                <w:szCs w:val="23"/>
                <w:i w:val="1"/>
                <w:iCs w:val="1"/>
                <w:color w:val="auto"/>
                <w:vertAlign w:val="superscript"/>
              </w:rPr>
              <w:t>(1)</w:t>
            </w:r>
          </w:p>
        </w:tc>
        <w:tc>
          <w:tcPr>
            <w:tcW w:w="228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(1) Primarily includes new lease arrangements entered into during the period and contract modifications that extend our lease terms and/or provide additional rights.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DEBT</w:t>
      </w:r>
    </w:p>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elected not to carry our Long-term debt at fair value. The carrying value of our debt is net of related unamortized discount and debt issuance costs. Our total debt obligations as of November 30, 2022 and August 31, 2022 consisted of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Contractual</w:t>
            </w:r>
          </w:p>
        </w:tc>
        <w:tc>
          <w:tcPr>
            <w:tcW w:w="14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November 30,</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0"/>
        </w:trPr>
        <w:tc>
          <w:tcPr>
            <w:tcW w:w="6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Issuance Date</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Maturity Date</w:t>
            </w: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4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August 31, 2022</w:t>
            </w:r>
          </w:p>
        </w:tc>
      </w:tr>
      <w:tr>
        <w:trPr>
          <w:trHeight w:val="216"/>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Credit Agreement</w:t>
            </w: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2022</w:t>
            </w: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Facility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3/1/2025</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2022</w:t>
            </w:r>
          </w:p>
        </w:tc>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Facility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3/1/2027</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03"/>
        </w:trPr>
        <w:tc>
          <w:tcPr>
            <w:tcW w:w="606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2027</w:t>
            </w: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3/1/2027</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2032</w:t>
            </w:r>
          </w:p>
        </w:tc>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3/1/2032</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03"/>
        </w:trPr>
        <w:tc>
          <w:tcPr>
            <w:tcW w:w="606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unamortized discounts and debt issuance costs</w:t>
            </w:r>
          </w:p>
        </w:tc>
        <w:tc>
          <w:tcPr>
            <w:tcW w:w="1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(15,904)</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(17,576)</w:t>
            </w:r>
          </w:p>
        </w:tc>
      </w:tr>
      <w:tr>
        <w:trPr>
          <w:trHeight w:val="270"/>
        </w:trPr>
        <w:tc>
          <w:tcPr>
            <w:tcW w:w="6060" w:type="dxa"/>
            <w:vAlign w:val="bottom"/>
            <w:tcBorders>
              <w:bottom w:val="single" w:sz="8" w:color="CCEEFF"/>
            </w:tcBorders>
            <w:gridSpan w:val="2"/>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r>
      <w:tr>
        <w:trPr>
          <w:trHeight w:val="248"/>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1,859,096</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1,982,424</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30, 2022, annual maturities on our total debt obligations, based on contract maturity,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70"/>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1080" w:type="dxa"/>
            <w:vAlign w:val="bottom"/>
            <w:tcBorders>
              <w:bottom w:val="single" w:sz="8" w:color="auto"/>
            </w:tcBorders>
          </w:tcPr>
          <w:p>
            <w:pPr>
              <w:spacing w:after="0"/>
              <w:rPr>
                <w:sz w:val="23"/>
                <w:szCs w:val="23"/>
                <w:color w:val="auto"/>
              </w:rPr>
            </w:pPr>
          </w:p>
        </w:tc>
        <w:tc>
          <w:tcPr>
            <w:tcW w:w="3800" w:type="dxa"/>
            <w:vAlign w:val="bottom"/>
            <w:tcBorders>
              <w:bottom w:val="single" w:sz="8" w:color="auto"/>
            </w:tcBorders>
          </w:tcPr>
          <w:p>
            <w:pPr>
              <w:jc w:val="right"/>
              <w:ind w:right="1990"/>
              <w:spacing w:after="0"/>
              <w:rPr>
                <w:sz w:val="20"/>
                <w:szCs w:val="20"/>
                <w:color w:val="auto"/>
              </w:rPr>
            </w:pPr>
            <w:r>
              <w:rPr>
                <w:rFonts w:ascii="Times New Roman" w:cs="Times New Roman" w:eastAsia="Times New Roman" w:hAnsi="Times New Roman"/>
                <w:sz w:val="18"/>
                <w:szCs w:val="18"/>
                <w:color w:val="auto"/>
              </w:rPr>
              <w:t>Maturities</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(remaining nine months)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Pr>
          <w:p>
            <w:pPr>
              <w:spacing w:after="0"/>
              <w:rPr>
                <w:sz w:val="19"/>
                <w:szCs w:val="19"/>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shd w:val="clear" w:color="auto" w:fill="CCEEFF"/>
          </w:tcPr>
          <w:p>
            <w:pPr>
              <w:spacing w:after="0"/>
              <w:rPr>
                <w:sz w:val="19"/>
                <w:szCs w:val="19"/>
                <w:color w:val="auto"/>
              </w:rPr>
            </w:pP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80" w:type="dxa"/>
            <w:vAlign w:val="bottom"/>
          </w:tcPr>
          <w:p>
            <w:pPr>
              <w:spacing w:after="0"/>
              <w:rPr>
                <w:sz w:val="19"/>
                <w:szCs w:val="19"/>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80" w:type="dxa"/>
            <w:vAlign w:val="bottom"/>
            <w:shd w:val="clear" w:color="auto" w:fill="CCEEFF"/>
          </w:tcPr>
          <w:p>
            <w:pPr>
              <w:spacing w:after="0"/>
              <w:rPr>
                <w:sz w:val="19"/>
                <w:szCs w:val="19"/>
                <w:color w:val="auto"/>
              </w:rPr>
            </w:pP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1,875,000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Credit Agreement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29, 2019, we entered into a credit agreement with PNC Bank, National Association (the "2019 Credit Agreement"), and borrowed $575.0 million of the available $750.0 million provided by the revolving credit facility thereunder (the "2019 Revolving Credit Facility"). Borrowings under the 2019 Revolving Credit Facility bore interest on the outstanding principal amount at a rate equal to the daily LIBOR plus a spread using a debt leverage pricing grid. Interest on the amounts outstanding under the 2019 Revolving Credit Facility was payable quarterly, in arrears, and on the maturity date. We incurred approximately $0.9 million in debt issuance costs related to the 2019 Credit Agreement.</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 2022, we terminated the 2019 Credit Agreement and amortized the remaining related $0.4 million of capitalized debt issuance costs into Interest expense, net in the Consolidated Statements of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 2022, we entered into a credit agreement (the "2022 Credit Agreement") and borrowed an aggregate principal amount of $1.0 billion under its senior unsecured term loan credit facility (the "2022 Term Facility") and $250.0 million of the available $500.0 million under its senior unsecured revolving credit facility (the "2022 Revolving Facility" and, together with the 2022 Term Facility, the “2022 Credit Facilities”). The 2022 Term Facility matures on March 1, 2025, and the 2022 Revolving Facility matures on March 1, 2027. The 2022 Revolving Facility allows for the availability of up to $100.0 million in the form of letters of credit and up to $50.0 million in the form of swingline loans. We may seek additional commitments under the 2022 Revolving Facility from lenders or other financial institutions up to an aggregate principal amount of $750.0 million.</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pay a commitment fee on the daily unused amount of the 2022 Revolving Facility using a pricing grid based upon our senior unsecured non-credit enhanced long-term debt rating and our total leverage ratio. The commitment fee remained at 0.125% from the borrowing date through November 30, 2022.</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used these borrowings, along with the net proceeds from the issuance of the Senior Notes (as defined below) and cash on hand, to finance the consideration for the CGS acquisition, to repay borrowings under the 2019 Credit Agreement and to pay related transaction fees, costs and 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2022, we incurred approximately $9.5 million in debt issuance costs related to the 2022 Credit Facilities. Debt issuance costs are presented in the Consolidated Balance Sheets as a direct deduction from the carrying amount of the related debt liability. Debt issuance costs are amortized to Interest expense, net in the Consolidated Statements of Income over the contractual term of the debt on a straight-line basis, which approximates the effective interest method.</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voluntarily prepay loans under the 2022 Credit Facilities at any time without premium or penalty. During the first quarter of fiscal 2023, we repaid $125.0 million under the 2022 Term Facility, inclusive of voluntary prepayments of $112.5 million. Since March 1, 2022, we have repaid $375.0 million under the 2022 Term Facility, inclusive of voluntary prepayments of $350.0 million.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November 30, 2022, the outstanding borrowings under the 2022 Credit Facilities bore interest at a rate equal to the applicable one-month Term SOFR rate plus a 1.1% spread (comprised of a 1.0% interest rate margin based on a debt leverage pricing grid plus 0.1% credit spread adjustment). The spread remained consistent from the borrowing date through November 30, 2022. Interest on the 2022 Credit Facilities is currently payable on the last business day of each month, in arrears.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event of default provisions for facilities of this type, which are subject to usual and customary grace periods and materiality thresholds. If an event of default occurs under the 2022 Credit Agreement, the lenders may, among other things, terminate their commitments and declare all outstanding borrowings immediately due and payable.</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affirmative and negative covenants for facilities of this type, including a financial covenant requiring maintenance of a total leverage ratio of no greater than 4.00 to 1.00 as of November 30, 2022. We were in compliance with all covenants and requirements of the 2022 Credit Agreement as of November 30,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2022 we completed a public offering of $500.0 million aggregate principal amount of 2.900% Senior Notes due March 1, 2027 (the “2027 Notes”) and $500.0 million aggregate principal amount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Notes were issued at an aggregate discount of $2.8 million during fiscal 2022 and we incurred approximately $9.1 million in debt issuance costs. Debt discounts and debt issuance costs are presented in the Consolidated Balance Sheets as a net direct deduction from the carrying amount of the related debt liability. The debt discounts and debt issuance costs are amortized to Interest expense, net in the Consolidated Statements of Income over the contractual term of the debt, leveraging the effective interest method.</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on the Senior Notes is payable semiannually in arrears on March 1 and September 1 of each year, with the first payment made on September 1, 2022.</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Swap Agreements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March 5, 2020, we entered into the 2020 Swap Agreement to hedge a portion of our then outstanding floating LIBOR rate debt with a fixed interest rate of 0.7995%. On March 1, 2022, we terminated the 2020 Swap Agreement and concurrently entered into the 2022 Swap Agreement to hedge a portion of our outstanding floating SOFR rate debt with a fixed interest rate of 1.162%. 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for further discussion of the 2020 Swap Agreement and 2022 Swap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 2022, the 2019 Revolving Credit Facility and 2020 Swap Agreement were both terminated and concurrently replaced with the 2022 Credit Facilities, Senior Notes and 2022 Swap Agreement.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November 30, 2022 and November 30, 2021, we recorded interest expense on our outstanding debt, including the related amortization of debt issuance costs and debt discounts, net of the effects of the related interest rate swap agreements, of $16.5 million and $1.9 million, respectively in Interest expense, net in the Consolidated Statements of Income.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Including the related amortization of debt issuance costs and debt discounts, net of the effects of the related interest rate swap agreement, the year-to-date weighted average interest rate on amounts outstanding under our outstanding debt was 3.12% and 2.02% as of November 30, 2022 and August 31, 2022, respectively. 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for further discussion of the 2020 Swap Agreement and 2022 Swap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COMMITMENTS AND CONTINGENCIES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Commitments represent obligations, such as those for future purchases of goods or services, that are not yet recorded on the balance sheet as liabilities. We record liabilities for commitments when incurred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when the goods or services are received).</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accrue non-income-tax liabilities for contingencies when we believe that a loss is probable, and the amount can be reasonably estimated. Judgment is required to determine both probability and the estimated amount of loss. If the reasonable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estimate of a probable loss is a range, we record the most probable estimate of the loss or the minimum amount when no amount within the range is a better estimate than any other amount. We review accruals on a quarterly basis and adjust, as necessary, to reflect the impact of negotiations, settlements, rulings, advice of legal counsel and other current information. Contingent gains are recognized only when realized.</w:t>
      </w:r>
    </w:p>
    <w:p>
      <w:pPr>
        <w:spacing w:after="0" w:line="147" w:lineRule="exact"/>
        <w:rPr>
          <w:sz w:val="20"/>
          <w:szCs w:val="20"/>
          <w:color w:val="auto"/>
        </w:rPr>
      </w:pPr>
    </w:p>
    <w:p>
      <w:pPr>
        <w:ind w:right="420"/>
        <w:spacing w:after="0" w:line="455" w:lineRule="auto"/>
        <w:rPr>
          <w:sz w:val="20"/>
          <w:szCs w:val="20"/>
          <w:color w:val="auto"/>
        </w:rPr>
      </w:pPr>
      <w:r>
        <w:rPr>
          <w:rFonts w:ascii="Times New Roman" w:cs="Times New Roman" w:eastAsia="Times New Roman" w:hAnsi="Times New Roman"/>
          <w:sz w:val="18"/>
          <w:szCs w:val="18"/>
          <w:color w:val="auto"/>
        </w:rPr>
        <w:t xml:space="preserve">Uncertain income tax positions are accounted for in accordance with applicable accounting guidance, refer to Note 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for further details. </w:t>
      </w:r>
      <w:r>
        <w:rPr>
          <w:rFonts w:ascii="Times New Roman" w:cs="Times New Roman" w:eastAsia="Times New Roman" w:hAnsi="Times New Roman"/>
          <w:sz w:val="18"/>
          <w:szCs w:val="18"/>
          <w:b w:val="1"/>
          <w:bCs w:val="1"/>
          <w:color w:val="auto"/>
        </w:rPr>
        <w:t>Purchase Commitments with Suppliers and Vendors</w:t>
      </w:r>
    </w:p>
    <w:p>
      <w:pPr>
        <w:jc w:val="both"/>
        <w:spacing w:after="0" w:line="258" w:lineRule="auto"/>
        <w:rPr>
          <w:sz w:val="20"/>
          <w:szCs w:val="20"/>
          <w:color w:val="auto"/>
        </w:rPr>
      </w:pPr>
      <w:r>
        <w:rPr>
          <w:rFonts w:ascii="Times New Roman" w:cs="Times New Roman" w:eastAsia="Times New Roman" w:hAnsi="Times New Roman"/>
          <w:sz w:val="18"/>
          <w:szCs w:val="18"/>
          <w:color w:val="auto"/>
        </w:rPr>
        <w:t>Purchase obligations represent our legally-binding agreements to purchase fixed or minimum quantities at determinable prices. As of August 31, 2022, we had total purchase obligations with suppliers of $373.9 million. Our total purchase obligations as of August 31, 2022 primarily related to hosting services and data acquisition, and, to a lesser extent, by third-party software providers. Hosting services support our technology investments related to our migration to cloud-based hosting services, the majority of which rely on third-party hosting providers. Data is an integral component of the value we provide to our clients and third-party software mainly includes internal-use software licenses.</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Since August 31, 2022, there were no material changes to our contractual obligations. We also have contractual obligations related to our lease liabilities and outstanding debt. Refer to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information regarding lease commitments and outstanding debt obligations,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Commitments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both November 30, 2022 and August 31, 2022, we had outstanding capital commitments related to an investment of $1.1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are required to obtain letters of credit in the ordinary course of business. As of both November 30, 2022 and August 31, 2022, we had $0.5 million of standby letters of credit outstanding. No liabilities related to these arrangements are reflected in the Company's Consolidated Balance Sheets.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engaged in various legal proceedings, claims and litigation that have arisen in the ordinary course of business. The outcome of all the matters against us are subject to future resolution, including the uncertainties of litigation. Based on information available at November 30, 2022, our management believes that the ultimate outcome of these unresolved matters against us, individually or in the aggregate, will not have a material adverse effect on our consolidated financial position, our results of operations or our cash flows.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currently under audit by tax authorities and have reserved for potential adjustments to our provision for income taxes that may result from examinations by, or any negotiated settlements with, these tax authorities. We believe that the final outcome of these examinations or settlements will not have a material effect on our results of operations nor our cash flows. If events occur which indicate payment of these amounts is unnecessary, the reversal of the liabilities would result in the recognition of tax benefits in the period we determine the liabilities are no longer necessary. If our estimates of the federal, state and foreign income tax liabilities are less than the ultimate assessment, additional expense would result.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Tax Matters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8, 2019, we received a Notice of Intent to Assess (the "First Notice") additional sales taxes, interest and underpayment penalties (the “Sales Taxes”) from the Commonwealth of Massachusetts Department of Revenue (the "Commonwealth") relating to the tax periods from January 1, 2006 through December 31, 2013. On July 20, 2021, we received a Notice of Intent to Assess (the "Second Notice") additional Sales Taxes from the Commonwealth relating to the tax periods from January 1, 2014 through December 31, 2018. On December 29, 2022, we received a Notice of Intent to Assess (the “Third Notice"; cumulatively with the First and Second Notices, the “Notices”) additional Sales Taxes from the Commonwealth relating to the tax periods from January 1, 2019 through June 30, 2021. We have filed an appeal with respect to the First Notice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Second Notice, and intend to file an appeal with respect to the Third Notice, to contest all Sales Taxes that may be assessed. We continue to cooperate with the Commonwealth's inquiry with respect to the Notices.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concluded that a payment to the Commonwealth is probable. We have recorded an accrual which is not material to our consolidated financial statements. While we believe that the assumptions and estimates used to determine the accrual are reasonable, future developments could result in adjustments being made to this accrual. If we are presented with a formal assessment for any of these matters, we believe that we will ultimately prevail; however, if we do not prevail, the amount of any assessment could have a material impact on our consolidated financial position, results of operations and cash flows.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permitted or required under Delaware law and to the maximum extent allowable under that law, we have certain obligations to indemnify each of our current and former officers and directors for certain events or occurrences while the officer or director is, or was, serving at our request in such capacity. These indemnification obligations are valid as long as the director or officer acted in good faith and in a manner the person reasonably believed to be in, or not opposed to, the best interests of FactSet, and with respect to any criminal action or proceeding, had no reasonable cause to believe his or her conduct was unlawful. It is not possible to determine the maximum potential amount for claims made under the indemnification obligations due to the unique set of facts and circumstances likely to be involved in each particular claim and indemnification provision; however, we have purchased a director and officer insurance policy that mitigates our exposure and may enable us to recover a portion of any future amounts paid. We do not believe, based on historical experience and information currently available, that it is probable that any material amounts will be required to be paid under such indemnification agreements.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 STOCKHOLDERS’ EQUITY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30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0"/>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40" w:type="dxa"/>
            <w:vAlign w:val="bottom"/>
          </w:tcPr>
          <w:p>
            <w:pPr>
              <w:spacing w:after="0"/>
              <w:rPr>
                <w:sz w:val="19"/>
                <w:szCs w:val="19"/>
                <w:color w:val="auto"/>
              </w:rPr>
            </w:pPr>
          </w:p>
        </w:tc>
        <w:tc>
          <w:tcPr>
            <w:tcW w:w="230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November 30,</w:t>
            </w:r>
          </w:p>
        </w:tc>
        <w:tc>
          <w:tcPr>
            <w:tcW w:w="0" w:type="dxa"/>
            <w:vAlign w:val="bottom"/>
          </w:tcPr>
          <w:p>
            <w:pPr>
              <w:spacing w:after="0"/>
              <w:rPr>
                <w:sz w:val="1"/>
                <w:szCs w:val="1"/>
                <w:color w:val="auto"/>
              </w:rPr>
            </w:pPr>
          </w:p>
        </w:tc>
      </w:tr>
      <w:tr>
        <w:trPr>
          <w:trHeight w:val="234"/>
        </w:trPr>
        <w:tc>
          <w:tcPr>
            <w:tcW w:w="7200" w:type="dxa"/>
            <w:vAlign w:val="bottom"/>
            <w:tcBorders>
              <w:bottom w:val="single" w:sz="8" w:color="auto"/>
            </w:tcBorders>
            <w:vMerge w:val="continue"/>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Repurchase of common stock under the share repurchase program</w:t>
            </w:r>
            <w:r>
              <w:rPr>
                <w:rFonts w:ascii="Times New Roman" w:cs="Times New Roman" w:eastAsia="Times New Roman" w:hAnsi="Times New Roman"/>
                <w:sz w:val="23"/>
                <w:szCs w:val="23"/>
                <w:i w:val="1"/>
                <w:iCs w:val="1"/>
                <w:color w:val="auto"/>
                <w:vertAlign w:val="superscript"/>
              </w:rPr>
              <w:t>(1)</w:t>
            </w:r>
          </w:p>
        </w:tc>
        <w:tc>
          <w:tcPr>
            <w:tcW w:w="17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cost of shares repurchased</w:t>
            </w:r>
            <w:r>
              <w:rPr>
                <w:rFonts w:ascii="Times New Roman" w:cs="Times New Roman" w:eastAsia="Times New Roman" w:hAnsi="Times New Roman"/>
                <w:sz w:val="23"/>
                <w:szCs w:val="23"/>
                <w:i w:val="1"/>
                <w:iCs w:val="1"/>
                <w:color w:val="auto"/>
                <w:vertAlign w:val="superscript"/>
              </w:rPr>
              <w:t>(1)</w:t>
            </w:r>
          </w:p>
        </w:tc>
        <w:tc>
          <w:tcPr>
            <w:tcW w:w="1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18,639</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Amount authorized for future repurchase under the share repurchase program</w:t>
            </w:r>
            <w:r>
              <w:rPr>
                <w:rFonts w:ascii="Times New Roman" w:cs="Times New Roman" w:eastAsia="Times New Roman" w:hAnsi="Times New Roman"/>
                <w:sz w:val="23"/>
                <w:szCs w:val="23"/>
                <w:i w:val="1"/>
                <w:iCs w:val="1"/>
                <w:color w:val="auto"/>
                <w:vertAlign w:val="superscript"/>
              </w:rPr>
              <w:t>(2)</w:t>
            </w:r>
          </w:p>
        </w:tc>
        <w:tc>
          <w:tcPr>
            <w:tcW w:w="1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181,300</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181,300</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260" w:hanging="252"/>
        <w:spacing w:after="0" w:line="301" w:lineRule="auto"/>
        <w:tabs>
          <w:tab w:leader="none" w:pos="255"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Amounts do not include 25,450 shares and 6,747 shares surrendered by grantees to satisfy withholding tax obligations due upon the vesting or exercise of stock-based awards valued at $10.8 million and $2.9 million during the three months ended November 30, 2022 and November 30, 2021, respectively.</w:t>
      </w:r>
    </w:p>
    <w:p>
      <w:pPr>
        <w:spacing w:after="0" w:line="38" w:lineRule="exact"/>
        <w:rPr>
          <w:rFonts w:ascii="Times New Roman" w:cs="Times New Roman" w:eastAsia="Times New Roman" w:hAnsi="Times New Roman"/>
          <w:sz w:val="16"/>
          <w:szCs w:val="16"/>
          <w:i w:val="1"/>
          <w:iCs w:val="1"/>
          <w:color w:val="auto"/>
        </w:rPr>
      </w:pPr>
    </w:p>
    <w:p>
      <w:pPr>
        <w:ind w:left="260" w:hanging="252"/>
        <w:spacing w:after="0" w:line="283" w:lineRule="auto"/>
        <w:tabs>
          <w:tab w:leader="none" w:pos="261"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There is no defined number of shares to be repurchased over a specified timeframe through the life of the program. We may repurchase shares of our common stock under the program from time-to-time in the open market and privately negotiated transactions, subject to market conditions.</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 the three months ended November 30, 2022, we did not make any repurchases under our existing program, compared to 46,200 shares repurchased for $18.6 million for the three months ended November 30, 2021. Beginning in the second quarter of fiscal 2022, we suspended our share repurchase program until at least the second half of fiscal 2023, with the exception of potential minor repurchases to offset dilution from grants of equity awards or repurchases to satisfy withholding tax obligations due upon the vesting of stock-based awards. The suspension of our share repurchase program allows us to prioritize the repayment of debt under the 2022 Credit Facilities. 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more information on the 2022 Credit Facilities.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Awards</w:t>
      </w:r>
    </w:p>
    <w:p>
      <w:pPr>
        <w:spacing w:after="0" w:line="200"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color w:val="auto"/>
        </w:rPr>
        <w:t xml:space="preserve">Refer to Note 15,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for more information on equity awards issued during the three months ended November 30, 2022 and November 30, 2021.</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declared dividends during the three months ended November 30, 2022 and November 30, 2021 as follows:</w:t>
      </w:r>
    </w:p>
    <w:p>
      <w:pPr>
        <w:spacing w:after="0" w:line="3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Dividends per</w:t>
      </w:r>
    </w:p>
    <w:tbl>
      <w:tblPr>
        <w:tblLayout w:type="fixed"/>
        <w:tblInd w:w="0" w:type="dxa"/>
        <w:tblCellMar>
          <w:top w:w="0" w:type="dxa"/>
          <w:left w:w="0" w:type="dxa"/>
          <w:bottom w:w="0" w:type="dxa"/>
          <w:right w:w="0" w:type="dxa"/>
        </w:tblCellMar>
      </w:tblPr>
      <w:tr>
        <w:trPr>
          <w:trHeight w:val="174"/>
        </w:trPr>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Year Ended</w:t>
            </w:r>
          </w:p>
        </w:tc>
        <w:tc>
          <w:tcPr>
            <w:tcW w:w="1680" w:type="dxa"/>
            <w:vAlign w:val="bottom"/>
          </w:tcPr>
          <w:p>
            <w:pPr>
              <w:spacing w:after="0"/>
              <w:rPr>
                <w:sz w:val="15"/>
                <w:szCs w:val="15"/>
                <w:color w:val="auto"/>
              </w:rPr>
            </w:pPr>
          </w:p>
        </w:tc>
        <w:tc>
          <w:tcPr>
            <w:tcW w:w="1340" w:type="dxa"/>
            <w:vAlign w:val="bottom"/>
          </w:tcPr>
          <w:p>
            <w:pPr>
              <w:jc w:val="right"/>
              <w:ind w:right="330"/>
              <w:spacing w:after="0" w:line="174" w:lineRule="exact"/>
              <w:rPr>
                <w:sz w:val="20"/>
                <w:szCs w:val="20"/>
                <w:color w:val="auto"/>
              </w:rPr>
            </w:pPr>
            <w:r>
              <w:rPr>
                <w:rFonts w:ascii="Times New Roman" w:cs="Times New Roman" w:eastAsia="Times New Roman" w:hAnsi="Times New Roman"/>
                <w:sz w:val="18"/>
                <w:szCs w:val="18"/>
                <w:color w:val="auto"/>
              </w:rPr>
              <w:t>Share of</w:t>
            </w:r>
          </w:p>
        </w:tc>
        <w:tc>
          <w:tcPr>
            <w:tcW w:w="174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Record Date</w:t>
            </w:r>
          </w:p>
        </w:tc>
        <w:tc>
          <w:tcPr>
            <w:tcW w:w="400" w:type="dxa"/>
            <w:vAlign w:val="bottom"/>
          </w:tcPr>
          <w:p>
            <w:pPr>
              <w:spacing w:after="0"/>
              <w:rPr>
                <w:sz w:val="15"/>
                <w:szCs w:val="15"/>
                <w:color w:val="auto"/>
              </w:rPr>
            </w:pPr>
          </w:p>
        </w:tc>
        <w:tc>
          <w:tcPr>
            <w:tcW w:w="1340" w:type="dxa"/>
            <w:vAlign w:val="bottom"/>
          </w:tcPr>
          <w:p>
            <w:pPr>
              <w:jc w:val="right"/>
              <w:ind w:right="70"/>
              <w:spacing w:after="0" w:line="174" w:lineRule="exact"/>
              <w:rPr>
                <w:sz w:val="20"/>
                <w:szCs w:val="20"/>
                <w:color w:val="auto"/>
              </w:rPr>
            </w:pPr>
            <w:r>
              <w:rPr>
                <w:rFonts w:ascii="Times New Roman" w:cs="Times New Roman" w:eastAsia="Times New Roman" w:hAnsi="Times New Roman"/>
                <w:sz w:val="18"/>
                <w:szCs w:val="18"/>
                <w:color w:val="auto"/>
              </w:rPr>
              <w:t>Total $ Amount</w:t>
            </w:r>
          </w:p>
        </w:tc>
        <w:tc>
          <w:tcPr>
            <w:tcW w:w="2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Payment Date</w:t>
            </w:r>
          </w:p>
        </w:tc>
        <w:tc>
          <w:tcPr>
            <w:tcW w:w="0" w:type="dxa"/>
            <w:vAlign w:val="bottom"/>
          </w:tcPr>
          <w:p>
            <w:pPr>
              <w:spacing w:after="0"/>
              <w:rPr>
                <w:sz w:val="1"/>
                <w:szCs w:val="1"/>
                <w:color w:val="auto"/>
              </w:rPr>
            </w:pPr>
          </w:p>
        </w:tc>
      </w:tr>
      <w:tr>
        <w:trPr>
          <w:trHeight w:val="229"/>
        </w:trPr>
        <w:tc>
          <w:tcPr>
            <w:tcW w:w="2720" w:type="dxa"/>
            <w:vAlign w:val="bottom"/>
            <w:tcBorders>
              <w:bottom w:val="single" w:sz="8" w:color="auto"/>
            </w:tcBorders>
            <w:vMerge w:val="continue"/>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(in thousands)</w:t>
            </w:r>
          </w:p>
        </w:tc>
        <w:tc>
          <w:tcPr>
            <w:tcW w:w="2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16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First Quarter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November 30, 2022</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34,010</w:t>
            </w:r>
          </w:p>
        </w:tc>
        <w:tc>
          <w:tcPr>
            <w:tcW w:w="2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December 15, 2022</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2022</w:t>
            </w:r>
          </w:p>
        </w:tc>
        <w:tc>
          <w:tcPr>
            <w:tcW w:w="16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First Quarter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November 30, 2021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30,973</w:t>
            </w:r>
          </w:p>
        </w:tc>
        <w:tc>
          <w:tcPr>
            <w:tcW w:w="2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December 16, 2021</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cash dividend payments will depend on our earnings, capital requirements, financial condition and other factors considered relevant by us and are subject to final determination by our Board of Directors.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91"/>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AOCL are as follows:</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7"/>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November 30, 2022</w:t>
            </w: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August 31, 2022</w:t>
            </w: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unrealized gains (losses) on cash flow hedges, net of tax</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r>
      <w:tr>
        <w:trPr>
          <w:trHeight w:val="230"/>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foreign currency translation adjustments</w:t>
            </w: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(102,763)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(111,532)</w:t>
            </w: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AOCL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(108,383)</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 EARNINGS PER SHARE</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by the number of weighted average common shares outstanding during the period. Diluted EPS is computed using the treasury stock method, by dividing net income by the cumulative weighted average common shares that are outstanding or are issuable upon the exercise of outstanding stock-based compensation awards during the period. Stock-based compensation awards that are out-of-the-money and performance share units ("PSUs") in which the performance criteria have not been met as of November 30, 2022 are omitted from the calculation of diluted EPS.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weighted average shares outstanding used in the basic and diluted earnings per share ("EPS") computation is as follows:</w:t>
      </w:r>
    </w:p>
    <w:p>
      <w:pPr>
        <w:spacing w:after="0" w:line="50"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8"/>
          <w:szCs w:val="18"/>
          <w:color w:val="auto"/>
        </w:rPr>
        <w:t>November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used for calculating basic and diluted income per share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136,798</w:t>
            </w:r>
          </w:p>
        </w:tc>
        <w:tc>
          <w:tcPr>
            <w:tcW w:w="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107,647</w:t>
            </w:r>
          </w:p>
        </w:tc>
      </w:tr>
      <w:tr>
        <w:trPr>
          <w:trHeight w:val="21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in the calculation of basic income per share</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38,122</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37,678</w:t>
            </w:r>
          </w:p>
        </w:tc>
      </w:tr>
      <w:tr>
        <w:trPr>
          <w:trHeight w:val="229"/>
        </w:trPr>
        <w:tc>
          <w:tcPr>
            <w:tcW w:w="7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Common stock equivalents associated with stock-based compensation plan</w:t>
            </w:r>
            <w:r>
              <w:rPr>
                <w:rFonts w:ascii="Times New Roman" w:cs="Times New Roman" w:eastAsia="Times New Roman" w:hAnsi="Times New Roman"/>
                <w:sz w:val="23"/>
                <w:szCs w:val="23"/>
                <w:color w:val="auto"/>
                <w:vertAlign w:val="superscript"/>
              </w:rPr>
              <w:t>(1)</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223"/>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used in the calculation of diluted income per share</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38,914</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38,641</w:t>
            </w: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4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income per share</w:t>
            </w:r>
          </w:p>
        </w:tc>
        <w:tc>
          <w:tcPr>
            <w:tcW w:w="44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3.52</w:t>
            </w:r>
          </w:p>
        </w:tc>
        <w:tc>
          <w:tcPr>
            <w:tcW w:w="46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2.79</w:t>
            </w:r>
          </w:p>
        </w:tc>
      </w:tr>
      <w:tr>
        <w:trPr>
          <w:trHeight w:val="20"/>
        </w:trPr>
        <w:tc>
          <w:tcPr>
            <w:tcW w:w="7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jc w:val="both"/>
        <w:ind w:left="660" w:right="20" w:hanging="328"/>
        <w:spacing w:after="0" w:line="270" w:lineRule="auto"/>
        <w:tabs>
          <w:tab w:leader="none" w:pos="660" w:val="left"/>
        </w:tabs>
        <w:numPr>
          <w:ilvl w:val="0"/>
          <w:numId w:val="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Dilutive potential common shares consist of stock options and unvested PSUs. For the three months ended November 30, 2022 and November 30, 2021, there were 545,510 and 298,900 common stock equivalents associated with our stock options excluded from the calculation of diluted EPS, respectively, as they were out-of-the-money and their inclusion would have been anti-dilutive. Common stock equivalents associated with our PSUs excluded from the calculation of diluted EPS for the three months ended November 30, 2022 and November 30, 2021, were 94,162 and 97,511, respectively.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15. STOCK-BASED COMPENSATION</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measure compensation expense based on the grant date fair value for all stock-based awards made to our employees and to our non-employee directors ("non-employees") using the Black-Scholes model or the lattice-binomial option-pricing model ("binomial model").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utilize the Black-Scholes model for new stock option grants and restricted stock units ("RSUs") granted to non-employees and common stock acquired under the FactSet Research Systems Inc. Employee Stock Purchase Plan, as Amended and Restated ("ESPP"). We use the binomial model for new employee stock option grants and employee RSUs and PSUs to estimate the grant-date fair value. We refer to RSUs and PSUs, collectively, as "Restricted Stock Awards."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models involve certain estimates and assumptions such as:</w:t>
      </w:r>
    </w:p>
    <w:p>
      <w:pPr>
        <w:spacing w:after="0" w:line="194" w:lineRule="exact"/>
        <w:rPr>
          <w:sz w:val="20"/>
          <w:szCs w:val="20"/>
          <w:color w:val="auto"/>
        </w:rPr>
      </w:pPr>
    </w:p>
    <w:p>
      <w:pPr>
        <w:ind w:left="660" w:hanging="328"/>
        <w:spacing w:after="0" w:line="28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Risk-free interest rate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on the U.S. Treasury yield curve in effect at the time of grant with maturities equal to the expected terms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stock-based awards granted.</w:t>
      </w:r>
    </w:p>
    <w:p>
      <w:pPr>
        <w:spacing w:after="0" w:line="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life </w:t>
      </w:r>
      <w:r>
        <w:rPr>
          <w:rFonts w:ascii="Times New Roman" w:cs="Times New Roman" w:eastAsia="Times New Roman" w:hAnsi="Times New Roman"/>
          <w:sz w:val="18"/>
          <w:szCs w:val="18"/>
          <w:color w:val="auto"/>
        </w:rPr>
        <w:t>- the weighted average period the stock-based awards are expected to remain outstanding.</w:t>
      </w:r>
    </w:p>
    <w:p>
      <w:pPr>
        <w:spacing w:after="0" w:line="103"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volatility </w:t>
      </w:r>
      <w:r>
        <w:rPr>
          <w:rFonts w:ascii="Times New Roman" w:cs="Times New Roman" w:eastAsia="Times New Roman" w:hAnsi="Times New Roman"/>
          <w:sz w:val="18"/>
          <w:szCs w:val="18"/>
          <w:color w:val="auto"/>
        </w:rPr>
        <w:t>- based on a blend of historical volatility of the stock-based award's useful life and the weighted average implied volatility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call option contracts traded in the 90 days preceding the stock-based award's valuation date.</w:t>
      </w:r>
    </w:p>
    <w:p>
      <w:pPr>
        <w:spacing w:after="0" w:line="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 yield </w:t>
      </w:r>
      <w:r>
        <w:rPr>
          <w:rFonts w:ascii="Times New Roman" w:cs="Times New Roman" w:eastAsia="Times New Roman" w:hAnsi="Times New Roman"/>
          <w:sz w:val="18"/>
          <w:szCs w:val="18"/>
          <w:color w:val="auto"/>
        </w:rPr>
        <w:t>- the expectation of dividend payouts based on our history.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binomial model incorporates market conditions, vesting restrictions and exercise patterns.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Restricted Stock Awards, the grant date fair value is measured by reducing the grant date price of our common stock by the present value of the dividends expected to be paid on the underlying stock during the requisite service period, discounted at the appropriate risk-free interest rate.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For stock-based awards, we use the straight-line method to recognize compensation expense over the requisite service period. The amount of compensation expense that is recognized on any date is at least equal to the vested portion of the award on that date. Compensation expense for PSUs is recognized if the achievement of the performance condition is determined to be probable. We review the PSU performance conditions quarterly to ensure the compensation expense appropriately reflects the Company's expected achievement, as these awards are subject to upward or downward adjustment depending on whether the actual financial performance is above or below target levels, with the PSU payout ranging from </w:t>
      </w:r>
      <w:r>
        <w:rPr>
          <w:rFonts w:ascii="Times New Roman" w:cs="Times New Roman" w:eastAsia="Times New Roman" w:hAnsi="Times New Roman"/>
          <w:sz w:val="16"/>
          <w:szCs w:val="16"/>
          <w:color w:val="auto"/>
        </w:rPr>
        <w:t>0%</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6"/>
          <w:szCs w:val="16"/>
          <w:color w:val="auto"/>
        </w:rPr>
        <w:t>150%</w:t>
      </w:r>
      <w:r>
        <w:rPr>
          <w:rFonts w:ascii="Times New Roman" w:cs="Times New Roman" w:eastAsia="Times New Roman" w:hAnsi="Times New Roman"/>
          <w:sz w:val="18"/>
          <w:szCs w:val="18"/>
          <w:color w:val="auto"/>
        </w:rPr>
        <w:t xml:space="preserve"> of the number of target shares. Compensation expense for stock-based awards is recorded net of estimated forfeitures, which are based on historical forfeiture rates and are revised if actual forfeitures differ from those estimates.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recognized total stock-based compensation expense of $12.2 million and $10.4 million during the three months ended November 30, 2022 and November 30, 2021, respectively. As of November 30, 2022, $153.6 million of total unrecognized compensation expense related to non-vested awards is expected to be recognized over a weighted average period of 3.4 years. There was no stock-based compensation capitalized as of November 30, 2022 and November 30,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Option Awards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FactSet Research Systems Inc. Stock Option and Award Plan, as Amended and Restated (the "LTIP"), we granted the following stock options for the three months ended November 30, 2022 and November 30, 2021, which are valued using the lattice-binomial option-pricing model. As of November 30, 2022, we had 4.2 million stock-based awards available for grant under the LTIP.</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Three Months Ended</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3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November 30,</w:t>
            </w:r>
          </w:p>
        </w:tc>
        <w:tc>
          <w:tcPr>
            <w:tcW w:w="112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w w:val="94"/>
              </w:rPr>
              <w:t>2021</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Stock options granted</w:t>
            </w:r>
            <w:r>
              <w:rPr>
                <w:rFonts w:ascii="Times New Roman" w:cs="Times New Roman" w:eastAsia="Times New Roman" w:hAnsi="Times New Roman"/>
                <w:sz w:val="23"/>
                <w:szCs w:val="23"/>
                <w:i w:val="1"/>
                <w:iCs w:val="1"/>
                <w:color w:val="auto"/>
                <w:vertAlign w:val="superscript"/>
              </w:rPr>
              <w:t>(1)</w:t>
            </w:r>
          </w:p>
        </w:tc>
        <w:tc>
          <w:tcPr>
            <w:tcW w:w="3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267,296</w:t>
            </w:r>
          </w:p>
        </w:tc>
        <w:tc>
          <w:tcPr>
            <w:tcW w:w="8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299,702</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34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426.25</w:t>
            </w:r>
          </w:p>
        </w:tc>
        <w:tc>
          <w:tcPr>
            <w:tcW w:w="8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434.82</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34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125.59</w:t>
            </w:r>
          </w:p>
        </w:tc>
        <w:tc>
          <w:tcPr>
            <w:tcW w:w="8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102.40</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260" w:right="20" w:hanging="252"/>
        <w:spacing w:after="0" w:line="301" w:lineRule="auto"/>
        <w:tabs>
          <w:tab w:leader="none" w:pos="248" w:val="left"/>
        </w:tabs>
        <w:numPr>
          <w:ilvl w:val="0"/>
          <w:numId w:val="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majority of the stock options granted relate to the November 1, 2022 and November 1, 2021 annual employee grants that both vest 20% annually on the anniversary date of the grant and are fully vested after five years, expiring ten years from the date of grant.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granted 266,051 employee stock options as part of the November 1, 2022 annual employee grant. The estimated fair value of this grant leveraged the following assumptions:</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1, 2022 Annual Employee Grant Details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 - 4.51%</w:t>
            </w: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w:t>
            </w:r>
          </w:p>
        </w:tc>
        <w:tc>
          <w:tcPr>
            <w:tcW w:w="5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$125.62</w:t>
            </w:r>
          </w:p>
        </w:tc>
      </w:tr>
      <w:tr>
        <w:trPr>
          <w:trHeight w:val="234"/>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$426.25</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Restricted Stock Awards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LTIP provides for the grant of stock-based awards, including Restricted Stock Awards. The Restricted Stock Awards are subject to continued employment over a specified period. The Restricted Stock Awards granted to employees entitle the holders to shares of common stock as the Restricted Stock Awards vest over time, but not to dividends declared on the underlying shares, while the stock subject to the Restricted Stock Awards is unvested. Vesting of the shares underlying the PSUs are also subject to achieving certain specified performance levels during the measurement period subsequent to the date of grant.</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LTIP, we granted the following Restricted Stock Awards with the associated weighted average grant date fair value, assuming a target payout for PSUs, for the three months ended November 30, 2022 and November 30,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Three Months Ended</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460" w:type="dxa"/>
            <w:vAlign w:val="bottom"/>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November 30,</w:t>
            </w:r>
          </w:p>
        </w:tc>
        <w:tc>
          <w:tcPr>
            <w:tcW w:w="112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w w:val="94"/>
              </w:rPr>
              <w:t>2021</w:t>
            </w:r>
          </w:p>
        </w:tc>
        <w:tc>
          <w:tcPr>
            <w:tcW w:w="0" w:type="dxa"/>
            <w:vAlign w:val="bottom"/>
          </w:tcPr>
          <w:p>
            <w:pPr>
              <w:spacing w:after="0"/>
              <w:rPr>
                <w:sz w:val="1"/>
                <w:szCs w:val="1"/>
                <w:color w:val="auto"/>
              </w:rPr>
            </w:pPr>
          </w:p>
        </w:tc>
      </w:tr>
      <w:tr>
        <w:trPr>
          <w:trHeight w:val="229"/>
        </w:trPr>
        <w:tc>
          <w:tcPr>
            <w:tcW w:w="7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RSUs Granted</w:t>
            </w:r>
            <w:r>
              <w:rPr>
                <w:rFonts w:ascii="Times New Roman" w:cs="Times New Roman" w:eastAsia="Times New Roman" w:hAnsi="Times New Roman"/>
                <w:sz w:val="23"/>
                <w:szCs w:val="23"/>
                <w:color w:val="auto"/>
                <w:vertAlign w:val="superscript"/>
              </w:rPr>
              <w:t>(1)</w:t>
            </w:r>
          </w:p>
        </w:tc>
        <w:tc>
          <w:tcPr>
            <w:tcW w:w="1120" w:type="dxa"/>
            <w:vAlign w:val="bottom"/>
            <w:shd w:val="clear" w:color="auto" w:fill="CCEEFF"/>
          </w:tcPr>
          <w:p>
            <w:pPr>
              <w:spacing w:after="0"/>
              <w:rPr>
                <w:sz w:val="19"/>
                <w:szCs w:val="19"/>
                <w:color w:val="auto"/>
              </w:rPr>
            </w:pPr>
          </w:p>
        </w:tc>
        <w:tc>
          <w:tcPr>
            <w:tcW w:w="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47,038</w:t>
            </w:r>
          </w:p>
        </w:tc>
        <w:tc>
          <w:tcPr>
            <w:tcW w:w="7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43,613</w:t>
            </w:r>
          </w:p>
        </w:tc>
        <w:tc>
          <w:tcPr>
            <w:tcW w:w="0" w:type="dxa"/>
            <w:vAlign w:val="bottom"/>
          </w:tcPr>
          <w:p>
            <w:pPr>
              <w:spacing w:after="0"/>
              <w:rPr>
                <w:sz w:val="1"/>
                <w:szCs w:val="1"/>
                <w:color w:val="auto"/>
              </w:rPr>
            </w:pPr>
          </w:p>
        </w:tc>
      </w:tr>
      <w:tr>
        <w:trPr>
          <w:trHeight w:val="229"/>
        </w:trPr>
        <w:tc>
          <w:tcPr>
            <w:tcW w:w="74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PSUs Granted</w:t>
            </w:r>
            <w:r>
              <w:rPr>
                <w:rFonts w:ascii="Times New Roman" w:cs="Times New Roman" w:eastAsia="Times New Roman" w:hAnsi="Times New Roman"/>
                <w:sz w:val="23"/>
                <w:szCs w:val="23"/>
                <w:color w:val="auto"/>
                <w:vertAlign w:val="superscript"/>
              </w:rPr>
              <w:t>(2)</w:t>
            </w:r>
          </w:p>
        </w:tc>
        <w:tc>
          <w:tcPr>
            <w:tcW w:w="1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96"/>
              </w:rPr>
              <w:t>34,482</w:t>
            </w:r>
          </w:p>
        </w:tc>
        <w:tc>
          <w:tcPr>
            <w:tcW w:w="7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30,460</w:t>
            </w: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Restricted Stock Awards</w:t>
            </w:r>
          </w:p>
        </w:tc>
        <w:tc>
          <w:tcPr>
            <w:tcW w:w="1120" w:type="dxa"/>
            <w:vAlign w:val="bottom"/>
            <w:shd w:val="clear" w:color="auto" w:fill="CCEEFF"/>
          </w:tcPr>
          <w:p>
            <w:pPr>
              <w:spacing w:after="0"/>
              <w:rPr>
                <w:sz w:val="19"/>
                <w:szCs w:val="19"/>
                <w:color w:val="auto"/>
              </w:rPr>
            </w:pPr>
          </w:p>
        </w:tc>
        <w:tc>
          <w:tcPr>
            <w:tcW w:w="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81,520</w:t>
            </w:r>
          </w:p>
        </w:tc>
        <w:tc>
          <w:tcPr>
            <w:tcW w:w="7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74,073</w:t>
            </w:r>
          </w:p>
        </w:tc>
        <w:tc>
          <w:tcPr>
            <w:tcW w:w="0" w:type="dxa"/>
            <w:vAlign w:val="bottom"/>
          </w:tcPr>
          <w:p>
            <w:pPr>
              <w:spacing w:after="0"/>
              <w:rPr>
                <w:sz w:val="1"/>
                <w:szCs w:val="1"/>
                <w:color w:val="auto"/>
              </w:rPr>
            </w:pP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 weighted average grant date fair value</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415.31</w:t>
            </w:r>
          </w:p>
        </w:tc>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424.14</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260" w:hanging="252"/>
        <w:spacing w:after="0" w:line="301" w:lineRule="auto"/>
        <w:tabs>
          <w:tab w:leader="none" w:pos="248"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majority of the RSUs granted relate to the November 1, 2022 and November 1, 2021 annual employee grants that both vest 20% annually on the anniversary date of grant and are fully vested after five years.</w:t>
      </w:r>
    </w:p>
    <w:p>
      <w:pPr>
        <w:spacing w:after="0" w:line="38" w:lineRule="exact"/>
        <w:rPr>
          <w:rFonts w:ascii="Times New Roman" w:cs="Times New Roman" w:eastAsia="Times New Roman" w:hAnsi="Times New Roman"/>
          <w:sz w:val="16"/>
          <w:szCs w:val="16"/>
          <w:i w:val="1"/>
          <w:iCs w:val="1"/>
          <w:color w:val="auto"/>
        </w:rPr>
      </w:pPr>
    </w:p>
    <w:p>
      <w:pPr>
        <w:jc w:val="both"/>
        <w:ind w:left="260" w:hanging="252"/>
        <w:spacing w:after="0" w:line="273" w:lineRule="auto"/>
        <w:tabs>
          <w:tab w:leader="none" w:pos="248"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majority of the PSUs granted relate to the November 1, 2022 and November 1, 2021 annual employee grants that both cliff vest on the third anniversary of the grant date, subject to the achievement of certain performance metrics. The ultimate number of common shares that may be earned pursuant to these PSU awards range from 0% to 150% of the number of target shares, depending on the level of the Company's achievement of stated financial performance objectives.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Shares of FactSet common stock may be purchased by eligible employees under our ESPP in three-month intervals. The purchase price is equal to 85% of the lesser of the fair market value of our common stock on the first day or the last day of each three-month offering period. Employee purchases may not exceed 10% of their gross compensation, and there is a $25,000 contribution limit per employee during an offering period. Shares purchased through the ESPP cannot be sold or otherwise transferred for 18 months after purchase. Dividends paid on shares held in the ESPP are used to purchase additional ESPP shares at the market price on the dividend payment date.</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the ESPP was $0.7 million for the three months ended November 30, 2022 and $0.5 million for the three months ended November 30, 2021. As of November 30, 2022 the ESPP had 93,853 shares reserved for future issuance.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16. SEGMENT INFORMATION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that have the following characteristics: (i) they engage in business activities from which they may earn revenue and incur expense, (ii) their operating results are regularly reviewed by the chief operating decision maker ("CODM") for resource allocation decisions and performance assessment, and (iii) their discrete financial information is available. Our Chief Executive Officer functions as our CODM.</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operating segments are consistent with our reportable segments and how we, including our CODM, manage our business and the geographic markets in which we serve. Our internal financial reporting structure is based on three segments: the Americas; EMEA; and Asia Pacific.</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Americas segment serves our clients throughout North, Central, and South America. The EMEA segment serves our clients in Europe, the Middle East, and Africa. The Asia Pacific segment serves our clients in Asia and Australia. Segment revenues reflect sales to our clients based on their respective geographic locations.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segment records expenses related to its individual operations with the exception of expenditures associated with our data centers, third-party data costs and corporate headquarters charges, which are recorded by the Americas segment and are not allocated to the other segments. The content collection centers, located in India, the Philippines and Latvia, benefit all our segments, and the expenses incurred at these locations are allocated to each segment based on a percentage of revenues.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reflect the results of operations of our segments as of November 30, 2022 and November 30, 2021: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three months ended November 30, 2022</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323,367</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130,738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504,815</w:t>
            </w:r>
          </w:p>
        </w:tc>
      </w:tr>
      <w:tr>
        <w:trPr>
          <w:trHeight w:val="229"/>
        </w:trPr>
        <w:tc>
          <w:tcPr>
            <w:tcW w:w="5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37,042</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171,895</w:t>
            </w:r>
          </w:p>
        </w:tc>
      </w:tr>
      <w:tr>
        <w:trPr>
          <w:trHeight w:val="234"/>
        </w:trPr>
        <w:tc>
          <w:tcPr>
            <w:tcW w:w="5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15,754</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17,960</w:t>
            </w:r>
          </w:p>
        </w:tc>
      </w:tr>
      <w:tr>
        <w:trPr>
          <w:trHeight w:val="495"/>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three months ended November 30, 2021</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266,913</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42,809</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424,725</w:t>
            </w:r>
          </w:p>
        </w:tc>
      </w:tr>
      <w:tr>
        <w:trPr>
          <w:trHeight w:val="230"/>
        </w:trPr>
        <w:tc>
          <w:tcPr>
            <w:tcW w:w="5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55,498</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26,509</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122,661</w:t>
            </w:r>
          </w:p>
        </w:tc>
      </w:tr>
      <w:tr>
        <w:trPr>
          <w:trHeight w:val="234"/>
        </w:trPr>
        <w:tc>
          <w:tcPr>
            <w:tcW w:w="5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8,583</w:t>
            </w: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Total Assets</w:t>
            </w: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91"/>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reflects the total assets for our segments:</w:t>
            </w: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6"/>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November 30, 2022</w:t>
            </w:r>
          </w:p>
        </w:tc>
        <w:tc>
          <w:tcPr>
            <w:tcW w:w="3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August 31, 2022</w:t>
            </w:r>
          </w:p>
        </w:tc>
      </w:tr>
      <w:tr>
        <w:trPr>
          <w:trHeight w:val="223"/>
        </w:trPr>
        <w:tc>
          <w:tcPr>
            <w:tcW w:w="7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Assets</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3,214,785</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3,191,313</w:t>
            </w:r>
          </w:p>
        </w:tc>
      </w:tr>
      <w:tr>
        <w:trPr>
          <w:trHeight w:val="230"/>
        </w:trPr>
        <w:tc>
          <w:tcPr>
            <w:tcW w:w="7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518,976</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580,450</w:t>
            </w:r>
          </w:p>
        </w:tc>
      </w:tr>
      <w:tr>
        <w:trPr>
          <w:trHeight w:val="230"/>
        </w:trPr>
        <w:tc>
          <w:tcPr>
            <w:tcW w:w="7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243,779</w:t>
            </w: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242,542</w:t>
            </w:r>
          </w:p>
        </w:tc>
      </w:tr>
      <w:tr>
        <w:trPr>
          <w:trHeight w:val="223"/>
        </w:trPr>
        <w:tc>
          <w:tcPr>
            <w:tcW w:w="7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3,977,540</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4,014,305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25"/>
          <w:szCs w:val="25"/>
          <w:b w:val="1"/>
          <w:bCs w:val="1"/>
          <w:color w:val="auto"/>
        </w:rPr>
        <w:t>ITEM 2. MANAGEMENT’S DISCUSSION AND ANALYSIS OF FINANCIAL CONDITION AND RESULTS OF OPERATIONS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This Management’s Discussion and Analysis of Financial Condition and Results of Operations ("MD&amp;A") should be read in conjunction with the Consolidated Financial Statements and related Notes included in this Quarterly Report on Form 10-Q, our Annual Report on Form 10-K for the fiscal year ended August 31, 2022, our Current Reports on Form 8-K and our other filings with the Securities and Exchange Commission. This discussion contains forward-looking statements that involve risks and uncertainties. Our actual results could differ materially from those discussed below. Factors that could cause such differences include, but are not limited to, those identified below and those discussed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year ended August 31, 2022.</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35" w:lineRule="exact"/>
        <w:rPr>
          <w:sz w:val="20"/>
          <w:szCs w:val="20"/>
          <w:color w:val="auto"/>
        </w:rPr>
      </w:pPr>
    </w:p>
    <w:p>
      <w:pPr>
        <w:ind w:left="1620" w:hanging="316"/>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Overview</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Subscription Value ("ASV")</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and User Additions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Headcount</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Measures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Off-Balance Sheet Arrangements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Exposure</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Estimates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Pronouncements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Overview</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(collectively, "we," "our," "us," the "Company" or "FactSet") is a global financial data and analytics company with an open and flexible digital platform that drives the investment community to see more, think bigger and do its best work. Our strategy is to build the leading open content and analytics platform to deliver a differentiated advantage for our clients’ success.</w:t>
      </w:r>
    </w:p>
    <w:p>
      <w:pPr>
        <w:spacing w:after="0" w:line="12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For 45 years, our platform has delivered expansive data, sophisticated analytics, and flexible technology used by global financial professionals to power their critical investment workflows. As of November 30, 2022, we had more than 7,600 clients comprised of approximately 181,000 investment professionals, including asset managers, bankers, wealth managers, asset owners, channel partners, hedge funds, corporate users, private equity and venture capital professionals. Our on- and off-platform solutions span the investment lifecycle including investment research, portfolio construction and analysis, trade execution, performance measurement, risk management and reporting. Our revenues are primarily derived from subscriptions to our multi-asset class data and solutions powered by our connected content, referred to as our "content refinery." Our products and services include workstations, portfolio analytics and enterprise solutions.</w:t>
      </w:r>
    </w:p>
    <w:p>
      <w:pPr>
        <w:spacing w:after="0" w:line="1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provide financial data and market intelligence on securities, companies, industries and people to enable our clients to research investment ideas, as well as to analyze, monitor and manage their portfolios. We combine dedicated client service with open and flexible technology offerings, including a configurable desktop and mobile platform, comprehensive data feeds, cloud-based digital solutions and application programming interfaces ("APIs"). Our CUSIP Global Services ("CGS") business supports security master files relied on by the investment industry for critical front, middle and back office functions.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drive our business based on our detailed understanding of our clients’ workflows, which helps us to solve their most complex challenges. We provide them with an open digital platform, connected and reliable data, next-generation workflow solutions and highly committed service specialists.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operate our business through three segments: the Americas, EMEA and Asia Pacific. Refer to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further discussion. For each of our segments, we execute our strategy through our three workflow solutions: Research &amp; Advisory; Analytics &amp; Trading; and Content &amp; Technology Solutions ("CTS").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the needs of our clients evolve, they seek personalized and connected data, tools for multi-asset class investing and reduced costs. Clients are also seeking cloud-based solutions, open and flexible systems and increased efficiencies to support their digital transformations.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strategy is to build the leading open content and analytics platform to deliver differentiated advantages for our clients’ success. To execute this strategy, we plan on:</w:t>
      </w:r>
    </w:p>
    <w:p>
      <w:pPr>
        <w:spacing w:after="0" w:line="117" w:lineRule="exact"/>
        <w:rPr>
          <w:sz w:val="20"/>
          <w:szCs w:val="20"/>
          <w:color w:val="auto"/>
        </w:rPr>
      </w:pPr>
    </w:p>
    <w:p>
      <w:pPr>
        <w:jc w:val="both"/>
        <w:ind w:left="660" w:hanging="328"/>
        <w:spacing w:after="0" w:line="25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Growing our digital platform</w:t>
      </w:r>
      <w:r>
        <w:rPr>
          <w:rFonts w:ascii="Times New Roman" w:cs="Times New Roman" w:eastAsia="Times New Roman" w:hAnsi="Times New Roman"/>
          <w:sz w:val="18"/>
          <w:szCs w:val="18"/>
          <w:color w:val="auto"/>
        </w:rPr>
        <w:t>: We are scaling up our content refinery to offer a comprehensive and connected inventory of industry, proprietary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third-party data for the financial community. This data includes granular data for key industry verticals, private companies, wealth management, real-time data, and environmental, social and governance data ("ESG"). We are driving personalized workflow solutions for financial professionals, including asset managers, bankers, wealth managers, asset owners, channel partners, hedge funds, corporate users and private equity and venture capital professionals. Our goal is to offer an open ecosystem of cloud-based data and analytics, providing solutions and content that is accessible and flexible through many delivery methods, enabling our clients to more efficiently manage their workflows.</w:t>
      </w:r>
    </w:p>
    <w:p>
      <w:pPr>
        <w:spacing w:after="0" w:line="155"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Delivering execution excellence</w:t>
      </w:r>
      <w:r>
        <w:rPr>
          <w:rFonts w:ascii="Times New Roman" w:cs="Times New Roman" w:eastAsia="Times New Roman" w:hAnsi="Times New Roman"/>
          <w:sz w:val="18"/>
          <w:szCs w:val="18"/>
          <w:color w:val="auto"/>
        </w:rPr>
        <w:t>: We strive to be innovative and collaborative across our organization to remain responsive, flexible and agile.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open ecosystem provides a digital foundation that powers client personalization and efficiency, firm-type product development and core process automation. We employ technology to accelerate content collection for industry, proprietary and third-party data. Additionally, our sales force is improving price realization by focusing on productivity, efficiency, and improved client outcomes. We are also optimizing our operations and cost base to improve returns on our investments in people and product. Finally, we are committed to promoting a modern work environment that preserves the benefit of flexibility while retaining talent, fostering creativity, innovation, and collaboration, and enabling mentorship.</w:t>
      </w:r>
    </w:p>
    <w:p>
      <w:pPr>
        <w:spacing w:after="0" w:line="14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Driving a growth mindset</w:t>
      </w:r>
      <w:r>
        <w:rPr>
          <w:rFonts w:ascii="Times New Roman" w:cs="Times New Roman" w:eastAsia="Times New Roman" w:hAnsi="Times New Roman"/>
          <w:sz w:val="18"/>
          <w:szCs w:val="18"/>
          <w:color w:val="auto"/>
        </w:rPr>
        <w:t>: To drive sustainable growth, we are recruiting, training and empowering a diverse and operationally efficient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workforce. As a performance-based culture, we are investing in talent that can create leading technological solutions and efficiently execute our strategy. We use partnerships and acquisitions to accelerate our growth in strategic areas.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strategy centers on a relentless focus on our clients and their FactSet experience. We aim to be a trusted partner and service provider, offering personalized digital products powered by cognitive computing to research ideas and uncover relevant insights. Additionally, we continually evaluate business opportunities such as partnerships and acquisitions to increase our capabilities and competitive differentiation.</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focused on growing our global business through three segments: the Americas, EMEA and Asia Pacific. We believe this geographic strategic alignment helps us better manage our resources, target our solutions and interact with our clients. We further execute on our growth strategy by offering data, products and analytical applications within our three workflow solutions: Research &amp; Advisory; Analytics &amp; Trading; and 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2023 First Quarter in Review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Revenues in the first quarter of fiscal 2023 were $504.8 million, an increase of 18.9% from the prior year comparable period. Revenues increased across all our segments, primarily in the Americas and, to a lesser extent, EMEA and Asia Pacific, supported by increased revenues from each of our workflow solutions, mainly in CTS driven by the acquisition of CGS and, to a lesser extent, by Research &amp; Advisory and Analytics &amp; Trading. Organic revenues contributed to 8.3% of our growth during the first quarter of fiscal 2023, compared with the prior year period. Refer to Part I, Item 2.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Non-GAAP Financial Measures </w:t>
      </w:r>
      <w:r>
        <w:rPr>
          <w:rFonts w:ascii="Times New Roman" w:cs="Times New Roman" w:eastAsia="Times New Roman" w:hAnsi="Times New Roman"/>
          <w:sz w:val="18"/>
          <w:szCs w:val="18"/>
          <w:color w:val="auto"/>
        </w:rPr>
        <w:t>in the MD&amp;A of this Quarterly Report on Form 10-Q for a reconciliation between revenues and organic revenues.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November 30, 2022, organic annual subscription value ("Organic ASV") plus Professional Services totaled $1.85 billion, an increase of 8.8% over November 30, 2021. Organic ASV increased across all our segments, with the majority of the increase related to the Americas and, to a lesser extent, EMEA and Asia Pacific, supported by increases in our workflow solutions, mainly Research &amp; Advisory and Analytics &amp; Trading, followed by CTS. Refer to Part I, Item 2 </w:t>
      </w:r>
      <w:r>
        <w:rPr>
          <w:rFonts w:ascii="Times New Roman" w:cs="Times New Roman" w:eastAsia="Times New Roman" w:hAnsi="Times New Roman"/>
          <w:sz w:val="18"/>
          <w:szCs w:val="18"/>
          <w:i w:val="1"/>
          <w:iCs w:val="1"/>
          <w:color w:val="auto"/>
        </w:rPr>
        <w:t>Annual Subscription Value</w:t>
      </w:r>
      <w:r>
        <w:rPr>
          <w:rFonts w:ascii="Times New Roman" w:cs="Times New Roman" w:eastAsia="Times New Roman" w:hAnsi="Times New Roman"/>
          <w:sz w:val="18"/>
          <w:szCs w:val="18"/>
          <w:color w:val="auto"/>
        </w:rPr>
        <w:t xml:space="preserve"> in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MD&amp;A of this Quarterly Report on Form 10-Q for the definitions of Organic ASV and Organic ASV plus Professional Services.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margin increased to 34.1% during the three months ended November 30, 2022, compared with 28.9% in the prior year period. This increase in operating margin was due primarily to growth in revenues, lower employee compensation expense, data costs and occupancy costs, as well as, an impairment charge incurred in the prior year period, partially offset by higher amortization of intangible assets and royalty fees, when expressed as a percentage of revenues.</w:t>
      </w:r>
    </w:p>
    <w:p>
      <w:pPr>
        <w:spacing w:after="0" w:line="139" w:lineRule="exact"/>
        <w:rPr>
          <w:sz w:val="20"/>
          <w:szCs w:val="20"/>
          <w:color w:val="auto"/>
        </w:rPr>
      </w:pPr>
    </w:p>
    <w:p>
      <w:pPr>
        <w:ind w:right="1300"/>
        <w:spacing w:after="0" w:line="461" w:lineRule="auto"/>
        <w:rPr>
          <w:sz w:val="20"/>
          <w:szCs w:val="20"/>
          <w:color w:val="auto"/>
        </w:rPr>
      </w:pPr>
      <w:r>
        <w:rPr>
          <w:rFonts w:ascii="Times New Roman" w:cs="Times New Roman" w:eastAsia="Times New Roman" w:hAnsi="Times New Roman"/>
          <w:sz w:val="18"/>
          <w:szCs w:val="18"/>
          <w:color w:val="auto"/>
        </w:rPr>
        <w:t xml:space="preserve">Diluted earnings per share ("EPS") increased 26.2% for the three months ended November 30, 2022, compared with the prior year period. </w:t>
      </w:r>
      <w:r>
        <w:rPr>
          <w:rFonts w:ascii="Times New Roman" w:cs="Times New Roman" w:eastAsia="Times New Roman" w:hAnsi="Times New Roman"/>
          <w:sz w:val="18"/>
          <w:szCs w:val="18"/>
          <w:b w:val="1"/>
          <w:bCs w:val="1"/>
          <w:color w:val="auto"/>
        </w:rPr>
        <w:t>CUSIP Global Services Acquisition</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24, 2021, we entered into a definitive agreement to acquire CGS for $1.932 billion in cash, inclusive of working capital adjustments. The acquisition was completed on March 1, 2022. CGS, operating on behalf of the American Bankers Association ("ABA"), manages a database of 60 different data elements uniquely identifying more than 50 million global financial instruments. It is the foundation for security master files relied on by critical front, middle and back-office functions. CGS is the provider of Committee on Uniform Security Identification Procedures ("CUSIP") and CUSIP International Number System ("CINS") identifiers globally and also acts as the official numbering agency for International Securities Identification Number ("ISIN") identifiers in the United States. We believe that the CGS acquisition will significantly expand our critical role in the global capital markets. Revenues from CGS are recognized based on geographic business activities in accordance with how our operating segments are currently aligned. CGS functions as part of CTS.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purchase price for the CGS acquisition was financed from the net proceeds of the issuance of the Senior Notes and borrowings under the 2022 Credit Facilities. Refer to Note 6,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more information on these defined terms as well as our acquisition of CGS, the Senior Notes and the 2022 Credit Facilities.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novel strain of coronavirus, now known as COVID-19, was first reported in December 2019, with the World Health Organization characterizing COVID-19 as a pandemic on March 11, 2020. In response to the COVID-19 pandemic, we implemented a business continuity plan with a dedicated incident management team to respond quickly and provide ongoing guidance so that we could continue offering our clients uninterrupted products, services and support while also protecting our employees. We believe these actions have been successful and that the pandemic, and our responses, have not significantly affected our financial results for the three months ended November 30, 2022. As of November 30, 2022, there have been minimal interruptions in our ability to provide our products, services and support to our clients. Our revenues, earnings and ASV are relatively stable and predictable as a result of our subscription-based business model and, accordingly, the COVID-19 pandemic has not had a material negative impact on our revenues, earnings or ASV.</w:t>
      </w:r>
    </w:p>
    <w:p>
      <w:pPr>
        <w:spacing w:after="0" w:line="14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Part I, Item 1. </w:t>
      </w:r>
      <w:r>
        <w:rPr>
          <w:rFonts w:ascii="Times New Roman" w:cs="Times New Roman" w:eastAsia="Times New Roman" w:hAnsi="Times New Roman"/>
          <w:sz w:val="18"/>
          <w:szCs w:val="18"/>
          <w:i w:val="1"/>
          <w:iCs w:val="1"/>
          <w:color w:val="auto"/>
        </w:rPr>
        <w:t>Business, Human Capital Management, How We Work</w:t>
      </w:r>
      <w:r>
        <w:rPr>
          <w:rFonts w:ascii="Times New Roman" w:cs="Times New Roman" w:eastAsia="Times New Roman" w:hAnsi="Times New Roman"/>
          <w:sz w:val="18"/>
          <w:szCs w:val="18"/>
          <w:color w:val="auto"/>
        </w:rPr>
        <w:t xml:space="preserve"> and Item 1A. </w:t>
      </w:r>
      <w:r>
        <w:rPr>
          <w:rFonts w:ascii="Times New Roman" w:cs="Times New Roman" w:eastAsia="Times New Roman" w:hAnsi="Times New Roman"/>
          <w:sz w:val="18"/>
          <w:szCs w:val="18"/>
          <w:i w:val="1"/>
          <w:iCs w:val="1"/>
          <w:color w:val="auto"/>
        </w:rPr>
        <w:t>Risk Factors, Operational Risks</w:t>
      </w:r>
      <w:r>
        <w:rPr>
          <w:rFonts w:ascii="Times New Roman" w:cs="Times New Roman" w:eastAsia="Times New Roman" w:hAnsi="Times New Roman"/>
          <w:sz w:val="18"/>
          <w:szCs w:val="18"/>
          <w:color w:val="auto"/>
        </w:rPr>
        <w:t xml:space="preserve"> of our Annual Report on Form 10-K for the fiscal year ended August 31, 2022 for further discussion of the potential impact of the COVID-19 pandemic on our business.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Ukraine/Russia Conflict</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the military conflict between Russia and Ukraine is ongoing, we continue to monitor the potential impact on our business, our people and our clients. We have taken all necessary steps to ensure compliance with all applicable regulatory restrictions on international trade and financial transactions. We have discontinued all commercial operations and delivery of products and services to clients in Russia; have terminated all contracts with vendors in Russia; and have suspended all new business, trials and prospecting activities in Russia. Total revenues associated with clients in Russia were not material to our consolidated financial results, and termination of Russian vendors has not had a material impact on our business or client relationships. We have no offices in Russia or Ukraine, and none of our employees or contractors has been directly impacted by the crisis. We continue to monitor the regional and global ramifications of the events in the area, including the threatened disruptions to global energy markets, and are reviewing our business continuity plans to ensure that we are prepared in the event any of our offices are impacted. Our cybersecurity teams are ready to respond in the event of any attempted systems compromise.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Subscription Value ("ASV")</w:t>
      </w:r>
    </w:p>
    <w:p>
      <w:pPr>
        <w:spacing w:after="0" w:line="2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ASV reflects our ability to grow recurring revenues and generate positive cash flow and is a key indicator of the successful execution of our business strategy.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hanging="324"/>
        <w:spacing w:after="0" w:line="261" w:lineRule="auto"/>
        <w:rPr>
          <w:sz w:val="20"/>
          <w:szCs w:val="20"/>
          <w:color w:val="auto"/>
        </w:rPr>
      </w:pPr>
      <w:r>
        <w:rPr>
          <w:rFonts w:ascii="Times New Roman" w:cs="Times New Roman" w:eastAsia="Times New Roman" w:hAnsi="Times New Roman"/>
          <w:sz w:val="18"/>
          <w:szCs w:val="18"/>
          <w:color w:val="auto"/>
        </w:rPr>
        <w:t>– "ASV" at any point in time represents our forward-looking revenues for the next 12 months from all subscription services currently being supplied to clients, excluding revenues from Professional Services.</w:t>
      </w:r>
    </w:p>
    <w:p>
      <w:pPr>
        <w:ind w:left="660" w:hanging="324"/>
        <w:spacing w:after="0" w:line="250" w:lineRule="auto"/>
        <w:rPr>
          <w:sz w:val="20"/>
          <w:szCs w:val="20"/>
          <w:color w:val="auto"/>
        </w:rPr>
      </w:pPr>
      <w:r>
        <w:rPr>
          <w:rFonts w:ascii="Times New Roman" w:cs="Times New Roman" w:eastAsia="Times New Roman" w:hAnsi="Times New Roman"/>
          <w:sz w:val="18"/>
          <w:szCs w:val="18"/>
          <w:color w:val="auto"/>
        </w:rPr>
        <w:t>– "Organic ASV" at any point in time equals our ASV excluding ASV from acquisitions and dispositions completed within the last 12 months and the effects of foreign currency movements.</w:t>
      </w:r>
    </w:p>
    <w:p>
      <w:pPr>
        <w:ind w:left="340"/>
        <w:spacing w:after="0"/>
        <w:rPr>
          <w:sz w:val="20"/>
          <w:szCs w:val="20"/>
          <w:color w:val="auto"/>
        </w:rPr>
      </w:pPr>
      <w:r>
        <w:rPr>
          <w:rFonts w:ascii="Times New Roman" w:cs="Times New Roman" w:eastAsia="Times New Roman" w:hAnsi="Times New Roman"/>
          <w:sz w:val="18"/>
          <w:szCs w:val="18"/>
          <w:color w:val="auto"/>
        </w:rPr>
        <w:t>–   "Professional Services" are revenues derived from project-based consulting and implementation, annualized over the past 12 months.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"Organic ASV plus Professional Services" at any point in time equals the sum of Organic ASV and Professional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Organic ASV plus Professional Services</w:t>
      </w:r>
    </w:p>
    <w:p>
      <w:pPr>
        <w:spacing w:after="0" w:line="270"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8"/>
          <w:szCs w:val="18"/>
          <w:color w:val="auto"/>
        </w:rPr>
        <w:t>The following table presents the calculation of Organic ASV plus Professional Services as of November 30, 2022. With proper notice provided as contractually required, our clients can add to, delete portions of, or terminate service, subject to certain limitations.</w:t>
      </w:r>
    </w:p>
    <w:tbl>
      <w:tblPr>
        <w:tblLayout w:type="fixed"/>
        <w:tblInd w:w="0" w:type="dxa"/>
        <w:tblCellMar>
          <w:top w:w="0" w:type="dxa"/>
          <w:left w:w="0" w:type="dxa"/>
          <w:bottom w:w="0" w:type="dxa"/>
          <w:right w:w="0" w:type="dxa"/>
        </w:tblCellMar>
      </w:tblPr>
      <w:tr>
        <w:trPr>
          <w:trHeight w:val="236"/>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As of November 30, 2022</w:t>
            </w:r>
          </w:p>
        </w:tc>
      </w:tr>
      <w:tr>
        <w:trPr>
          <w:trHeight w:val="223"/>
        </w:trPr>
        <w:tc>
          <w:tcPr>
            <w:tcW w:w="88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As reported ASV plus Professional Services</w:t>
            </w:r>
            <w:r>
              <w:rPr>
                <w:rFonts w:ascii="Times New Roman" w:cs="Times New Roman" w:eastAsia="Times New Roman" w:hAnsi="Times New Roman"/>
                <w:sz w:val="23"/>
                <w:szCs w:val="23"/>
                <w:i w:val="1"/>
                <w:iCs w:val="1"/>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2,016.0</w:t>
            </w:r>
          </w:p>
        </w:tc>
      </w:tr>
      <w:tr>
        <w:trPr>
          <w:trHeight w:val="229"/>
        </w:trPr>
        <w:tc>
          <w:tcPr>
            <w:tcW w:w="88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Currency impact</w:t>
            </w:r>
            <w:r>
              <w:rPr>
                <w:rFonts w:ascii="Times New Roman" w:cs="Times New Roman" w:eastAsia="Times New Roman" w:hAnsi="Times New Roman"/>
                <w:sz w:val="23"/>
                <w:szCs w:val="23"/>
                <w:i w:val="1"/>
                <w:iCs w:val="1"/>
                <w:color w:val="auto"/>
                <w:vertAlign w:val="superscript"/>
              </w:rPr>
              <w:t>(2)</w:t>
            </w:r>
          </w:p>
        </w:tc>
        <w:tc>
          <w:tcPr>
            <w:tcW w:w="200" w:type="dxa"/>
            <w:vAlign w:val="bottom"/>
          </w:tcPr>
          <w:p>
            <w:pPr>
              <w:spacing w:after="0"/>
              <w:rPr>
                <w:sz w:val="19"/>
                <w:szCs w:val="19"/>
                <w:color w:val="auto"/>
              </w:rPr>
            </w:pPr>
          </w:p>
        </w:tc>
        <w:tc>
          <w:tcPr>
            <w:tcW w:w="2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88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Acquisition ASV</w:t>
            </w:r>
            <w:r>
              <w:rPr>
                <w:rFonts w:ascii="Times New Roman" w:cs="Times New Roman" w:eastAsia="Times New Roman" w:hAnsi="Times New Roman"/>
                <w:sz w:val="23"/>
                <w:szCs w:val="23"/>
                <w:i w:val="1"/>
                <w:iCs w:val="1"/>
                <w:color w:val="auto"/>
                <w:vertAlign w:val="superscript"/>
              </w:rPr>
              <w:t>(3)</w:t>
            </w:r>
          </w:p>
        </w:tc>
        <w:tc>
          <w:tcPr>
            <w:tcW w:w="20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(167.9)</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 ASV plus Professional Services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1,846.5</w:t>
            </w: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Organic ASV plus Professional Services growth rate</w:t>
            </w:r>
          </w:p>
        </w:tc>
        <w:tc>
          <w:tcPr>
            <w:tcW w:w="2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8.8 %</w:t>
            </w:r>
          </w:p>
        </w:tc>
      </w:tr>
    </w:tbl>
    <w:p>
      <w:pPr>
        <w:spacing w:after="0" w:line="173"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$23.0 million in Professional Services.</w:t>
      </w:r>
    </w:p>
    <w:p>
      <w:pPr>
        <w:spacing w:after="0" w:line="126"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1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impact from foreign currency movements.</w:t>
      </w:r>
    </w:p>
    <w:p>
      <w:pPr>
        <w:spacing w:after="0" w:line="113"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1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Acquired ASV from acquisitions completed within the last 12 months.</w:t>
      </w: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2022, Organic ASV plus Professional Services was $1.85 billion, an increase of 8.8% compared with November 30, 2021. Organic ASV increased due mainly to increased sales to existing clients and, to a lesser extent, price increases to existing clients and new client sales, partially offset by existing client cancellations.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Organic ASV increased across all our segments, with the majority of the increase related to the Americas, followed by EMEA and Asia Pacific. This increase was driven by additional sales in our workflow solutions, primarily in Research &amp; Advisory and Analytics &amp; Trading, and, to a lesser extent, by CTS. Sales increased in Research &amp; Advisory mainly due to higher demand for our workstations. Sales increased in Analytics &amp; Trading mainly from our performance and reporting products, portfolio and benchmark services and portfolio analytics solutions. CTS sales increased primarily due to purchases of company financial data, such as fundamentals, estimates and ownership, along with data management solutions to empower data connectivity.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ASV</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2022, ASV from the Americas represented 64% of total ASV and was $1,271.0 million, an increase from $1,054.9 million as of November 30, 2021. Americas Organic ASV increased to $1,146.6 million as of November 30, 2022, a 8.5% increase from the prior year period. The increased Organic ASV in the Americas was primarily driven by increased sales of Research &amp; Advisory and Analytics &amp; Trading.</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2022, ASV from EMEA equaled 26% of total ASV and was $521.1 million, an increase from $452.0 million as of November 30, 2021. EMEA Organic ASV increased to $487.0 million as of November 30, 2022, a 8.8% increase from the prior year period. The EMEA Organic ASV increase was mainly driven by higher sales of Research &amp; Advisory and Analytics &amp; Trading, and, to a lesser extent CTS.</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November 30, 2022, ASV from Asia Pacific represented 10% of total ASV and was $200.9 million, an increase from $175.4 million as of November 30, 2021. Asia Pacific Organic ASV increased to $189.9 million as of November 30, 2022, a 11.1% increase from the prior year period. The Asia Pacific Organic ASV increase was primarily due to increased sales of Analytics &amp; Trading and Research &amp; Advisory.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Buy-side and Sell-side Organic ASV Growth</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buy-side and sell-side Organic ASV growth rates at November 30, 2022, compared with November 30, 2021, were 8.0% and 14.4%, respectively. Buy-side clients account for approximately 83% of our Organic ASV, consistent with the prior year period, and primarily include asset managers, wealth managers, asset owners, channel partners, hedge funds, and corporate firms. The remainder of our Organic ASV is derived from sell-side firms and primarily include broker-dealers, banking and advisory, private equity and venture capital firms.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Client and User Additions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our total clients and users:</w:t>
            </w:r>
          </w:p>
        </w:tc>
        <w:tc>
          <w:tcPr>
            <w:tcW w:w="2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7"/>
        </w:trPr>
        <w:tc>
          <w:tcPr>
            <w:tcW w:w="442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 of November 30, 2022</w:t>
            </w:r>
          </w:p>
        </w:tc>
        <w:tc>
          <w:tcPr>
            <w:tcW w:w="5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As of November 30, 2021</w:t>
            </w: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44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Clients</w:t>
            </w:r>
            <w:r>
              <w:rPr>
                <w:rFonts w:ascii="Times New Roman" w:cs="Times New Roman" w:eastAsia="Times New Roman" w:hAnsi="Times New Roman"/>
                <w:sz w:val="23"/>
                <w:szCs w:val="23"/>
                <w:i w:val="1"/>
                <w:iCs w:val="1"/>
                <w:color w:val="auto"/>
                <w:vertAlign w:val="superscript"/>
              </w:rPr>
              <w:t>(1)</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7631</w:t>
            </w:r>
          </w:p>
        </w:tc>
        <w:tc>
          <w:tcPr>
            <w:tcW w:w="2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6,759</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r>
      <w:tr>
        <w:trPr>
          <w:trHeight w:val="234"/>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Users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180,959</w:t>
            </w:r>
          </w:p>
        </w:tc>
        <w:tc>
          <w:tcPr>
            <w:tcW w:w="520" w:type="dxa"/>
            <w:vAlign w:val="bottom"/>
          </w:tcPr>
          <w:p>
            <w:pPr>
              <w:spacing w:after="0"/>
              <w:rPr>
                <w:sz w:val="20"/>
                <w:szCs w:val="20"/>
                <w:color w:val="auto"/>
              </w:rPr>
            </w:pPr>
          </w:p>
        </w:tc>
        <w:tc>
          <w:tcPr>
            <w:tcW w:w="2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162,161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(1) The client count includes clients with ASV of $10,000 and above.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total client count was 7,631 as of November 30, 2022, a net increase of 12.9% or 872 clients in the last 12 months, mainly due to an increase in corporate clients, wealth management clients, private equity and venture capital firms and channel partners. We believe this increase was primarily due to our expanded suite of on- and off-platform solutions, personalized content, and continued execution excellence by our sales and client facing teams.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2022, there were 180,959 professionals using FactSet, representing a net increase of 11.6% or 18,798 users in the last 12 months, primarily driven by an increase in wealth advisory professionals from our wealth management clients as well as an increase in sell-side users from our banking clients. The increase in users was mainly due to new wealth management clients and increased new hiring at our banking clients.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Annual ASV retention was greater than 95% of ASV and 92% when expressed as a percentage of clients for the period ended November 30, 2022, with both percentages consistent with the prior year period.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Employee Headcount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2022, our employee headcount was 11,627, an increase of 6.7% compared with 10,898 employees as of November 30, 2021. This growth in headcount was primarily due to an increase of 7.1% in Asia Pacific, 6.5% in the Americas and 5.1% in EMEA. At November 30, 2022, 7,698 employees were located in Asia Pacific, 2,495 in the Americas, and 1,434 in EMEA.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an understanding of the significant factors that influenced our performance for the three months ended November 30, 2022 and November 30, 2021, the following discussion should be read in conjunction with the Consolidated Financial Statements and related Notes presented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945"/>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the periods described:</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46"/>
        </w:trPr>
        <w:tc>
          <w:tcPr>
            <w:tcW w:w="6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Three Months Ended</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6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November 30,</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473"/>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Change</w:t>
            </w:r>
          </w:p>
        </w:tc>
        <w:tc>
          <w:tcPr>
            <w:tcW w:w="12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504,815</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424,725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80,090</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18.9 %</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227,042</w:t>
            </w:r>
          </w:p>
        </w:tc>
        <w:tc>
          <w:tcPr>
            <w:tcW w:w="3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207,131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19,911</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9.6 %</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105,596</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91,238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14,358</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15.7 %</w:t>
            </w:r>
          </w:p>
        </w:tc>
      </w:tr>
      <w:tr>
        <w:trPr>
          <w:trHeight w:val="229"/>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282</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3,695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2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(92.4)%</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171,895</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122,661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49,234</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40.1 %</w:t>
            </w:r>
          </w:p>
        </w:tc>
      </w:tr>
      <w:tr>
        <w:trPr>
          <w:trHeight w:val="270"/>
        </w:trPr>
        <w:tc>
          <w:tcPr>
            <w:tcW w:w="6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136,798</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107,647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29,151</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27.1 %</w:t>
            </w:r>
          </w:p>
        </w:tc>
      </w:tr>
      <w:tr>
        <w:trPr>
          <w:trHeight w:val="230"/>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38,914</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38,641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80" w:type="dxa"/>
            <w:vAlign w:val="bottom"/>
            <w:tcBorders>
              <w:bottom w:val="single" w:sz="8" w:color="CCEEFF"/>
            </w:tcBorders>
          </w:tcPr>
          <w:p>
            <w:pPr>
              <w:spacing w:after="0"/>
              <w:rPr>
                <w:sz w:val="19"/>
                <w:szCs w:val="19"/>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3.52</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26.2 %</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2022 compared with three months ended November 30, 2021</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Revenues for the three months ended November 30, 2022 were $504.8 million, an increase of 18.9%. The increase in revenues was largely attributed to increased sales to existing clients and, to a lesser extent, price increases to existing clients and new client sales, partially offset by existing client cancellations. Revenues increased across all our segments, primarily from the Americas, followed by EMEA and Asia Pacific, driven by increased revenues in all our workflow solutions, mainly in CTS driven by the acquisition of CGS, followed by Research &amp; Advisory and Analytics &amp; Trading, compared with the prior year. Organic revenues increased to $459.9 million for the three months ended November 30, 2022, a 8.3% increase over the prior year period. Refer to Part I, Item 2. </w:t>
      </w:r>
      <w:r>
        <w:rPr>
          <w:rFonts w:ascii="Times New Roman" w:cs="Times New Roman" w:eastAsia="Times New Roman" w:hAnsi="Times New Roman"/>
          <w:sz w:val="18"/>
          <w:szCs w:val="18"/>
          <w:i w:val="1"/>
          <w:iCs w:val="1"/>
          <w:color w:val="auto"/>
        </w:rPr>
        <w:t>Results of Operations, Non-GAAP Financial Measures</w:t>
      </w:r>
      <w:r>
        <w:rPr>
          <w:rFonts w:ascii="Times New Roman" w:cs="Times New Roman" w:eastAsia="Times New Roman" w:hAnsi="Times New Roman"/>
          <w:sz w:val="18"/>
          <w:szCs w:val="18"/>
          <w:color w:val="auto"/>
        </w:rPr>
        <w:t xml:space="preserve"> in the MD&amp;A of this Quarterly Report on Form 10-Q for further discussion on organic revenues.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growth in revenues of 18.9% was reflective of organic revenues growth of 8.3% and a 11.4% increase primarily due to the impact of acquisition-related revenues, partially offset by a 0.8% decrease from foreign currency exchange rate fluctuations.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 by Segment</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revenues by segment for the periods described:</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6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Three Months Ended</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6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10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38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323,367</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266,913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00" w:type="dxa"/>
            <w:vAlign w:val="bottom"/>
            <w:shd w:val="clear" w:color="auto" w:fill="CCEEFF"/>
          </w:tcPr>
          <w:p>
            <w:pPr>
              <w:spacing w:after="0"/>
              <w:rPr>
                <w:sz w:val="19"/>
                <w:szCs w:val="19"/>
                <w:color w:val="auto"/>
              </w:rPr>
            </w:pPr>
          </w:p>
        </w:tc>
      </w:tr>
      <w:tr>
        <w:trPr>
          <w:trHeight w:val="230"/>
        </w:trPr>
        <w:tc>
          <w:tcPr>
            <w:tcW w:w="65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64.1 %</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62.8 %</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130,738</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115,003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00" w:type="dxa"/>
            <w:vAlign w:val="bottom"/>
            <w:shd w:val="clear" w:color="auto" w:fill="CCEEFF"/>
          </w:tcPr>
          <w:p>
            <w:pPr>
              <w:spacing w:after="0"/>
              <w:rPr>
                <w:sz w:val="19"/>
                <w:szCs w:val="19"/>
                <w:color w:val="auto"/>
              </w:rPr>
            </w:pPr>
          </w:p>
        </w:tc>
      </w:tr>
      <w:tr>
        <w:trPr>
          <w:trHeight w:val="230"/>
        </w:trPr>
        <w:tc>
          <w:tcPr>
            <w:tcW w:w="65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25.9 %</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27.1 %</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50,710</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42,809</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00" w:type="dxa"/>
            <w:vAlign w:val="bottom"/>
            <w:shd w:val="clear" w:color="auto" w:fill="CCEEFF"/>
          </w:tcPr>
          <w:p>
            <w:pPr>
              <w:spacing w:after="0"/>
              <w:rPr>
                <w:sz w:val="19"/>
                <w:szCs w:val="19"/>
                <w:color w:val="auto"/>
              </w:rPr>
            </w:pPr>
          </w:p>
        </w:tc>
      </w:tr>
      <w:tr>
        <w:trPr>
          <w:trHeight w:val="230"/>
        </w:trPr>
        <w:tc>
          <w:tcPr>
            <w:tcW w:w="65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10.0 %</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10.1 %</w:t>
            </w:r>
          </w:p>
        </w:tc>
        <w:tc>
          <w:tcPr>
            <w:tcW w:w="128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504,815</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424,725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2022 compared with three months ended November 30,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Americas revenues increased 21.2% to $323.4 million during the three months ended November 30, 2022, compared with $266.9 million from the same period a year ago. The increased revenues were driven by higher sales in all of our workflow solutions, primarily in CTS, followed by Research &amp; Advisory. The growth in revenues of 21.2% was reflective of a 7.6% increase in organic revenues and a 13.6% increase from acquisition-related revenues.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EMEA revenues increased 13.7% to $130.7 million during the three months ended November 30, 2022, compared with $115.0 million from the same period a year ago. The increased revenues were driven by higher sales in all of our workflow solutions, primarily in CTS. The growth in revenues of 13.7% was due to a 7.2% increase in organic revenues and an 8.1% from acquisition-related revenues, partially offset by a 1.6% decrease driven by the effects of foreign currency exchange rate fluctuations.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Asia Pacific revenues segment increased 18.5% to $50.7 million during the three months ended November 30, 2022, compared with $42.8 million from the same period a year ago. The increased revenues were driven by higher sales in all of our workflow solutions, primarily in CTS, followed by Analytics &amp; Trading and Research &amp; Advisory. The growth in revenues of 18.5% was reflective of 14.9% increase in organic revenues and a 7.3% increase from acquisition-related revenues, partially offset by a 3.7% decrease driven by the effects of foreign currency exchange rate fluctuations.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by Workflow Solution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2022 compared with three months ended November 30, 2021</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growth in revenues of 18.9% for the three months ended November 30, 2022, compared with the same period a year ago, was due to revenue growth across each of our segments supported by increased revenues from our workflow solutions, primarily from CTS, followed by Research &amp; Advisory and Analytics &amp; Trading. The increase in CTS revenues was driven mainly by CGS related data licensing and issuance revenues. The increase in Research &amp; Advisory revenues was driven mainly by higher demand for our workstations. The increase in revenues from Analytics &amp; Trading was primarily due to increased demand for our performance and portfolio reporting products, portfolio and benchmark services and portfolio analytics solutions.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Principal Operating Costs and Expenses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 of services </w:t>
      </w:r>
      <w:r>
        <w:rPr>
          <w:rFonts w:ascii="Times New Roman" w:cs="Times New Roman" w:eastAsia="Times New Roman" w:hAnsi="Times New Roman"/>
          <w:sz w:val="18"/>
          <w:szCs w:val="18"/>
          <w:color w:val="auto"/>
        </w:rPr>
        <w:t>is mainly comprised of employee compensation costs and also includes expenses related to data costs, computer-related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amortization of identifiable intangible assets, royalty fees, client-related communication costs and computer depreciation.</w:t>
      </w:r>
    </w:p>
    <w:p>
      <w:pPr>
        <w:spacing w:after="0" w:line="12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("SG&amp;A") </w:t>
      </w:r>
      <w:r>
        <w:rPr>
          <w:rFonts w:ascii="Times New Roman" w:cs="Times New Roman" w:eastAsia="Times New Roman" w:hAnsi="Times New Roman"/>
          <w:sz w:val="18"/>
          <w:szCs w:val="18"/>
          <w:color w:val="auto"/>
        </w:rPr>
        <w:t>consists primarily of employee compensation costs and also includes expenses related to occupancy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professional fees, depreciation of furniture and fixtures, amortization of leasehold improvements, travel and entertainment expenses, marketing costs, non-compensatory employee expenses, internal communication costs and bad debt expense.</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Employee compensation costs are a major component of both our cost of services and SG&amp;A. These expenses primarily include costs related to salaries, incentive compensation and sales commissions, stock-based compensation, benefits, employment taxes, and any applicable restructuring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assign employee compensation costs between costs of services and SG&amp;A based on the roles and activities associated with each employee. We categorize employees within the content collection, consulting, product development, software and systems engineering groups as cost of services personnel. Employees included in our sales department and those that serve in various other support departments, including marketing, finance, legal, human resources and administrative services, are classified as SG&amp;A.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Asset impairments </w:t>
      </w:r>
      <w:r>
        <w:rPr>
          <w:rFonts w:ascii="Times New Roman" w:cs="Times New Roman" w:eastAsia="Times New Roman" w:hAnsi="Times New Roman"/>
          <w:sz w:val="18"/>
          <w:szCs w:val="18"/>
          <w:color w:val="auto"/>
        </w:rPr>
        <w:t>consist primarily of expenses recognized when the carrying amount of an asset exceeds its fair value.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our total operating expenses and operating margin for the periods described: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2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Three Months Ended</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7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8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23"/>
                <w:szCs w:val="23"/>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Pr>
          <w:p>
            <w:pPr>
              <w:spacing w:after="0"/>
              <w:rPr>
                <w:sz w:val="23"/>
                <w:szCs w:val="23"/>
                <w:color w:val="auto"/>
              </w:rPr>
            </w:pPr>
          </w:p>
        </w:tc>
        <w:tc>
          <w:tcPr>
            <w:tcW w:w="8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9"/>
              </w:rPr>
              <w:t>2021</w:t>
            </w: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7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227,042</w:t>
            </w:r>
          </w:p>
        </w:tc>
        <w:tc>
          <w:tcPr>
            <w:tcW w:w="48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207,131</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320" w:type="dxa"/>
            <w:vAlign w:val="bottom"/>
          </w:tcPr>
          <w:p>
            <w:pPr>
              <w:spacing w:after="0"/>
              <w:rPr>
                <w:sz w:val="19"/>
                <w:szCs w:val="19"/>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105,596</w:t>
            </w:r>
          </w:p>
        </w:tc>
        <w:tc>
          <w:tcPr>
            <w:tcW w:w="4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91,238</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00" w:type="dxa"/>
            <w:vAlign w:val="bottom"/>
          </w:tcPr>
          <w:p>
            <w:pPr>
              <w:spacing w:after="0"/>
              <w:rPr>
                <w:sz w:val="19"/>
                <w:szCs w:val="19"/>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282</w:t>
            </w: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3,695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shd w:val="clear" w:color="auto" w:fill="CCEEFF"/>
          </w:tcPr>
          <w:p>
            <w:pPr>
              <w:spacing w:after="0"/>
              <w:rPr>
                <w:sz w:val="19"/>
                <w:szCs w:val="19"/>
                <w:color w:val="auto"/>
              </w:rPr>
            </w:pPr>
          </w:p>
        </w:tc>
      </w:tr>
      <w:tr>
        <w:trPr>
          <w:trHeight w:val="22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332,920</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302,064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tcPr>
          <w:p>
            <w:pPr>
              <w:spacing w:after="0"/>
              <w:rPr>
                <w:sz w:val="19"/>
                <w:szCs w:val="19"/>
                <w:color w:val="auto"/>
              </w:rPr>
            </w:pPr>
          </w:p>
        </w:tc>
      </w:tr>
      <w:tr>
        <w:trPr>
          <w:trHeight w:val="270"/>
        </w:trPr>
        <w:tc>
          <w:tcPr>
            <w:tcW w:w="7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171,895</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122,661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100" w:type="dxa"/>
            <w:vAlign w:val="bottom"/>
          </w:tcPr>
          <w:p>
            <w:pPr>
              <w:spacing w:after="0"/>
              <w:rPr>
                <w:sz w:val="19"/>
                <w:szCs w:val="19"/>
                <w:color w:val="auto"/>
              </w:rPr>
            </w:pPr>
          </w:p>
        </w:tc>
      </w:tr>
      <w:tr>
        <w:trPr>
          <w:trHeight w:val="229"/>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34.1 %</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28.9 %</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Services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2022 compared with three months ended November 30, 2021</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services increased 9.6% to $227.0 million for the three months ended November 30, 2022, compared with $207.1 million for the same period a year ago, primarily due to an increase in amortization of intangible assets and royalty fees related to our CGS acquisition and computer-related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services, when expressed as a percentage of revenues, was 45.0% for the three months ended November 30, 2022, a decrease of 380 basis points over the prior year period. This decrease was primarily due to lower employee compensation costs and data costs, partially offset by higher amortization of intangible assets and royalty fees.</w:t>
      </w:r>
    </w:p>
    <w:p>
      <w:pPr>
        <w:spacing w:after="0" w:line="149" w:lineRule="exact"/>
        <w:rPr>
          <w:sz w:val="20"/>
          <w:szCs w:val="20"/>
          <w:color w:val="auto"/>
        </w:rPr>
      </w:pPr>
    </w:p>
    <w:p>
      <w:pPr>
        <w:jc w:val="both"/>
        <w:ind w:left="660" w:hanging="328"/>
        <w:spacing w:after="0" w:line="258" w:lineRule="auto"/>
        <w:tabs>
          <w:tab w:leader="none" w:pos="65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 compensation costs decreased 560 basis points primarily due to a one-time restructuring charge to drive organizational realignment incurred during the three months ended November 30, 2021 and increased capitalization of compensation costs related to development of our internal-use software projects, partially offset by higher annual base salaries and higher variable compensation expense. The increase in annual base salaries was mainly due to a net headcount increase in cost of services of 558, partially offset by a shift of our headcount from high to low cost locations.</w:t>
      </w:r>
    </w:p>
    <w:p>
      <w:pPr>
        <w:spacing w:after="0" w:line="21" w:lineRule="exact"/>
        <w:rPr>
          <w:rFonts w:ascii="Times New Roman" w:cs="Times New Roman" w:eastAsia="Times New Roman" w:hAnsi="Times New Roman"/>
          <w:sz w:val="18"/>
          <w:szCs w:val="18"/>
          <w:b w:val="1"/>
          <w:bCs w:val="1"/>
          <w:color w:val="auto"/>
        </w:rPr>
      </w:pPr>
    </w:p>
    <w:p>
      <w:pPr>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costs decreased by 160 basis points due to the release of certain accruals related to the successful resolution of exchange audits, partially offset by increased data prices and usage-based fees.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increased 190 basis points mainly due to increased amortization related to acquired intangible assets, primarily from the CGS acquisition.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fees increased cost of services by 170 basis points due to contracts acquired in connection with the acquisition of CGS.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2022 compared with three months ended November 30, 2021</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SG&amp;A expenses increased 15.7% to $105.6 million for the three months ended November 30, 2022, compared with $91.2 million from the same period a year ago, primarily due to higher employee compensation expense and travel expenses.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SG&amp;A expenses, expressed as a percentage of revenues, were 20.9% for the three months ended November 30, 2022, a decrease of 60 basis points over the prior year period. This decrease was primarily due to lower occupancy costs, partially offset by higher travel expenses.</w:t>
      </w:r>
    </w:p>
    <w:p>
      <w:pPr>
        <w:spacing w:after="0" w:line="121" w:lineRule="exact"/>
        <w:rPr>
          <w:sz w:val="20"/>
          <w:szCs w:val="20"/>
          <w:color w:val="auto"/>
        </w:rPr>
      </w:pPr>
    </w:p>
    <w:p>
      <w:pPr>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costs decreased by 90 basis points mainly driven by vacating leased office space and recognizing an impairment charge during fiscal 2022, thereby reducing occupancy costs recorded over the remaining lease terms.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expenses increased as we lifted our COVID-19 travel restrictions during the current year.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Impairments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2022 compared with three months ended November 30, 2021</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 impairments were $0.3 million for the three months ended November 30, 2022, compared with $3.7 million in the same period a year ago. The impairment charges incurred during the three months ended November 30, 2021 related to our lease right-of-use ("ROU") assets and property, equipment and leasehold improvements associated with vacating certain leased office space.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Income and Operating Margin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2022 compared with three months ended November 30, 2021</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increased 40.1% to $171.9 million for the three months ended November 30, 2022, compared with $122.7 million in the prior year. This increase was primarily due to growth in revenues, partially offset by an increase in amortization of intangible assets, royalty fees, employee compensation expense, computer-related expenses and travel expenses. Foreign currency exchange rate fluctuations, net of hedge activity, increased operating income by $8.6 million for the three months ended November 30, 2022, compared with a decrease of $4.3 million during the three months ended November 30, 2021</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margin increased to 34.1% during the three months ended November 30, 2022, compared with 28.9% in the prior year period. Operating margin increased mainly due to growth in revenues, lower employee compensation expense, data costs and occupancy costs, an impairment charge incurred in the prior year period, partially offset by higher amortization of intangible assets, royalty fees and travel expenses, when expressed as a percentage of revenues.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Income by Segment</w:t>
      </w:r>
    </w:p>
    <w:p>
      <w:pPr>
        <w:spacing w:after="0" w:line="3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 xml:space="preserve">Our internal financial reporting structure is based on three segments: the Americas; EMEA; and Asia Pacific. Refer to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further discussion regarding our segments. The following table summarizes our operating income by segment for the periods described:</w:t>
      </w:r>
    </w:p>
    <w:p>
      <w:pPr>
        <w:ind w:left="654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November 30,</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55,498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67,322</w:t>
            </w:r>
          </w:p>
        </w:tc>
        <w:tc>
          <w:tcPr>
            <w:tcW w:w="3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40,654</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26,668</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65.6 %</w:t>
            </w: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37,042</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26,509</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39.7 %</w:t>
            </w:r>
          </w:p>
        </w:tc>
      </w:tr>
      <w:tr>
        <w:trPr>
          <w:trHeight w:val="228"/>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171,895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122,661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40.1 %</w:t>
            </w:r>
          </w:p>
        </w:tc>
      </w:tr>
    </w:tbl>
    <w:p>
      <w:pPr>
        <w:spacing w:after="0" w:line="245" w:lineRule="exact"/>
        <w:rPr>
          <w:sz w:val="20"/>
          <w:szCs w:val="20"/>
          <w:color w:val="auto"/>
        </w:rPr>
      </w:pPr>
    </w:p>
    <w:p>
      <w:pPr>
        <w:ind w:right="4300"/>
        <w:spacing w:after="0" w:line="462" w:lineRule="auto"/>
        <w:rPr>
          <w:sz w:val="20"/>
          <w:szCs w:val="20"/>
          <w:color w:val="auto"/>
        </w:rPr>
      </w:pPr>
      <w:r>
        <w:rPr>
          <w:rFonts w:ascii="Times New Roman" w:cs="Times New Roman" w:eastAsia="Times New Roman" w:hAnsi="Times New Roman"/>
          <w:sz w:val="18"/>
          <w:szCs w:val="18"/>
          <w:i w:val="1"/>
          <w:iCs w:val="1"/>
          <w:color w:val="auto"/>
        </w:rPr>
        <w:t>Three months ended November 30, 2022 compared with three months ended November 30, 2021 Americas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Americas operating income increased 21.7% to $67.5 million during the three months ended November 30, 2022, compared with $55.5 million in the same period a year ago. This increase was primarily due to growth in revenues of 21.2%, partially offset by higher amortization of intangible assets, royalty fees, employee compensation expense and computer-related expenses.</w:t>
      </w:r>
    </w:p>
    <w:p>
      <w:pPr>
        <w:spacing w:after="0" w:line="20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primarily increased due to amortization related to acquired intangible assets, mainly from the CGS acquisition.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fees increased due to contracts acquired in connection with the acquisition of CGS.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expense increased primarily due to an increase in annual base salary, inclusive of a net increase in employee headcount of 152 and an increase in stock-based compensation and payroll taxes, partially offset by the impact of a one-time restructuring charge incurred during the three months ended November 30, 2021 to drive organizational realignment.</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Computer-related expenses increased primarily due to increased spend from our migration to cloud-based hosting services to support our transition to a hybrid cloud strategy, as well as expenses related to licensed software arrangements.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EMEA operating income increased 65.6% to $67.3 million during the three months ended November 30, 2022, compared with $40.7 million recognized during the same period a year ago. This increase was primarily due to growth in revenues of 13.7% and a reduction in data costs. Data costs were lower due to the successful resolution of exchange audits, partially offset by increased data prices and usage-based fees.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Asia Pacific operating income increased 39.7% to $37.0 million during the three months ended November 30, 2022, compared with $26.5 million from the prior year. This increase was mainly due to growth in revenues of 18.5%, partially offset by higher employee compensation expense. Employee compensation expense increased mainly due to higher annual base salaries, inclusive of a net increase in employee headcount of 508.</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The provision for income taxes and the effective tax rate is as follows:</w:t>
            </w: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8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2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80" w:type="dxa"/>
            <w:vAlign w:val="bottom"/>
            <w:tcBorders>
              <w:bottom w:val="single" w:sz="8" w:color="auto"/>
            </w:tcBorders>
            <w:vMerge w:val="continue"/>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4"/>
              </w:rPr>
              <w:t>2021</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 Change</w:t>
            </w: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157,885</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119,930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37,955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21,087</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12,283</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8,804</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71.7 %</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Effective tax rate</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is based on recurring factors and non-recurring events, including the taxation of foreign income. Our effective tax rate will vary based on, among other things, changes in levels of foreign income, as well as discrete and other non-recurring events that may not be predictable. For the three months ended November 30, 2022, our effective tax rate is lower than the applicable U.S. corporate income tax rate mainly due to research and development ("R&amp;D") tax credits, a foreign derived intangible income ("FDII") deduction and a tax benefit from the exercise of stock options.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2022 compared with three months ended November 30, 2021</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November 30, 2022, the provision for income taxes was $21.1 million, compared with $12.3 million for the same period a year ago. The provision increased mainly due to higher pretax income at a higher effective tax rate and, to a lesser extent, an increase of the UK statutory tax rate.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Income and Diluted Earnings per Share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7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for per share data)</w:t>
            </w:r>
          </w:p>
        </w:tc>
        <w:tc>
          <w:tcPr>
            <w:tcW w:w="2140" w:type="dxa"/>
            <w:vAlign w:val="bottom"/>
          </w:tcPr>
          <w:p>
            <w:pPr>
              <w:spacing w:after="0"/>
              <w:rPr>
                <w:sz w:val="19"/>
                <w:szCs w:val="19"/>
                <w:color w:val="auto"/>
              </w:rPr>
            </w:pPr>
          </w:p>
        </w:tc>
        <w:tc>
          <w:tcPr>
            <w:tcW w:w="174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November 30,</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40" w:type="dxa"/>
            <w:vAlign w:val="bottom"/>
            <w:tcBorders>
              <w:bottom w:val="single" w:sz="8" w:color="auto"/>
            </w:tcBorders>
            <w:vMerge w:val="continue"/>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Change</w:t>
            </w: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136,798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107,647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29,151</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27.1 %</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21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38,914</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38,641</w:t>
            </w:r>
          </w:p>
        </w:tc>
        <w:tc>
          <w:tcPr>
            <w:tcW w:w="18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273</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0.73</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26.2 %</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2022 compared with three months ended November 30, 2021</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increased 27.1% to $136.8 million and diluted earnings per share ("EPS") increased 26.2% to $3.52 for the three months ended November 30, 2022, compared with the same period a year ago. Net income and diluted EPS increased primarily due to higher operating income, partially offset by an increase in interest expense as a result of higher outstanding debt and an increase in the provision for income taxes due to higher pretax income at a higher effective tax rate, compared with the prior year period.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supplement the financial measures prepared in accordance with generally accepted accounting principles in the United States ("GAAP"), we use non-GAAP financial measures including organic revenues, adjusted operating income, adjusted operating margin, adjusted net income, EBITDA, adjusted EBITDA and adjusted diluted EPS. The reconciliations from our financial measures calculated and presented in accordance with GAAP to these non-GAAP financial measures are shown in the tables below. These non-GAAP financial measures should not be considered in isolation from, as a substitute for or superior to, financial measures reported in accordance with GAAP. Moreover, these non-GAAP financial measures have limitations in that they do not reflect all the items associated with the operations of our business as determined in accordance with GAAP. Other companies may calculate similarly titled non-GAAP financial measures differently than we do, limiting the usefulness of those measures for comparative purposes.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revenues exclude the impact of the fair value of deferred revenues acquired in a business combination. Organic revenues further excludes revenues related to acquisitions and dispositions completed in the last 12 months and foreign currency movements in all periods presented.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an unaudited reconciliation of revenues to adjusted revenues and organic revenues.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8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Three Months Ended</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0"/>
        </w:trPr>
        <w:tc>
          <w:tcPr>
            <w:tcW w:w="5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504,815</w:t>
            </w:r>
          </w:p>
        </w:tc>
        <w:tc>
          <w:tcPr>
            <w:tcW w:w="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424,725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80,090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r>
      <w:tr>
        <w:trPr>
          <w:trHeight w:val="229"/>
        </w:trPr>
        <w:tc>
          <w:tcPr>
            <w:tcW w:w="5640" w:type="dxa"/>
            <w:vAlign w:val="bottom"/>
            <w:tcBorders>
              <w:bottom w:val="single" w:sz="8" w:color="CCEEFF"/>
            </w:tcBorders>
          </w:tcPr>
          <w:p>
            <w:pPr>
              <w:ind w:left="160"/>
              <w:spacing w:after="0" w:line="230" w:lineRule="exact"/>
              <w:rPr>
                <w:sz w:val="20"/>
                <w:szCs w:val="20"/>
                <w:color w:val="auto"/>
              </w:rPr>
            </w:pPr>
            <w:r>
              <w:rPr>
                <w:rFonts w:ascii="Times New Roman" w:cs="Times New Roman" w:eastAsia="Times New Roman" w:hAnsi="Times New Roman"/>
                <w:sz w:val="18"/>
                <w:szCs w:val="18"/>
                <w:color w:val="auto"/>
              </w:rPr>
              <w:t>Deferred revenues fair value adjustment</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60" w:type="dxa"/>
            <w:vAlign w:val="bottom"/>
            <w:tcBorders>
              <w:bottom w:val="single" w:sz="8" w:color="CCEEFF"/>
            </w:tcBorders>
          </w:tcPr>
          <w:p>
            <w:pPr>
              <w:spacing w:after="0"/>
              <w:rPr>
                <w:sz w:val="19"/>
                <w:szCs w:val="19"/>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504,815</w:t>
            </w:r>
          </w:p>
        </w:tc>
        <w:tc>
          <w:tcPr>
            <w:tcW w:w="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424,811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r>
      <w:tr>
        <w:trPr>
          <w:trHeight w:val="230"/>
        </w:trPr>
        <w:tc>
          <w:tcPr>
            <w:tcW w:w="5640" w:type="dxa"/>
            <w:vAlign w:val="bottom"/>
          </w:tcPr>
          <w:p>
            <w:pPr>
              <w:ind w:left="160"/>
              <w:spacing w:after="0" w:line="230" w:lineRule="exact"/>
              <w:rPr>
                <w:sz w:val="20"/>
                <w:szCs w:val="20"/>
                <w:color w:val="auto"/>
              </w:rPr>
            </w:pPr>
            <w:r>
              <w:rPr>
                <w:rFonts w:ascii="Times New Roman" w:cs="Times New Roman" w:eastAsia="Times New Roman" w:hAnsi="Times New Roman"/>
                <w:sz w:val="18"/>
                <w:szCs w:val="18"/>
                <w:color w:val="auto"/>
              </w:rPr>
              <w:t>Acquired revenues</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(48,455)</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(48,455)</w:t>
            </w:r>
          </w:p>
        </w:tc>
        <w:tc>
          <w:tcPr>
            <w:tcW w:w="1260" w:type="dxa"/>
            <w:vAlign w:val="bottom"/>
          </w:tcPr>
          <w:p>
            <w:pPr>
              <w:spacing w:after="0"/>
              <w:rPr>
                <w:sz w:val="19"/>
                <w:szCs w:val="19"/>
                <w:color w:val="auto"/>
              </w:rPr>
            </w:pPr>
          </w:p>
        </w:tc>
      </w:tr>
      <w:tr>
        <w:trPr>
          <w:trHeight w:val="229"/>
        </w:trPr>
        <w:tc>
          <w:tcPr>
            <w:tcW w:w="5640" w:type="dxa"/>
            <w:vAlign w:val="bottom"/>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Currency impact</w:t>
            </w:r>
            <w:r>
              <w:rPr>
                <w:rFonts w:ascii="Times New Roman" w:cs="Times New Roman" w:eastAsia="Times New Roman" w:hAnsi="Times New Roman"/>
                <w:sz w:val="23"/>
                <w:szCs w:val="23"/>
                <w:color w:val="auto"/>
                <w:vertAlign w:val="superscript"/>
              </w:rPr>
              <w:t>(3)</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3,500</w:t>
            </w: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260" w:type="dxa"/>
            <w:vAlign w:val="bottom"/>
            <w:shd w:val="clear" w:color="auto" w:fill="CCEEFF"/>
          </w:tcPr>
          <w:p>
            <w:pPr>
              <w:spacing w:after="0"/>
              <w:rPr>
                <w:sz w:val="19"/>
                <w:szCs w:val="19"/>
                <w:color w:val="auto"/>
              </w:rPr>
            </w:pPr>
          </w:p>
        </w:tc>
      </w:tr>
      <w:tr>
        <w:trPr>
          <w:trHeight w:val="228"/>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 revenues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459,860</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424,811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r>
    </w:tbl>
    <w:p>
      <w:pPr>
        <w:spacing w:after="0" w:line="182" w:lineRule="exact"/>
        <w:rPr>
          <w:sz w:val="20"/>
          <w:szCs w:val="20"/>
          <w:color w:val="auto"/>
        </w:rPr>
      </w:pPr>
    </w:p>
    <w:p>
      <w:pPr>
        <w:jc w:val="both"/>
        <w:ind w:left="260" w:hanging="252"/>
        <w:spacing w:after="0" w:line="273" w:lineRule="auto"/>
        <w:tabs>
          <w:tab w:leader="none" w:pos="268" w:val="left"/>
        </w:tabs>
        <w:numPr>
          <w:ilvl w:val="0"/>
          <w:numId w:val="1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Reflects the amortization effect of the purchase accounting adjustment related to the fair value of acquired deferred revenues for acquisitions prior to fiscal 2022. Acquisitions thereafter do not include this adjustment in accordance with our adoption of ASU No. 2021-08, Business Combinations: Accounting for Contract Assets and Contract Liabilities from Contracts with Customers (Topic 805).</w:t>
      </w:r>
    </w:p>
    <w:p>
      <w:pPr>
        <w:spacing w:after="0" w:line="60" w:lineRule="exact"/>
        <w:rPr>
          <w:rFonts w:ascii="Times New Roman" w:cs="Times New Roman" w:eastAsia="Times New Roman" w:hAnsi="Times New Roman"/>
          <w:sz w:val="16"/>
          <w:szCs w:val="16"/>
          <w:i w:val="1"/>
          <w:iCs w:val="1"/>
          <w:color w:val="auto"/>
        </w:rPr>
      </w:pPr>
    </w:p>
    <w:p>
      <w:pPr>
        <w:ind w:left="240" w:hanging="232"/>
        <w:spacing w:after="0"/>
        <w:tabs>
          <w:tab w:leader="none" w:pos="240" w:val="left"/>
        </w:tabs>
        <w:numPr>
          <w:ilvl w:val="0"/>
          <w:numId w:val="1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Revenues from acquisitions completed within the last 12 months.</w:t>
      </w:r>
    </w:p>
    <w:p>
      <w:pPr>
        <w:spacing w:after="0" w:line="113" w:lineRule="exact"/>
        <w:rPr>
          <w:rFonts w:ascii="Times New Roman" w:cs="Times New Roman" w:eastAsia="Times New Roman" w:hAnsi="Times New Roman"/>
          <w:sz w:val="16"/>
          <w:szCs w:val="16"/>
          <w:i w:val="1"/>
          <w:iCs w:val="1"/>
          <w:color w:val="auto"/>
        </w:rPr>
      </w:pPr>
    </w:p>
    <w:p>
      <w:pPr>
        <w:ind w:left="240" w:hanging="232"/>
        <w:spacing w:after="0"/>
        <w:tabs>
          <w:tab w:leader="none" w:pos="240" w:val="left"/>
        </w:tabs>
        <w:numPr>
          <w:ilvl w:val="0"/>
          <w:numId w:val="1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impact from foreign currency movements year over year.</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provides an unaudited reconciliation of operating income, operating margin, net income and diluted EPS to adjusted operating income, adjusted operating margin, adjusted net income, EBITDA, adjusted EBITDA and adjusted diluted EPS. Adjusted operating income and margin, adjusted net income, and adjusted diluted earnings per share exclude intangible asset amortization, the impact of the fair valuing of deferred revenues acquired in a business combination and non-recurring items. EBITDA excludes interest expense, provision for income taxes and depreciation and amortization expense, while Adjusted EBITDA further excludes non-recurring non-cash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0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80" w:type="dxa"/>
            <w:vAlign w:val="bottom"/>
          </w:tcPr>
          <w:p>
            <w:pPr>
              <w:spacing w:after="0"/>
              <w:rPr>
                <w:sz w:val="19"/>
                <w:szCs w:val="19"/>
                <w:color w:val="auto"/>
              </w:rPr>
            </w:pPr>
          </w:p>
        </w:tc>
        <w:tc>
          <w:tcPr>
            <w:tcW w:w="21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November 30,</w:t>
            </w:r>
          </w:p>
        </w:tc>
        <w:tc>
          <w:tcPr>
            <w:tcW w:w="10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2022</w:t>
            </w:r>
          </w:p>
        </w:tc>
        <w:tc>
          <w:tcPr>
            <w:tcW w:w="7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94"/>
              </w:rPr>
              <w:t>2021</w:t>
            </w:r>
          </w:p>
        </w:tc>
        <w:tc>
          <w:tcPr>
            <w:tcW w:w="1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171,895</w:t>
            </w:r>
          </w:p>
        </w:tc>
        <w:tc>
          <w:tcPr>
            <w:tcW w:w="7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122,661</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revenues fair value adjustment</w:t>
            </w:r>
          </w:p>
        </w:tc>
        <w:tc>
          <w:tcPr>
            <w:tcW w:w="38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18,008</w:t>
            </w: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6,052</w:t>
            </w: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Business acquisition / integration costs</w:t>
            </w:r>
            <w:r>
              <w:rPr>
                <w:rFonts w:ascii="Times New Roman" w:cs="Times New Roman" w:eastAsia="Times New Roman" w:hAnsi="Times New Roman"/>
                <w:sz w:val="23"/>
                <w:szCs w:val="23"/>
                <w:i w:val="1"/>
                <w:iCs w:val="1"/>
                <w:color w:val="auto"/>
                <w:vertAlign w:val="superscript"/>
              </w:rPr>
              <w:t>(1)</w:t>
            </w:r>
          </w:p>
        </w:tc>
        <w:tc>
          <w:tcPr>
            <w:tcW w:w="38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3,499</w:t>
            </w:r>
          </w:p>
        </w:tc>
        <w:tc>
          <w:tcPr>
            <w:tcW w:w="7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 severance</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9,028</w:t>
            </w: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Real estate charges</w:t>
            </w:r>
            <w:r>
              <w:rPr>
                <w:rFonts w:ascii="Times New Roman" w:cs="Times New Roman" w:eastAsia="Times New Roman" w:hAnsi="Times New Roman"/>
                <w:sz w:val="23"/>
                <w:szCs w:val="23"/>
                <w:i w:val="1"/>
                <w:iCs w:val="1"/>
                <w:color w:val="auto"/>
                <w:vertAlign w:val="superscript"/>
              </w:rPr>
              <w:t>(2)</w:t>
            </w:r>
          </w:p>
        </w:tc>
        <w:tc>
          <w:tcPr>
            <w:tcW w:w="38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3,695</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Transformation costs </w:t>
            </w:r>
            <w:r>
              <w:rPr>
                <w:rFonts w:ascii="Times New Roman" w:cs="Times New Roman" w:eastAsia="Times New Roman" w:hAnsi="Times New Roman"/>
                <w:sz w:val="23"/>
                <w:szCs w:val="23"/>
                <w:i w:val="1"/>
                <w:iCs w:val="1"/>
                <w:color w:val="auto"/>
                <w:vertAlign w:val="superscript"/>
              </w:rPr>
              <w:t>(3)</w:t>
            </w:r>
          </w:p>
        </w:tc>
        <w:tc>
          <w:tcPr>
            <w:tcW w:w="3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1,188</w:t>
            </w: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193,402</w:t>
            </w:r>
          </w:p>
        </w:tc>
        <w:tc>
          <w:tcPr>
            <w:tcW w:w="7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142,710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34.1 %</w:t>
            </w: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Borders>
              <w:bottom w:val="single" w:sz="8" w:color="auto"/>
            </w:tcBorders>
          </w:tcPr>
          <w:p>
            <w:pPr>
              <w:ind w:left="240"/>
              <w:spacing w:after="0" w:line="230" w:lineRule="exact"/>
              <w:rPr>
                <w:sz w:val="20"/>
                <w:szCs w:val="20"/>
                <w:color w:val="auto"/>
              </w:rPr>
            </w:pPr>
            <w:r>
              <w:rPr>
                <w:rFonts w:ascii="Times New Roman" w:cs="Times New Roman" w:eastAsia="Times New Roman" w:hAnsi="Times New Roman"/>
                <w:sz w:val="18"/>
                <w:szCs w:val="18"/>
                <w:i w:val="1"/>
                <w:iCs w:val="1"/>
                <w:color w:val="auto"/>
              </w:rPr>
              <w:t>Adjusted operating margin</w:t>
            </w:r>
            <w:r>
              <w:rPr>
                <w:rFonts w:ascii="Times New Roman" w:cs="Times New Roman" w:eastAsia="Times New Roman" w:hAnsi="Times New Roman"/>
                <w:sz w:val="23"/>
                <w:szCs w:val="23"/>
                <w:i w:val="1"/>
                <w:iCs w:val="1"/>
                <w:color w:val="auto"/>
                <w:vertAlign w:val="superscript"/>
              </w:rPr>
              <w:t>(4)</w:t>
            </w: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38.3 %</w:t>
            </w: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1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7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136,798</w:t>
            </w:r>
          </w:p>
        </w:tc>
        <w:tc>
          <w:tcPr>
            <w:tcW w:w="7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107,647</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revenues fair value adjustment</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8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15,577</w:t>
            </w:r>
          </w:p>
        </w:tc>
        <w:tc>
          <w:tcPr>
            <w:tcW w:w="7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5,419</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Business acquisition / integration costs</w:t>
            </w:r>
            <w:r>
              <w:rPr>
                <w:rFonts w:ascii="Times New Roman" w:cs="Times New Roman" w:eastAsia="Times New Roman" w:hAnsi="Times New Roman"/>
                <w:sz w:val="23"/>
                <w:szCs w:val="23"/>
                <w:i w:val="1"/>
                <w:iCs w:val="1"/>
                <w:color w:val="auto"/>
                <w:vertAlign w:val="superscript"/>
              </w:rPr>
              <w:t>(1)</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3,026</w:t>
            </w: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 severance</w:t>
            </w:r>
          </w:p>
        </w:tc>
        <w:tc>
          <w:tcPr>
            <w:tcW w:w="38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8,084</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Real estate charges</w:t>
            </w:r>
            <w:r>
              <w:rPr>
                <w:rFonts w:ascii="Times New Roman" w:cs="Times New Roman" w:eastAsia="Times New Roman" w:hAnsi="Times New Roman"/>
                <w:sz w:val="23"/>
                <w:szCs w:val="23"/>
                <w:i w:val="1"/>
                <w:iCs w:val="1"/>
                <w:color w:val="auto"/>
                <w:vertAlign w:val="superscript"/>
              </w:rPr>
              <w:t>(2)</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3,309</w:t>
            </w: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Transformation costs</w:t>
            </w:r>
            <w:r>
              <w:rPr>
                <w:rFonts w:ascii="Times New Roman" w:cs="Times New Roman" w:eastAsia="Times New Roman" w:hAnsi="Times New Roman"/>
                <w:sz w:val="23"/>
                <w:szCs w:val="23"/>
                <w:i w:val="1"/>
                <w:iCs w:val="1"/>
                <w:color w:val="auto"/>
                <w:vertAlign w:val="superscript"/>
              </w:rPr>
              <w:t>(3)</w:t>
            </w:r>
          </w:p>
        </w:tc>
        <w:tc>
          <w:tcPr>
            <w:tcW w:w="38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1,064</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items</w:t>
            </w:r>
          </w:p>
        </w:tc>
        <w:tc>
          <w:tcPr>
            <w:tcW w:w="3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(230)</w:t>
            </w:r>
          </w:p>
        </w:tc>
        <w:tc>
          <w:tcPr>
            <w:tcW w:w="7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(259)</w:t>
            </w: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auto"/>
            </w:tcBorders>
          </w:tcPr>
          <w:p>
            <w:pPr>
              <w:ind w:left="240"/>
              <w:spacing w:after="0" w:line="223"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i w:val="1"/>
                <w:iCs w:val="1"/>
                <w:color w:val="auto"/>
                <w:vertAlign w:val="superscript"/>
              </w:rPr>
              <w:t>(5)</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155,171</w:t>
            </w:r>
          </w:p>
        </w:tc>
        <w:tc>
          <w:tcPr>
            <w:tcW w:w="7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125,341</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136,798</w:t>
            </w:r>
          </w:p>
        </w:tc>
        <w:tc>
          <w:tcPr>
            <w:tcW w:w="7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107,647</w:t>
            </w: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16,537</w:t>
            </w:r>
          </w:p>
        </w:tc>
        <w:tc>
          <w:tcPr>
            <w:tcW w:w="7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1,972</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21,087</w:t>
            </w: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12,283</w:t>
            </w: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25,997</w:t>
            </w: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19,432</w:t>
            </w:r>
          </w:p>
        </w:tc>
        <w:tc>
          <w:tcPr>
            <w:tcW w:w="1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200,419</w:t>
            </w:r>
          </w:p>
        </w:tc>
        <w:tc>
          <w:tcPr>
            <w:tcW w:w="7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141,334</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Real estate charges</w:t>
            </w:r>
            <w:r>
              <w:rPr>
                <w:rFonts w:ascii="Times New Roman" w:cs="Times New Roman" w:eastAsia="Times New Roman" w:hAnsi="Times New Roman"/>
                <w:sz w:val="23"/>
                <w:szCs w:val="23"/>
                <w:i w:val="1"/>
                <w:iCs w:val="1"/>
                <w:color w:val="auto"/>
                <w:vertAlign w:val="superscript"/>
              </w:rPr>
              <w:t>(2)</w:t>
            </w: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3,695</w:t>
            </w:r>
          </w:p>
        </w:tc>
        <w:tc>
          <w:tcPr>
            <w:tcW w:w="1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200,419</w:t>
            </w:r>
          </w:p>
        </w:tc>
        <w:tc>
          <w:tcPr>
            <w:tcW w:w="7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145,029</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3.52</w:t>
            </w:r>
          </w:p>
        </w:tc>
        <w:tc>
          <w:tcPr>
            <w:tcW w:w="7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2.79</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revenues fair value adjustment</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0.00</w:t>
            </w: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8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0.40</w:t>
            </w:r>
          </w:p>
        </w:tc>
        <w:tc>
          <w:tcPr>
            <w:tcW w:w="7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0.14</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Business acquisition / integration costs</w:t>
            </w:r>
            <w:r>
              <w:rPr>
                <w:rFonts w:ascii="Times New Roman" w:cs="Times New Roman" w:eastAsia="Times New Roman" w:hAnsi="Times New Roman"/>
                <w:sz w:val="23"/>
                <w:szCs w:val="23"/>
                <w:i w:val="1"/>
                <w:iCs w:val="1"/>
                <w:color w:val="auto"/>
                <w:vertAlign w:val="superscript"/>
              </w:rPr>
              <w:t>(1)</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0.08</w:t>
            </w: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 severance</w:t>
            </w:r>
          </w:p>
        </w:tc>
        <w:tc>
          <w:tcPr>
            <w:tcW w:w="38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0.21</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Real estate charges</w:t>
            </w:r>
            <w:r>
              <w:rPr>
                <w:rFonts w:ascii="Times New Roman" w:cs="Times New Roman" w:eastAsia="Times New Roman" w:hAnsi="Times New Roman"/>
                <w:sz w:val="23"/>
                <w:szCs w:val="23"/>
                <w:i w:val="1"/>
                <w:iCs w:val="1"/>
                <w:color w:val="auto"/>
                <w:vertAlign w:val="superscript"/>
              </w:rPr>
              <w:t>(2)</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0.09</w:t>
            </w: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Transformation costs</w:t>
            </w:r>
            <w:r>
              <w:rPr>
                <w:rFonts w:ascii="Times New Roman" w:cs="Times New Roman" w:eastAsia="Times New Roman" w:hAnsi="Times New Roman"/>
                <w:sz w:val="23"/>
                <w:szCs w:val="23"/>
                <w:i w:val="1"/>
                <w:iCs w:val="1"/>
                <w:color w:val="auto"/>
                <w:vertAlign w:val="superscript"/>
              </w:rPr>
              <w:t>(3)</w:t>
            </w:r>
          </w:p>
        </w:tc>
        <w:tc>
          <w:tcPr>
            <w:tcW w:w="38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0.03</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items</w:t>
            </w:r>
          </w:p>
        </w:tc>
        <w:tc>
          <w:tcPr>
            <w:tcW w:w="3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(0.01)</w:t>
            </w:r>
          </w:p>
        </w:tc>
        <w:tc>
          <w:tcPr>
            <w:tcW w:w="7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(0.01)</w:t>
            </w: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auto"/>
            </w:tcBorders>
          </w:tcPr>
          <w:p>
            <w:pPr>
              <w:ind w:left="240"/>
              <w:spacing w:after="0" w:line="223" w:lineRule="exact"/>
              <w:rPr>
                <w:sz w:val="20"/>
                <w:szCs w:val="20"/>
                <w:color w:val="auto"/>
              </w:rPr>
            </w:pPr>
            <w:r>
              <w:rPr>
                <w:rFonts w:ascii="Times New Roman" w:cs="Times New Roman" w:eastAsia="Times New Roman" w:hAnsi="Times New Roman"/>
                <w:sz w:val="18"/>
                <w:szCs w:val="18"/>
                <w:color w:val="auto"/>
              </w:rPr>
              <w:t>Adjusted diluted earnings per common share</w:t>
            </w:r>
            <w:r>
              <w:rPr>
                <w:rFonts w:ascii="Times New Roman" w:cs="Times New Roman" w:eastAsia="Times New Roman" w:hAnsi="Times New Roman"/>
                <w:sz w:val="23"/>
                <w:szCs w:val="23"/>
                <w:i w:val="1"/>
                <w:iCs w:val="1"/>
                <w:color w:val="auto"/>
                <w:vertAlign w:val="superscript"/>
              </w:rPr>
              <w:t>(5)</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3.99</w:t>
            </w:r>
          </w:p>
        </w:tc>
        <w:tc>
          <w:tcPr>
            <w:tcW w:w="7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3.25</w:t>
            </w:r>
          </w:p>
        </w:tc>
        <w:tc>
          <w:tcPr>
            <w:tcW w:w="1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(Diluted)</w:t>
            </w:r>
          </w:p>
        </w:tc>
        <w:tc>
          <w:tcPr>
            <w:tcW w:w="3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38,914</w:t>
            </w:r>
          </w:p>
        </w:tc>
        <w:tc>
          <w:tcPr>
            <w:tcW w:w="7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38,641</w:t>
            </w:r>
          </w:p>
        </w:tc>
        <w:tc>
          <w:tcPr>
            <w:tcW w:w="19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260" w:hanging="252"/>
        <w:spacing w:after="0"/>
        <w:tabs>
          <w:tab w:leader="none" w:pos="260" w:val="left"/>
        </w:tabs>
        <w:numPr>
          <w:ilvl w:val="0"/>
          <w:numId w:val="1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Related to integration costs of our CGS acquisition.</w:t>
      </w:r>
    </w:p>
    <w:p>
      <w:pPr>
        <w:spacing w:after="0" w:line="59" w:lineRule="exact"/>
        <w:rPr>
          <w:rFonts w:ascii="Times New Roman" w:cs="Times New Roman" w:eastAsia="Times New Roman" w:hAnsi="Times New Roman"/>
          <w:sz w:val="16"/>
          <w:szCs w:val="16"/>
          <w:i w:val="1"/>
          <w:iCs w:val="1"/>
          <w:color w:val="auto"/>
        </w:rPr>
      </w:pPr>
    </w:p>
    <w:p>
      <w:pPr>
        <w:ind w:left="260" w:hanging="252"/>
        <w:spacing w:after="0"/>
        <w:tabs>
          <w:tab w:leader="none" w:pos="260" w:val="left"/>
        </w:tabs>
        <w:numPr>
          <w:ilvl w:val="0"/>
          <w:numId w:val="1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Related to impairment charges of our lease ROU assets and property, equipment and leasehold improvements associated with vacating certain leased office space.</w:t>
      </w:r>
    </w:p>
    <w:p>
      <w:pPr>
        <w:spacing w:after="0" w:line="59" w:lineRule="exact"/>
        <w:rPr>
          <w:rFonts w:ascii="Times New Roman" w:cs="Times New Roman" w:eastAsia="Times New Roman" w:hAnsi="Times New Roman"/>
          <w:sz w:val="16"/>
          <w:szCs w:val="16"/>
          <w:i w:val="1"/>
          <w:iCs w:val="1"/>
          <w:color w:val="auto"/>
        </w:rPr>
      </w:pPr>
    </w:p>
    <w:p>
      <w:pPr>
        <w:ind w:left="260" w:hanging="252"/>
        <w:spacing w:after="0"/>
        <w:tabs>
          <w:tab w:leader="none" w:pos="260" w:val="left"/>
        </w:tabs>
        <w:numPr>
          <w:ilvl w:val="0"/>
          <w:numId w:val="1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Primarily related to professional fees associated with our ongoing multi-year investment plan.</w:t>
      </w:r>
    </w:p>
    <w:p>
      <w:pPr>
        <w:spacing w:after="0" w:line="72" w:lineRule="exact"/>
        <w:rPr>
          <w:rFonts w:ascii="Times New Roman" w:cs="Times New Roman" w:eastAsia="Times New Roman" w:hAnsi="Times New Roman"/>
          <w:sz w:val="16"/>
          <w:szCs w:val="16"/>
          <w:i w:val="1"/>
          <w:iCs w:val="1"/>
          <w:color w:val="auto"/>
        </w:rPr>
      </w:pPr>
    </w:p>
    <w:p>
      <w:pPr>
        <w:ind w:left="260" w:hanging="252"/>
        <w:spacing w:after="0"/>
        <w:tabs>
          <w:tab w:leader="none" w:pos="260" w:val="left"/>
        </w:tabs>
        <w:numPr>
          <w:ilvl w:val="0"/>
          <w:numId w:val="1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Adjusted operating margin is calculated as Adjusted operating income divided by Adjusted revenues as shown in the revenues reconciliation table above.</w:t>
      </w:r>
    </w:p>
    <w:p>
      <w:pPr>
        <w:spacing w:after="0" w:line="59" w:lineRule="exact"/>
        <w:rPr>
          <w:rFonts w:ascii="Times New Roman" w:cs="Times New Roman" w:eastAsia="Times New Roman" w:hAnsi="Times New Roman"/>
          <w:sz w:val="16"/>
          <w:szCs w:val="16"/>
          <w:i w:val="1"/>
          <w:iCs w:val="1"/>
          <w:color w:val="auto"/>
        </w:rPr>
      </w:pPr>
    </w:p>
    <w:p>
      <w:pPr>
        <w:ind w:left="260" w:hanging="252"/>
        <w:spacing w:after="0" w:line="301" w:lineRule="auto"/>
        <w:tabs>
          <w:tab w:leader="none" w:pos="260" w:val="left"/>
        </w:tabs>
        <w:numPr>
          <w:ilvl w:val="0"/>
          <w:numId w:val="1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For purposes of calculating Adjusted net income and Adjusted diluted earnings per share, all adjustments were taxed at the quarterly effective tax rates of 13.5% for fiscal 2023 and 10.5% for fiscal 2022.</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cash flows provided by operating activities, existing cash and cash equivalents, supplemented with our long-term debt borrowings, have been sufficient to fund our operations while allowing us to invest in activities that support the long-term growth of our operations. Generally, some or all of the remaining available cash flow has been used to, among other things, service our existing and future debt obligations, satisfy our working capital requirements and fund our capital expenditures, acquisitions, dividend payments and repurchases of our common stock. Based on past performance and current expectations, we believe our sources of liquidity, including the available capacity under our existing revolving credit facility and other financing alternatives, will provide us the necessary capital to fund these transactions and achieve our planned growth for the next 12 months and the foreseeable future.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Sources of Liquidity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 &amp; Swap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 2022, we entered into a credit agreement (the "2022 Credit Agreement") and borrowed an aggregate principal amount of $1.0 billion under its senior unsecured term loan credit facility (the “2022 Term Facility”) and $250.0 million of the available $500.0 million under its senior unsecured revolving credit facility (the “2022 Revolving Facility” and, together with the 2022 Term Facility, the “2022 Credit Facilities”). The 2022 Term Facility matures on March 1, 2025, and the 2022 Revolving Facility matures on March 1, 2027. The 2022 Revolving Facility allows for the availability of up to $100.0 million in the form of letters of credit and up to $50.0 million in the form of swingline loans. We may seek additional commitments under the 2022 Revolving Facility from lenders or other financial institutions up to an aggregate principal amount of $750.0 million.</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pay a commitment fee on the daily unused amount of the 2022 Revolving Facility using a pricing grid based upon our senior unsecured non-credit enhanced long-term debt rating and our total leverage ratio. The commitment fee remained at 0.125% from the borrowing date through November 30, 2022. During fiscal 2022, we incurred approximately $9.5 million in debt issuance costs related to the 2022 Credit Facilities.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used these borrowings, along with the net proceeds from the issuance of the Senior Notes (as defined below) and cash on hand, to finance the consideration for the CGS acquisition, to repay borrowings under the 2019 Credit Agreement (as defined below) and to pay related transaction fees, costs and expenses.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voluntarily prepay loans under the 2022 Credit Facilities at any time without premium or penalty. During the first quarter of fiscal 2023, we repaid $125.0 million under the 2022 Term Facility, inclusive of voluntary prepayments of $112.5 million. Since March 1, 2022, we have repaid $375.0 million under the 2022 Term Facility, inclusive of voluntary prepayments of $350.0 million.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November 30, 2022, the outstanding borrowings under the 2022 Credit Facilities bore interest at a rate equal to the applicable one-month Term Secured Overnight Financing Rate ("SOFR") rate plus a 1.1% spread (comprised of a 1.0% interest rate margin based on a debt leverage pricing grid plus 0.1% credit spread adjustment). The spread remained consistent from the borrowing date through November 30, 2022. Interest on the 2022 Credit Facilities is currently payable on the last business day of each month, in arrears.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event of default provisions for facilities of this type, which are subject to usual and customary grace periods and materiality thresholds. If an event of default occurs under the 2022 Credit Agreement, the lenders may, among other things, terminate their commitments and declare all outstanding borrowings immediately due and payable.</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affirmative and negative covenants for facilities of this type, including a financial covenant requiring maintenance of a total leverage ratio of no greater than 4.00 to 1.00 as of November 30, 2022. We were in compliance with all covenants and requirements of the 2022 Credit Agreement as of November 30, 2022.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discussion of the 2022 Credit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Swap Agreement</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On March 1, 2022, we entered into the 2022 Swap Agreement to hedge a portion of our outstanding floating SOFR rate debt with a fixed interest rate of 1.162%. 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for defined terms and more information on the 2022 Swap Agreement.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2022 we completed a public offering of $500.0 million aggregate principal amount of 2.900% Senior Notes due March 1, 2027 (the “2027 Notes”) and $500.0 million aggregate principal amount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on the Senior Notes is payable semiannually in arrears on March 1 and September 1 of each year, with the first payment made on September 1, 2022. The Senior Notes were issued at an aggregate discount of $2.8 million during fiscal 2022 and we incurred approximately $9.1 million in debt issuance costs.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Credit Agreement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29, 2019, we entered into a credit agreement with PNC Bank, National Association (the "2019 Credit Agreement"), and borrowed $575.0 million of the available $750.0 million provided by the revolving credit facility thereunder (the "2019 Revolving Credit Facility"). Borrowings under the 2019 Revolving Credit Facility bore interest on the outstanding principal amount at a rate equal to the daily LIBOR plus a spread using a debt leverage pricing grid. Interest on the amounts outstanding under the 2019 Revolving Credit Facility was payable quarterly, in arrears, and on the maturity date.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of March 1, 2022, we repaid in full and terminated the 2019 Credit Agreement. 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more information on the termination.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Uses of Liquidity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Returning Value to Shareholders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returned $33.7 million in the form of dividends and $49.3 million in the form of share repurchases and dividends to shareholders during the three months ended November 30, 2022 and November 30, 2021, respectively. Over the last 12 months, we returned $128.9 million to stockholders in the form of dividends. Refer to the </w:t>
      </w:r>
      <w:r>
        <w:rPr>
          <w:rFonts w:ascii="Times New Roman" w:cs="Times New Roman" w:eastAsia="Times New Roman" w:hAnsi="Times New Roman"/>
          <w:sz w:val="18"/>
          <w:szCs w:val="18"/>
          <w:i w:val="1"/>
          <w:iCs w:val="1"/>
          <w:color w:val="auto"/>
        </w:rPr>
        <w:t>Share Repurchase Program</w:t>
      </w:r>
      <w:r>
        <w:rPr>
          <w:rFonts w:ascii="Times New Roman" w:cs="Times New Roman" w:eastAsia="Times New Roman" w:hAnsi="Times New Roman"/>
          <w:sz w:val="18"/>
          <w:szCs w:val="18"/>
          <w:color w:val="auto"/>
        </w:rPr>
        <w:t xml:space="preserve"> below for more information on the current suspension of our share repurchase program.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November 30, 2022 and November 30, 2021, we paid dividends of $33.7 million and $30.7 million, respectively. Our dividends per share related to dividends paid during the three months ended November 30, 2022 increased 8.5% compared to the three months ended November 30, 2021.</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Fiscal 2022 marked 23 consecutive fiscal years of dividend increases, highlighting our continued commitment to returning value to stockholders. Future dividends will depend on our earnings, capital requirements, financial condition and other factors considered relevant by us and are subject to final determination by our Board of Directors.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2022, $181.3 million remained authorized for future share repurchases under our share repurchase program. There is no defined number of shares to be repurchased over a specified timeframe through the life of the program. We may repurchase shares of our common stock under the program from time-to-time in the open market and privately negotiated transactions, subject to market conditions.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did not repurchase any shares during the three months ended November 30, 2022, compared with 46,200 shares for $18.6 million during the three months ended November 30, 2021. Beginning in the second quarter of fiscal 2022, we suspended our share repurchase program until at least the second half of fiscal 2023, with the exception of potential minor repurchases to offset dilution from grants of equity awards or repurchases to satisfy withholding tax obligations due upon the vesting of stock-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based awards. The suspension of our share repurchase program allows us to prioritize the repayment of debt under the 2022 Credit Facilities. 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more information on the 2022 Credit Facilities.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November 30, 2022, capital expenditures increased by 109.3% to $18.0 million, compared with $8.6 million during the same period a year ago. This increase was primarily due to higher expenditures related to the development of capitalized internal-use software, followed by an increase in technology expenditures.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CUSIP Global Services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2022, we completed the acquisition of CGS for a cash purchase price of $1.932 billion, inclusive of working capital adjustments. CGS manages a database of 60 different data elements uniquely identifying more than 50 million global financial instruments. It is the foundation for security master files relied on by critical front, middle and back-office functions. CGS, operating on behalf of the ABA, is the provider of CUSIP and CINS identifiers globally and also acts as the official numbering agency for ISIN identifiers in the United States and as a substitute number agency for more than 35 other countries. We believe that the CGS acquisition will significantly expand our critical role in the global capital markets.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Cobalt Software, Inc.</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12, 2021, we acquired all of the outstanding shares of Cobalt Software, Inc. ("Cobalt") for a purchase price of $50.0 million, net of cash acquired, and inclusive of working capital adjustments. Cobalt is a leading portfolio monitoring solutions provider for the private capital industry. This acquisition advances our strategy to scale our data and workflow solutions through targeted investments as part of our multi-year investment plan and expands our private markets offering.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6,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for further discussion of the CGS and Cobalt acquisitions.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Purchase obligations represent our legally-binding agreements to purchase fixed or minimum quantities at determinable prices. As of August 31, 2022, we had total purchase commitments of $373.9 million, primarily related to hosting services and data acquisition, followed by third-party software providers. Hosting services support our technology investments related to our migration to cloud-based hosting services, the majority of which rely on third-party hosting providers. Data is an integral component of the value we provide to our clients. Third-party software mainly includes internal-use software licenses.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Since August 31, 2022, there were no material changes to our contractual obligations. We also have contractual obligations related to our lease liabilities and outstanding debt. Refer to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Note 11, </w:t>
      </w:r>
      <w:r>
        <w:rPr>
          <w:rFonts w:ascii="Times New Roman" w:cs="Times New Roman" w:eastAsia="Times New Roman" w:hAnsi="Times New Roman"/>
          <w:sz w:val="18"/>
          <w:szCs w:val="18"/>
          <w:i w:val="1"/>
          <w:iCs w:val="1"/>
          <w:color w:val="auto"/>
        </w:rPr>
        <w:t>Debt and</w:t>
      </w:r>
      <w:r>
        <w:rPr>
          <w:rFonts w:ascii="Times New Roman" w:cs="Times New Roman" w:eastAsia="Times New Roman" w:hAnsi="Times New Roman"/>
          <w:sz w:val="18"/>
          <w:szCs w:val="18"/>
          <w:color w:val="auto"/>
        </w:rPr>
        <w:t xml:space="preserve">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information regarding our contractual obligations related to our lease liabilities, outstanding debt and other commitments,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Cash Flows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November 30, 2022, Cash and cash equivalents were $437.1 million, compared with $673.9 million as of November 30, 2021. Our cash and cash equivalents are held in numerous locations throughout the world, with $234.1 million in the Americas, $116.2 million in EMEA (predominantly in the UK) and the remaining $86.8 million in Asia Pacific (predominantly in India and the Philippines) as of November 30, 2022. We permanently reinvest all foreign unremitted earnings, except in jurisdictions where earnings can be repatriated substantially free of tax.</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for the periods indicated, provides selected cash flow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2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5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4"/>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106,636</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72,918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33,718</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46.2 %</w:t>
            </w: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(27,852)</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(58,851)</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(146,232)</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(16,482)</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(129,750)</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787.2 %</w:t>
            </w: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1,317</w:t>
            </w: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(66,131)</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(58,166)</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730.3 %</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November 30, 2022, net cash provided by operating activities was $106.6 million, which included net income of $136.8 million, non-cash charges of $47.4 million and higher working capital requirements of $77.6 million. The non-cash charges were primarily driven by $26.0 million of depreciation and amortization and $12.2 million of stock-based compensation expense. The change in our working capital was primarily due to a cash outflow of $66.8 million related to our variable compensation payment.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November 30, 2021, net cash provided by operating activities was $72.9 million, which consisted of net income of $107.6 million, non-cash charges of $43.9 million and higher working capital requirements of $78.7 million. The non-cash charges were primarily driven by $17.2 million of depreciation and amortization and $11.1 million in amortization of lease ROU assets. The change in our working capital was primarily due to a cash outflow of $53.5 million related to our variable compensation payment.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November 30, 2022, net cash used in investing activities was $27.9 million. The cash used in investing activities was primarily due to an increase in capital expenditures of $18.0 million mainly due to capitalization of compensation costs related to development of our internal-use software projects.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November 30, 2021, net cash used in investing activities was $58.9 million. The cash used in investing activities was primarily due to the purchase of Cobalt for $50.0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November 30, 2022, net cash used in financing activities was $146.2 million, consisting mainly of $125.0 million related to the partial repayment of the 2022 Term Facility and $33.7 million of dividend payments, partially offset by $23.4 million of proceeds from employee stock plans.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November 30, 2021, net cash used in financing activities was $16.5 million, consisting mainly of $33.7 million of dividend payments and $18.6 million of repurchases of common stock, partially offset by $35.8 million of proceeds from employee stock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free cash flow, a non-GAAP financial measure, as cash provided by operating activities less purchases of property, equipment, leasehold improvements and capitalized internal-use software. We believe free cash flow is a liquidity measure that provides useful information to management and investors about the amount of cash generated by the business that, after capital expenditures, can be used for strategic opportunities, including returning value to shareholders, investing in our business, making strategic acquisitions and strengthening the balance sheet. Free cash flow should be considered in addition to, rather than as a substitute for, consolidated net income as a measure of our performance and net cash provided by operating activities as a measure of our liquidity.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our net cash provided by operating activities to free cash flow: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8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180" w:type="dxa"/>
            <w:vAlign w:val="bottom"/>
          </w:tcPr>
          <w:p>
            <w:pPr>
              <w:spacing w:after="0"/>
              <w:rPr>
                <w:sz w:val="19"/>
                <w:szCs w:val="19"/>
                <w:color w:val="auto"/>
              </w:rPr>
            </w:pPr>
          </w:p>
        </w:tc>
      </w:tr>
      <w:tr>
        <w:trPr>
          <w:trHeight w:val="230"/>
        </w:trPr>
        <w:tc>
          <w:tcPr>
            <w:tcW w:w="6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November 30,</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2021</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72,918</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33,718</w:t>
            </w:r>
          </w:p>
        </w:tc>
      </w:tr>
      <w:tr>
        <w:trPr>
          <w:trHeight w:val="22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purchases of property, equipment, leasehold improvements and internal-use software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(17,960)</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8"/>
              </w:rPr>
              <w:t>(8,583)</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(9,377)</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64,335</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24,341</w:t>
            </w: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generated free cash flow of $88.7 million during the three months ended November 30, 2022, an increase of $24.3 million compared with the same period a year ago. This change reflects a $33.7 million increase in cash provided by operating activities, mainly due to higher net income, partially offset by a $9.4 million increase in capital expenditures, primarily driven by an increase in capitalized costs related to internal-use software.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Off-Balance Sheet Arrangements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November 30, 2022 and August 31, 2022, we had no off-balance sheet financing or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Foreign Currency Exposure</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operate globally, we are exposed to the risk that our financial condition, results of operations and cash flows could be impacted by changes in foreign currency exchange rates. To mitigate this foreign currency exposure, we entered into a series of forward contracts to hedge a portion of our foreign currency exposures related to the British Pound Sterling, Euro, Indian Rupee and Philippine Peso. As of November 30, 2022, these forward contracts hedge a portion of our foreign currency transaction exposure ranging from 25% to 75%, over their respective hedged periods, which are set to mature at various points between the second quarter of fiscal 2023 through the first quarter of fiscal 2024.</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November 30, 2022, foreign currency exchange rate fluctuations, net of hedge activity, increased operating income by $8.6 million, compared with a decrease of $4.3 million to operating income a year ago. A loss on foreign currency forward contracts of $5.0 million was recorded into operating income for the three months ended November 30, 2022, compared with a loss on forward currency forward contracts of $0.4 million in the same period a year ago.</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gross notional value of foreign currency forward contracts to purchase the British Pound Sterling, Euro, Indian Rupee, and Philippine Peso with U.S. dollars: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40" w:type="dxa"/>
            <w:vAlign w:val="bottom"/>
            <w:gridSpan w:val="3"/>
          </w:tcPr>
          <w:p>
            <w:pPr>
              <w:jc w:val="right"/>
              <w:ind w:right="1030"/>
              <w:spacing w:after="0"/>
              <w:rPr>
                <w:sz w:val="20"/>
                <w:szCs w:val="20"/>
                <w:color w:val="auto"/>
              </w:rPr>
            </w:pPr>
            <w:r>
              <w:rPr>
                <w:rFonts w:ascii="Times New Roman" w:cs="Times New Roman" w:eastAsia="Times New Roman" w:hAnsi="Times New Roman"/>
                <w:sz w:val="18"/>
                <w:szCs w:val="18"/>
                <w:color w:val="auto"/>
              </w:rPr>
              <w:t>November 30, 2022</w:t>
            </w:r>
          </w:p>
        </w:tc>
        <w:tc>
          <w:tcPr>
            <w:tcW w:w="760" w:type="dxa"/>
            <w:vAlign w:val="bottom"/>
          </w:tcPr>
          <w:p>
            <w:pPr>
              <w:spacing w:after="0"/>
              <w:rPr>
                <w:sz w:val="19"/>
                <w:szCs w:val="19"/>
                <w:color w:val="auto"/>
              </w:rPr>
            </w:pPr>
          </w:p>
        </w:tc>
        <w:tc>
          <w:tcPr>
            <w:tcW w:w="3040" w:type="dxa"/>
            <w:vAlign w:val="bottom"/>
            <w:gridSpan w:val="3"/>
          </w:tcPr>
          <w:p>
            <w:pPr>
              <w:jc w:val="right"/>
              <w:ind w:right="1050"/>
              <w:spacing w:after="0"/>
              <w:rPr>
                <w:sz w:val="20"/>
                <w:szCs w:val="20"/>
                <w:color w:val="auto"/>
              </w:rPr>
            </w:pPr>
            <w:r>
              <w:rPr>
                <w:rFonts w:ascii="Times New Roman" w:cs="Times New Roman" w:eastAsia="Times New Roman" w:hAnsi="Times New Roman"/>
                <w:sz w:val="18"/>
                <w:szCs w:val="18"/>
                <w:color w:val="auto"/>
              </w:rPr>
              <w:t>November 30, 2021</w:t>
            </w:r>
          </w:p>
        </w:tc>
        <w:tc>
          <w:tcPr>
            <w:tcW w:w="0" w:type="dxa"/>
            <w:vAlign w:val="bottom"/>
          </w:tcPr>
          <w:p>
            <w:pPr>
              <w:spacing w:after="0"/>
              <w:rPr>
                <w:sz w:val="1"/>
                <w:szCs w:val="1"/>
                <w:color w:val="auto"/>
              </w:rPr>
            </w:pPr>
          </w:p>
        </w:tc>
      </w:tr>
      <w:tr>
        <w:trPr>
          <w:trHeight w:val="180"/>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jc w:val="right"/>
              <w:ind w:right="150"/>
              <w:spacing w:after="0" w:line="181" w:lineRule="exact"/>
              <w:rPr>
                <w:sz w:val="20"/>
                <w:szCs w:val="20"/>
                <w:color w:val="auto"/>
              </w:rPr>
            </w:pPr>
            <w:r>
              <w:rPr>
                <w:rFonts w:ascii="Times New Roman" w:cs="Times New Roman" w:eastAsia="Times New Roman" w:hAnsi="Times New Roman"/>
                <w:sz w:val="18"/>
                <w:szCs w:val="18"/>
                <w:color w:val="auto"/>
              </w:rPr>
              <w:t>Notional Contract</w:t>
            </w: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170"/>
              <w:spacing w:after="0" w:line="181" w:lineRule="exact"/>
              <w:rPr>
                <w:sz w:val="20"/>
                <w:szCs w:val="20"/>
                <w:color w:val="auto"/>
              </w:rPr>
            </w:pPr>
            <w:r>
              <w:rPr>
                <w:rFonts w:ascii="Times New Roman" w:cs="Times New Roman" w:eastAsia="Times New Roman" w:hAnsi="Times New Roman"/>
                <w:sz w:val="18"/>
                <w:szCs w:val="18"/>
                <w:color w:val="auto"/>
              </w:rPr>
              <w:t>Notional Contract</w:t>
            </w:r>
          </w:p>
        </w:tc>
        <w:tc>
          <w:tcPr>
            <w:tcW w:w="0" w:type="dxa"/>
            <w:vAlign w:val="bottom"/>
          </w:tcPr>
          <w:p>
            <w:pPr>
              <w:spacing w:after="0"/>
              <w:rPr>
                <w:sz w:val="1"/>
                <w:szCs w:val="1"/>
                <w:color w:val="auto"/>
              </w:rPr>
            </w:pPr>
          </w:p>
        </w:tc>
      </w:tr>
      <w:tr>
        <w:trPr>
          <w:trHeight w:val="243"/>
        </w:trPr>
        <w:tc>
          <w:tcPr>
            <w:tcW w:w="2700" w:type="dxa"/>
            <w:vAlign w:val="bottom"/>
            <w:tcBorders>
              <w:bottom w:val="single" w:sz="8" w:color="auto"/>
            </w:tcBorders>
            <w:vMerge w:val="continue"/>
          </w:tcPr>
          <w:p>
            <w:pPr>
              <w:spacing w:after="0"/>
              <w:rPr>
                <w:sz w:val="21"/>
                <w:szCs w:val="21"/>
                <w:color w:val="auto"/>
              </w:rPr>
            </w:pPr>
          </w:p>
        </w:tc>
        <w:tc>
          <w:tcPr>
            <w:tcW w:w="2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2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17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57,337</w:t>
            </w: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55,567</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7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39,892</w:t>
            </w: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40,679</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Indian Rupee</w:t>
            </w:r>
          </w:p>
        </w:tc>
        <w:tc>
          <w:tcPr>
            <w:tcW w:w="17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Rs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2,739,827</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2,667,928</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Philippine Peso</w:t>
            </w:r>
          </w:p>
        </w:tc>
        <w:tc>
          <w:tcPr>
            <w:tcW w:w="170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1,540,066</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27,300</w:t>
            </w:r>
          </w:p>
        </w:tc>
        <w:tc>
          <w:tcPr>
            <w:tcW w:w="7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1,462,060</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158,129</w:t>
            </w:r>
          </w:p>
        </w:tc>
        <w:tc>
          <w:tcPr>
            <w:tcW w:w="7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Estimates</w:t>
      </w:r>
    </w:p>
    <w:p>
      <w:pPr>
        <w:spacing w:after="0" w:line="2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prepare the Consolidated Financial Statements in conformity with GAAP, which requires us to make certain estimates and apply judgements that affect the reported amounts of assets, liabilities, revenues and expenses and related disclosures. We base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estimates on historical experience and other assumptions that we believe to be reasonable at the time the Consolidated Financial Statements are prepared and, as such, they may ultimately differ materially from actual results.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describe our significant accounting policies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Notes to the Consolidated Financial Statements included in Item 8 of our Annual Report on Form 10-K for the fiscal year ended August 31, 2022. These accounting policies were consistently applied in preparing our Consolidated Financial Statements for the three months ended November 30, 2022.</w:t>
      </w:r>
    </w:p>
    <w:p>
      <w:pPr>
        <w:spacing w:after="0" w:line="1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disclosed our critical accounting estimates in Part II, Item 7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in the MD&amp;A of our Annual Report on Form 10-K for the fiscal year ended August 31, 2022. There were no significant changes in our critical accounting estimates during the three months ended November 30,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Accounting Pronouncements</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Notes to the Consolidated Financial Statements included in Part I, Item 1 of this Quarterly Report on Form 10-Q for a full description of recent accounting pronouncements, including the expected dates of adoption, which we include herein by reference.</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3. QUANTITATIVE AND QUALITATIVE DISCLOSURES ABOUT MARKET RISK</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exposed to foreign currency exchange risk and interest rate risk that could impact our financial position and results of operations. Current market events have not required us to modify materially or change our financial risk management strategies with respect to our exposures to foreign currency exchange risk or interest rate risk.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Risk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on a global basis and are exposed to the risk that our financial condition, results of operations and cash flows could be impacted by changes in foreign currency exchange rates. To mitigate the volatility and uncertainty of our exchange rate risk, we entered into foreign currency forward contracts with major institutions related to our primary currencies of the British Pound Sterling, Euro, Indian Rupee and Philippine Peso. As of November 30, 2022, these forward contracts hedge a portion of our foreign currency transaction exposure ranging from 25% to 75% over their respective hedged periods. We do not enter into cash flow hedges for trading or speculative purposes.</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fair value for these foreign currency forward contracts are initially reported as a component of Accumulated other comprehensive loss ("AOCL") and subsequently reclassified into operating expenses when the hedged exposure affects earnings.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November 30, 2022, we recognized a loss on foreign currency forward contracts of $5.0 million, compared with a loss of $0.4 million in the same period a year ago. During three months ended November 30, 2022, foreign currency exchange rate fluctuations, net of hedge activity, increased operating income by $8.6 million, compared with a decrease of $4.3 million during the three months ended November 30, 2021.</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performed a sensitivity analysis to determine the effects on both the fair value of our outstanding foreign currency forward contracts and our operating income, excluding these forward contracts, of a hypothetical devaluation of the U.S. dollar by 10% as of November 30, 2022, relative to the other foreign currencies in which we transact. Based on the financial results for the three months ended November 30, 2022, the fair value of our outstanding forward contracts would have increased by $15.4 million and our operating income, excluding these forward contracts, would have decreased by $11.2 million. This sensitivity analysis has inherent limitations as it disregards the possibility that rates of multiple foreign currencies will not always move in the same direction relative to the value of the U.S. dollar over time and does not account for our forward contracts that we utilize to mitigate fluctuations in exchange rates.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in the Notes of this Quarterly Report for more information on our foreign currency exposures and our foreign currency forward contracts.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Risk</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foreign currency risk due to the translation of our results from certain international operations into U.S. Dollars, as part of the consolidation process. Fluctuations in foreign currency exchange rates can create volatility in our results of operations and our financial condition. We recorded a translation gain of $8.8 million and a loss of $18.7 million in AOCL for the three months ended November 30, 2022 and 2021,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 and Investments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November 30, 2022, we had Cash and cash equivalents of $437.1 million and Investments of $32.6 million. Our Cash and cash equivalents consist of cash and highly liquid investments including demand deposits and money market funds, and our Investments consist of mutual funds. We are exposed to interest rate risk through fluctuations of interest rates on our investments. As we have a restrictive investment policy, our financial exposure to fluctuations in interest rates is expected to remain low. 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Consolidated Financial Statements included in Item 8. of our Annual Report on Form 10-K for more information on our cash and cash equivalents.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Credit Agreement</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November 30, 2022 our outstanding debt with a variable rate of interest included $625.0 million under the 2022 Term Facility and $250.0 million under the 2022 Revolving Facility. During the three months ended November 30, 2022, the outstanding borrowings under the 2022 Credit Facilities bore interest at a rate equal to the applicable one-month Term SOFR rate plus a spread using a debt leverage pricing grid, currently at 1.1% (comprised of a 1.0% interest rate margin based on a debt leverage pricing grid plus a 0.1% credit spread adjustment). The spread remained consistent from the date of borrowing through November 30, 2022.</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variable rate of interest on our debt creates exposure to interest rate volatility due to changes in SOFR. To mitigate this exposure, on March 1, 2022, we entered into the 2022 Swap Agreement to hedge a portion of our outstanding floating SOFR rate debt with a fixed interest rate of 1.162%, to maintain an intended fixed to floating interest rate ratio. The notional amount of the 2022 Swap Agreement declines by $100.0 million on a quarterly basis and was $500.0 million as of November 30, 2022. The 2022 Swap Agreement is maturing on February 28, 2024.</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Thus, our exposure is limited to fluctuations in SOFR on our borrowings from the 2022 Credit Facilities in excess of amounts that are not hedged, or $375.0 million of our outstanding principal balance. Assuming all terms of our outstanding long-term debt remained the same, a hypothetical 25 basis point change (up or down) in the one-month SOFR provided exposure of $0.9 million to our annual interest expense.</w:t>
      </w:r>
    </w:p>
    <w:p>
      <w:pPr>
        <w:spacing w:after="0" w:line="14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more information on our 2022 Term Facility and 2022 Revolving Facility. 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for more information on our 2022 Swap Agreement.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4. CONTROLS AND PROCEDURES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have evaluated the effectiveness of our disclosure controls and procedures pursuant to Rules 13a-15(e) and 15d-15(e) under the Securities Exchange Act of 1934, as amended (the "Exchange Act"), as of the end of the period covered by this report. As permitted by SEC guidance that an assessment of internal controls over financial reporting of a recently acquired business may be excluded from management's evaluation of disclosure controls and procedures for up to a year from the date of acquisition, we have excluded CGS from management's assessment on internal control over financial reporting for the quarter ended November 30, 2022. We will continue to evaluate the effectiveness of internal controls over financial reporting as we complete the integration of CGS. CGS represents 10% percent of our consolidated revenues for the three months ended November 30, 2022 and excluding goodwill and intangible assets, CGS represented 7% percent of our total assets as of November 30, 2022.</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their evaluation, our Principal Executive Officer and Principal Financial Officer have concluded that our disclosure controls and procedures, excluding those related to CGS, were effective as of the end of the period covered by this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Rules 13a-15(f) and 15d-15(f) under the Exchange Act) during the three months ended November 30, 2022 that have materially affected, or are reasonably likely to materially affect, our internal control over financial reporting.</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PART II – OTHER INFORMATION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LEGAL PROCEEDINGS</w:t>
      </w:r>
    </w:p>
    <w:p>
      <w:pPr>
        <w:spacing w:after="0" w:line="19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set forth under "Contingencies" in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contained in the Notes to the Consolidated Financial Statements of this Quarterly Report on Form 10-Q is incorporated by reference in answer to this Item.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identified in our Annual Report on Form 10-K for the fiscal year ended August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UNREGISTERED SALES OF EQUITY SECURITIES AND USE OF PROCEEDS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2(a) and (b) are not applicable as there have been no unregistered sales of equity securities.</w:t>
      </w:r>
    </w:p>
    <w:p>
      <w:pPr>
        <w:spacing w:after="0" w:line="185" w:lineRule="exact"/>
        <w:rPr>
          <w:sz w:val="20"/>
          <w:szCs w:val="20"/>
          <w:color w:val="auto"/>
        </w:rPr>
      </w:pPr>
    </w:p>
    <w:p>
      <w:pPr>
        <w:ind w:left="660" w:hanging="490"/>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month-to-month summary of our share repurchase activity during the three months ended November 30, 2022:</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2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Maximum Number of Shares (or</w:t>
            </w: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19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Total Number of</w:t>
            </w:r>
          </w:p>
        </w:tc>
        <w:tc>
          <w:tcPr>
            <w:tcW w:w="380" w:type="dxa"/>
            <w:vAlign w:val="bottom"/>
          </w:tcPr>
          <w:p>
            <w:pPr>
              <w:spacing w:after="0"/>
              <w:rPr>
                <w:sz w:val="15"/>
                <w:szCs w:val="15"/>
                <w:color w:val="auto"/>
              </w:rPr>
            </w:pPr>
          </w:p>
        </w:tc>
        <w:tc>
          <w:tcPr>
            <w:tcW w:w="174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Average Price</w:t>
            </w:r>
          </w:p>
        </w:tc>
        <w:tc>
          <w:tcPr>
            <w:tcW w:w="21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Purchased as Part of Publicly</w:t>
            </w:r>
          </w:p>
        </w:tc>
        <w:tc>
          <w:tcPr>
            <w:tcW w:w="320" w:type="dxa"/>
            <w:vAlign w:val="bottom"/>
          </w:tcPr>
          <w:p>
            <w:pPr>
              <w:spacing w:after="0"/>
              <w:rPr>
                <w:sz w:val="15"/>
                <w:szCs w:val="15"/>
                <w:color w:val="auto"/>
              </w:rPr>
            </w:pPr>
          </w:p>
        </w:tc>
        <w:tc>
          <w:tcPr>
            <w:tcW w:w="2360" w:type="dxa"/>
            <w:vAlign w:val="bottom"/>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Approximate Dollar Value)</w:t>
            </w: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9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Announced Plans or</w:t>
            </w:r>
          </w:p>
        </w:tc>
        <w:tc>
          <w:tcPr>
            <w:tcW w:w="26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that May Yet be Purchased Under</w:t>
            </w:r>
          </w:p>
        </w:tc>
        <w:tc>
          <w:tcPr>
            <w:tcW w:w="0" w:type="dxa"/>
            <w:vAlign w:val="bottom"/>
          </w:tcPr>
          <w:p>
            <w:pPr>
              <w:spacing w:after="0"/>
              <w:rPr>
                <w:sz w:val="1"/>
                <w:szCs w:val="1"/>
                <w:color w:val="auto"/>
              </w:rPr>
            </w:pPr>
          </w:p>
        </w:tc>
      </w:tr>
      <w:tr>
        <w:trPr>
          <w:trHeight w:val="243"/>
        </w:trPr>
        <w:tc>
          <w:tcPr>
            <w:tcW w:w="20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Period</w:t>
            </w:r>
          </w:p>
        </w:tc>
        <w:tc>
          <w:tcPr>
            <w:tcW w:w="1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Shares Purchased</w:t>
            </w:r>
            <w:r>
              <w:rPr>
                <w:rFonts w:ascii="Times New Roman" w:cs="Times New Roman" w:eastAsia="Times New Roman" w:hAnsi="Times New Roman"/>
                <w:sz w:val="10"/>
                <w:szCs w:val="10"/>
                <w:i w:val="1"/>
                <w:iCs w:val="1"/>
                <w:color w:val="auto"/>
              </w:rPr>
              <w:t>(1)</w:t>
            </w:r>
          </w:p>
        </w:tc>
        <w:tc>
          <w:tcPr>
            <w:tcW w:w="3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Paid per Share</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Programs</w:t>
            </w:r>
            <w:r>
              <w:rPr>
                <w:rFonts w:ascii="Times New Roman" w:cs="Times New Roman" w:eastAsia="Times New Roman" w:hAnsi="Times New Roman"/>
                <w:sz w:val="21"/>
                <w:szCs w:val="21"/>
                <w:i w:val="1"/>
                <w:iCs w:val="1"/>
                <w:color w:val="auto"/>
                <w:w w:val="96"/>
                <w:vertAlign w:val="superscript"/>
              </w:rPr>
              <w:t>(2)</w:t>
            </w:r>
          </w:p>
        </w:tc>
        <w:tc>
          <w:tcPr>
            <w:tcW w:w="26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the Plans or Programs (in US$)</w:t>
            </w:r>
            <w:r>
              <w:rPr>
                <w:rFonts w:ascii="Times New Roman" w:cs="Times New Roman" w:eastAsia="Times New Roman" w:hAnsi="Times New Roman"/>
                <w:sz w:val="21"/>
                <w:szCs w:val="21"/>
                <w:i w:val="1"/>
                <w:iCs w:val="1"/>
                <w:color w:val="auto"/>
                <w:vertAlign w:val="superscript"/>
              </w:rPr>
              <w:t>(2)</w:t>
            </w:r>
          </w:p>
        </w:tc>
        <w:tc>
          <w:tcPr>
            <w:tcW w:w="0" w:type="dxa"/>
            <w:vAlign w:val="bottom"/>
          </w:tcPr>
          <w:p>
            <w:pPr>
              <w:spacing w:after="0"/>
              <w:rPr>
                <w:sz w:val="1"/>
                <w:szCs w:val="1"/>
                <w:color w:val="auto"/>
              </w:rPr>
            </w:pPr>
          </w:p>
        </w:tc>
      </w:tr>
      <w:tr>
        <w:trPr>
          <w:trHeight w:val="22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2022</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443.22</w:t>
            </w:r>
          </w:p>
        </w:tc>
        <w:tc>
          <w:tcPr>
            <w:tcW w:w="216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181,254</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2022</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403.46</w:t>
            </w:r>
          </w:p>
        </w:tc>
        <w:tc>
          <w:tcPr>
            <w:tcW w:w="21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181,254</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2022</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25,450</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425.31</w:t>
            </w:r>
          </w:p>
        </w:tc>
        <w:tc>
          <w:tcPr>
            <w:tcW w:w="2160" w:type="dxa"/>
            <w:vAlign w:val="bottom"/>
            <w:tcBorders>
              <w:bottom w:val="single" w:sz="8" w:color="auto"/>
            </w:tcBorders>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181,254</w:t>
            </w:r>
          </w:p>
        </w:tc>
        <w:tc>
          <w:tcPr>
            <w:tcW w:w="0" w:type="dxa"/>
            <w:vAlign w:val="bottom"/>
          </w:tcPr>
          <w:p>
            <w:pPr>
              <w:spacing w:after="0"/>
              <w:rPr>
                <w:sz w:val="1"/>
                <w:szCs w:val="1"/>
                <w:color w:val="auto"/>
              </w:rPr>
            </w:pPr>
          </w:p>
        </w:tc>
      </w:tr>
      <w:tr>
        <w:trPr>
          <w:trHeight w:val="228"/>
        </w:trPr>
        <w:tc>
          <w:tcPr>
            <w:tcW w:w="2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25,860</w:t>
            </w: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1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Relates to shares repurchased to satisfy withholding tax obligations due upon the vesting or exercise of stock-based awards.</w:t>
      </w:r>
    </w:p>
    <w:p>
      <w:pPr>
        <w:spacing w:after="0" w:line="72" w:lineRule="exact"/>
        <w:rPr>
          <w:rFonts w:ascii="Times New Roman" w:cs="Times New Roman" w:eastAsia="Times New Roman" w:hAnsi="Times New Roman"/>
          <w:sz w:val="16"/>
          <w:szCs w:val="16"/>
          <w:i w:val="1"/>
          <w:iCs w:val="1"/>
          <w:color w:val="auto"/>
        </w:rPr>
      </w:pPr>
    </w:p>
    <w:p>
      <w:pPr>
        <w:ind w:left="660" w:hanging="328"/>
        <w:spacing w:after="0" w:line="283" w:lineRule="auto"/>
        <w:tabs>
          <w:tab w:leader="none" w:pos="660" w:val="left"/>
        </w:tabs>
        <w:numPr>
          <w:ilvl w:val="0"/>
          <w:numId w:val="2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As of November 30, 2022, a total of $181.3 million remained available for future share repurchases under our existing share repurchase program. Repurchases may be made from time to time in the open market and privately negotiated transactions, subject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16"/>
          <w:szCs w:val="16"/>
          <w:i w:val="1"/>
          <w:iCs w:val="1"/>
          <w:color w:val="auto"/>
        </w:rPr>
        <w:t>to market conditions. No minimum number of shares to be repurchased has been fixed. There is no timeframe to complete the share repurchase program and it is expected that share repurchases will be paid using existing and future cash generated by operations. Beginning in the second quarter of fiscal 2022, we suspended our share repurchase program until at least the second half of fiscal 2023, with the exception of potential minor repurchases to offset dilution from grants of equity awards or repurchases to satisfy withholding tax obligations due upon the vesting of stock-based awards. The suspension of our share repurchase program allows us to prioritize the repayment of debt under the 2022 Credit Facilities. Refer to Note 11, Debt for more information on the 2022 Credit Facilities.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DEFAULTS UPON SENIOR SECURITIES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EXHIBITS</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0" w:type="dxa"/>
            <w:vAlign w:val="bottom"/>
          </w:tcPr>
          <w:p>
            <w:pPr>
              <w:spacing w:after="0"/>
              <w:rPr>
                <w:sz w:val="1"/>
                <w:szCs w:val="1"/>
                <w:color w:val="auto"/>
              </w:rPr>
            </w:pPr>
          </w:p>
        </w:tc>
      </w:tr>
      <w:tr>
        <w:trPr>
          <w:trHeight w:val="180"/>
        </w:trPr>
        <w:tc>
          <w:tcPr>
            <w:tcW w:w="126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Exhibit Number</w:t>
            </w:r>
          </w:p>
        </w:tc>
        <w:tc>
          <w:tcPr>
            <w:tcW w:w="504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Exhibit</w:t>
            </w:r>
          </w:p>
        </w:tc>
        <w:tc>
          <w:tcPr>
            <w:tcW w:w="6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Form</w:t>
            </w:r>
          </w:p>
        </w:tc>
        <w:tc>
          <w:tcPr>
            <w:tcW w:w="106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File No.</w:t>
            </w:r>
          </w:p>
        </w:tc>
        <w:tc>
          <w:tcPr>
            <w:tcW w:w="326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Exhibit No.  Filing Date   Filed</w:t>
            </w:r>
          </w:p>
        </w:tc>
        <w:tc>
          <w:tcPr>
            <w:tcW w:w="0" w:type="dxa"/>
            <w:vAlign w:val="bottom"/>
          </w:tcPr>
          <w:p>
            <w:pPr>
              <w:spacing w:after="0"/>
              <w:rPr>
                <w:sz w:val="1"/>
                <w:szCs w:val="1"/>
                <w:color w:val="auto"/>
              </w:rPr>
            </w:pPr>
          </w:p>
        </w:tc>
      </w:tr>
      <w:tr>
        <w:trPr>
          <w:trHeight w:val="239"/>
        </w:trPr>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Description</w:t>
            </w:r>
          </w:p>
        </w:tc>
        <w:tc>
          <w:tcPr>
            <w:tcW w:w="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r>
        <w:trPr>
          <w:trHeight w:val="173"/>
        </w:trPr>
        <w:tc>
          <w:tcPr>
            <w:tcW w:w="126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31.1</w:t>
            </w:r>
          </w:p>
        </w:tc>
        <w:tc>
          <w:tcPr>
            <w:tcW w:w="5040" w:type="dxa"/>
            <w:vAlign w:val="bottom"/>
          </w:tcPr>
          <w:p>
            <w:pPr>
              <w:ind w:left="80"/>
              <w:spacing w:after="0" w:line="173" w:lineRule="exact"/>
              <w:rPr>
                <w:sz w:val="20"/>
                <w:szCs w:val="20"/>
                <w:color w:val="auto"/>
              </w:rPr>
            </w:pPr>
            <w:r>
              <w:rPr>
                <w:rFonts w:ascii="Times New Roman" w:cs="Times New Roman" w:eastAsia="Times New Roman" w:hAnsi="Times New Roman"/>
                <w:sz w:val="18"/>
                <w:szCs w:val="18"/>
                <w:color w:val="auto"/>
              </w:rPr>
              <w:t>Certification of the Chief Executive Officer pursuant to Rule 13a-</w:t>
            </w: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60" w:type="dxa"/>
            <w:vAlign w:val="bottom"/>
            <w:tcBorders>
              <w:right w:val="single" w:sz="8" w:color="auto"/>
            </w:tcBorders>
            <w:vMerge w:val="restart"/>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tcBorders>
            <w:gridSpan w:val="3"/>
            <w:vMerge w:val="continue"/>
          </w:tcPr>
          <w:p>
            <w:pPr>
              <w:spacing w:after="0"/>
              <w:rPr>
                <w:sz w:val="16"/>
                <w:szCs w:val="16"/>
                <w:color w:val="auto"/>
              </w:rPr>
            </w:pPr>
          </w:p>
        </w:tc>
        <w:tc>
          <w:tcPr>
            <w:tcW w:w="50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14(a) and Rule 15d-14(a) of the Securities Exchange Act, as</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Borders>
              <w:left w:val="single" w:sz="8" w:color="auto"/>
              <w:bottom w:val="single" w:sz="8" w:color="auto"/>
            </w:tcBorders>
          </w:tcPr>
          <w:p>
            <w:pPr>
              <w:spacing w:after="0"/>
              <w:rPr>
                <w:sz w:val="18"/>
                <w:szCs w:val="18"/>
                <w:color w:val="auto"/>
              </w:rPr>
            </w:pPr>
          </w:p>
        </w:tc>
        <w:tc>
          <w:tcPr>
            <w:tcW w:w="320" w:type="dxa"/>
            <w:vAlign w:val="bottom"/>
            <w:tcBorders>
              <w:top w:val="single" w:sz="8" w:color="0000FF"/>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amended</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31.2</w:t>
            </w:r>
          </w:p>
        </w:tc>
        <w:tc>
          <w:tcPr>
            <w:tcW w:w="504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Certification of the Chief Financial Officer pursuant to Rule 13a-</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60" w:type="dxa"/>
            <w:vAlign w:val="bottom"/>
            <w:tcBorders>
              <w:right w:val="single" w:sz="8" w:color="auto"/>
            </w:tcBorders>
            <w:vMerge w:val="restart"/>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tcBorders>
            <w:gridSpan w:val="3"/>
            <w:vMerge w:val="continue"/>
          </w:tcPr>
          <w:p>
            <w:pPr>
              <w:spacing w:after="0"/>
              <w:rPr>
                <w:sz w:val="16"/>
                <w:szCs w:val="16"/>
                <w:color w:val="auto"/>
              </w:rPr>
            </w:pPr>
          </w:p>
        </w:tc>
        <w:tc>
          <w:tcPr>
            <w:tcW w:w="50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14(a) and Rule 15d-14(a) of the Securities Exchange Act, as</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Borders>
              <w:left w:val="single" w:sz="8" w:color="auto"/>
              <w:bottom w:val="single" w:sz="8" w:color="auto"/>
            </w:tcBorders>
          </w:tcPr>
          <w:p>
            <w:pPr>
              <w:spacing w:after="0"/>
              <w:rPr>
                <w:sz w:val="18"/>
                <w:szCs w:val="18"/>
                <w:color w:val="auto"/>
              </w:rPr>
            </w:pPr>
          </w:p>
        </w:tc>
        <w:tc>
          <w:tcPr>
            <w:tcW w:w="320" w:type="dxa"/>
            <w:vAlign w:val="bottom"/>
            <w:tcBorders>
              <w:top w:val="single" w:sz="8" w:color="0000FF"/>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amended</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32.1</w:t>
            </w:r>
          </w:p>
        </w:tc>
        <w:tc>
          <w:tcPr>
            <w:tcW w:w="504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Certification of the Chief Executive Officer pursuant to 18 U.S.C.</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60" w:type="dxa"/>
            <w:vAlign w:val="bottom"/>
            <w:tcBorders>
              <w:right w:val="single" w:sz="8" w:color="auto"/>
            </w:tcBorders>
            <w:vMerge w:val="restart"/>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tcBorders>
            <w:gridSpan w:val="3"/>
            <w:vMerge w:val="continue"/>
          </w:tcPr>
          <w:p>
            <w:pPr>
              <w:spacing w:after="0"/>
              <w:rPr>
                <w:sz w:val="16"/>
                <w:szCs w:val="16"/>
                <w:color w:val="auto"/>
              </w:rPr>
            </w:pPr>
          </w:p>
        </w:tc>
        <w:tc>
          <w:tcPr>
            <w:tcW w:w="50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1350, as adopted pursuant to Section 906 of the Sarbanes-Oxley Act</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Borders>
              <w:left w:val="single" w:sz="8" w:color="auto"/>
              <w:bottom w:val="single" w:sz="8" w:color="auto"/>
            </w:tcBorders>
          </w:tcPr>
          <w:p>
            <w:pPr>
              <w:spacing w:after="0"/>
              <w:rPr>
                <w:sz w:val="18"/>
                <w:szCs w:val="18"/>
                <w:color w:val="auto"/>
              </w:rPr>
            </w:pPr>
          </w:p>
        </w:tc>
        <w:tc>
          <w:tcPr>
            <w:tcW w:w="320" w:type="dxa"/>
            <w:vAlign w:val="bottom"/>
            <w:tcBorders>
              <w:top w:val="single" w:sz="8" w:color="0000FF"/>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2002</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32.2</w:t>
            </w:r>
          </w:p>
        </w:tc>
        <w:tc>
          <w:tcPr>
            <w:tcW w:w="504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Certification of the Chief Financial Officer pursuant to 18 U.S.C.</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60" w:type="dxa"/>
            <w:vAlign w:val="bottom"/>
            <w:tcBorders>
              <w:right w:val="single" w:sz="8" w:color="auto"/>
            </w:tcBorders>
            <w:vMerge w:val="restart"/>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tcBorders>
            <w:gridSpan w:val="3"/>
            <w:vMerge w:val="continue"/>
          </w:tcPr>
          <w:p>
            <w:pPr>
              <w:spacing w:after="0"/>
              <w:rPr>
                <w:sz w:val="16"/>
                <w:szCs w:val="16"/>
                <w:color w:val="auto"/>
              </w:rPr>
            </w:pPr>
          </w:p>
        </w:tc>
        <w:tc>
          <w:tcPr>
            <w:tcW w:w="50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1350, as adopted pursuant to Section 906 of the Sarbanes-Oxley Act</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Borders>
              <w:left w:val="single" w:sz="8" w:color="auto"/>
              <w:bottom w:val="single" w:sz="8" w:color="auto"/>
            </w:tcBorders>
          </w:tcPr>
          <w:p>
            <w:pPr>
              <w:spacing w:after="0"/>
              <w:rPr>
                <w:sz w:val="18"/>
                <w:szCs w:val="18"/>
                <w:color w:val="auto"/>
              </w:rPr>
            </w:pPr>
          </w:p>
        </w:tc>
        <w:tc>
          <w:tcPr>
            <w:tcW w:w="320" w:type="dxa"/>
            <w:vAlign w:val="bottom"/>
            <w:tcBorders>
              <w:top w:val="single" w:sz="8" w:color="0000FF"/>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2002</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4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212529"/>
              </w:rPr>
              <w:t>XBRL Instance Document - The instance document does not appear</w:t>
            </w: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lef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212529"/>
              </w:rPr>
              <w:t>in the interactive data file because its XBRL tags are embedded</w:t>
            </w: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60" w:type="dxa"/>
            <w:vAlign w:val="bottom"/>
            <w:tcBorders>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41"/>
        </w:trPr>
        <w:tc>
          <w:tcPr>
            <w:tcW w:w="4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212529"/>
              </w:rPr>
              <w:t>within the Inline XBRL document</w:t>
            </w:r>
          </w:p>
        </w:tc>
        <w:tc>
          <w:tcPr>
            <w:tcW w:w="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6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900" w:type="dxa"/>
            <w:vAlign w:val="bottom"/>
          </w:tcPr>
          <w:p>
            <w:pPr>
              <w:spacing w:after="0"/>
              <w:rPr>
                <w:sz w:val="14"/>
                <w:szCs w:val="14"/>
                <w:color w:val="auto"/>
              </w:rPr>
            </w:pPr>
          </w:p>
        </w:tc>
        <w:tc>
          <w:tcPr>
            <w:tcW w:w="504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60" w:type="dxa"/>
            <w:vAlign w:val="bottom"/>
            <w:tcBorders>
              <w:right w:val="single" w:sz="8" w:color="auto"/>
            </w:tcBorders>
            <w:vMerge w:val="restart"/>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49"/>
        </w:trPr>
        <w:tc>
          <w:tcPr>
            <w:tcW w:w="360" w:type="dxa"/>
            <w:vAlign w:val="bottom"/>
            <w:tcBorders>
              <w:left w:val="single" w:sz="8" w:color="auto"/>
            </w:tcBorders>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50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contained in Exhibit 101)</w:t>
            </w: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5040" w:type="dxa"/>
            <w:vAlign w:val="bottom"/>
            <w:tcBorders>
              <w:bottom w:val="single" w:sz="8" w:color="auto"/>
            </w:tcBorders>
            <w:vMerge w:val="continue"/>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6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40" w:type="dxa"/>
            <w:vAlign w:val="bottom"/>
          </w:tcPr>
          <w:p>
            <w:pPr>
              <w:ind w:left="4280"/>
              <w:spacing w:after="0"/>
              <w:rPr>
                <w:sz w:val="20"/>
                <w:szCs w:val="20"/>
                <w:color w:val="auto"/>
              </w:rPr>
            </w:pPr>
            <w:r>
              <w:rPr>
                <w:rFonts w:ascii="Times New Roman" w:cs="Times New Roman" w:eastAsia="Times New Roman" w:hAnsi="Times New Roman"/>
                <w:sz w:val="18"/>
                <w:szCs w:val="18"/>
                <w:color w:val="auto"/>
              </w:rPr>
              <w:t>51</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0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FACTSET RESEARCH SYSTEMS INC.</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6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5, 2023</w:t>
            </w: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LINDA S. HUBER</w:t>
            </w:r>
          </w:p>
        </w:tc>
      </w:tr>
      <w:tr>
        <w:trPr>
          <w:trHeight w:val="218"/>
        </w:trPr>
        <w:tc>
          <w:tcPr>
            <w:tcW w:w="522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Linda S. Huber</w:t>
            </w:r>
          </w:p>
        </w:tc>
      </w:tr>
      <w:tr>
        <w:trPr>
          <w:trHeight w:val="230"/>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86"/>
        </w:trPr>
        <w:tc>
          <w:tcPr>
            <w:tcW w:w="5220" w:type="dxa"/>
            <w:vAlign w:val="bottom"/>
          </w:tcPr>
          <w:p>
            <w:pPr>
              <w:spacing w:after="0"/>
              <w:rPr>
                <w:sz w:val="24"/>
                <w:szCs w:val="24"/>
                <w:color w:val="auto"/>
              </w:rPr>
            </w:pP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T. MOSKOFF</w:t>
            </w:r>
          </w:p>
        </w:tc>
      </w:tr>
      <w:tr>
        <w:trPr>
          <w:trHeight w:val="218"/>
        </w:trPr>
        <w:tc>
          <w:tcPr>
            <w:tcW w:w="522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T. Moskoff</w:t>
            </w:r>
          </w:p>
        </w:tc>
      </w:tr>
      <w:tr>
        <w:trPr>
          <w:trHeight w:val="229"/>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Director, Controller and Chief Accounting Officer</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21" w:right="339" w:bottom="1440" w:gutter="0" w:footer="0" w:header="0"/>
        </w:sectPr>
      </w:pPr>
    </w:p>
    <w:bookmarkStart w:id="52" w:name="page53"/>
    <w:bookmarkEnd w:id="52"/>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9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13a-14(a)/15d-14(a) AS ADOPTED PURSUANT TO SECTION 302 OF THE SARBANES-OXLEY ACT OF 2002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 Philip Snow, certify that:</w:t>
      </w:r>
    </w:p>
    <w:p>
      <w:pPr>
        <w:spacing w:after="0" w:line="185" w:lineRule="exact"/>
        <w:rPr>
          <w:sz w:val="20"/>
          <w:szCs w:val="20"/>
          <w:color w:val="auto"/>
        </w:rPr>
      </w:pPr>
    </w:p>
    <w:p>
      <w:pPr>
        <w:ind w:left="500" w:hanging="492"/>
        <w:spacing w:after="0"/>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FactSet Research Systems Inc.;</w:t>
      </w:r>
    </w:p>
    <w:p>
      <w:pPr>
        <w:spacing w:after="0" w:line="184"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980" w:hanging="486"/>
        <w:spacing w:after="0" w:line="282" w:lineRule="auto"/>
        <w:tabs>
          <w:tab w:leader="none" w:pos="96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34"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6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any significant role in the registrant’s internal control over financial reporting.</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 January 5, 2023</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17145</wp:posOffset>
            </wp:positionV>
            <wp:extent cx="34461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 Philip Snow</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53" w:name="page54"/>
    <w:bookmarkEnd w:id="53"/>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0"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13a-14(a)/15d-14(a) AS ADOPTED PURSUANT TO SECTION 302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Linda S. Huber, certify that:</w:t>
      </w:r>
    </w:p>
    <w:p>
      <w:pPr>
        <w:spacing w:after="0" w:line="185" w:lineRule="exact"/>
        <w:rPr>
          <w:sz w:val="20"/>
          <w:szCs w:val="20"/>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FactSet Research Systems Inc.;</w:t>
      </w:r>
    </w:p>
    <w:p>
      <w:pPr>
        <w:spacing w:after="0" w:line="198"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ind w:left="980" w:hanging="486"/>
        <w:spacing w:after="0" w:line="282" w:lineRule="auto"/>
        <w:tabs>
          <w:tab w:leader="none" w:pos="96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6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any significant role in the registrant’s internal control over financial reporting.</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January 5, 2023</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LINDA S.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4461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Linda S. Huber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062"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FactSet Research Systems Inc. (the “Company”) on Form 10-Q for the quarter ended November 30, 2022, as filed with the Securities and Exchange Commission on the date hereof (the “Report”), I, F. Philip Snow, do hereby certify, pursuant to 18 U.S.C. §1350, as adopted pursuant to §906 of the Sarbanes-Oxley Act of 2002, that:</w:t>
      </w:r>
    </w:p>
    <w:p>
      <w:pPr>
        <w:spacing w:after="0" w:line="135"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17145</wp:posOffset>
            </wp:positionV>
            <wp:extent cx="34461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F.Philip Snow</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January 5, 2023</w:t>
      </w:r>
    </w:p>
    <w:p>
      <w:pPr>
        <w:sectPr>
          <w:pgSz w:w="11900" w:h="16838" w:orient="portrait"/>
          <w:cols w:equalWidth="0" w:num="1">
            <w:col w:w="11240"/>
          </w:cols>
          <w:pgMar w:left="320" w:top="88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FactSet Research Systems Inc. (the “Company”) on Form 10-Q for the quarter ended November 30, 2022, as filed with the Securities and Exchange Commission on the date hereof (the “Report”), I, Linda S. Huber, do hereby certify, pursuant to 18 U.S.C. §1350, as adopted pursuant to §906 of the Sarbanes-Oxley Act of 2002, that:</w:t>
      </w:r>
    </w:p>
    <w:p>
      <w:pPr>
        <w:spacing w:after="0" w:line="135"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 LINDA S.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34461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Linda S. Huber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January 5, 2023</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endash "/>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lowerRoman"/>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2023-01-05T07:04:23Z</dcterms:created>
  <dcterms:modified xsi:type="dcterms:W3CDTF">2023-01-05T07:04:23Z</dcterms:modified>
</cp:coreProperties>
</file>