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19" w:lineRule="exact"/>
        <w:rPr>
          <w:sz w:val="24"/>
          <w:szCs w:val="24"/>
          <w:color w:val="auto"/>
        </w:rPr>
      </w:pPr>
    </w:p>
    <w:p>
      <w:pPr>
        <w:ind w:left="460" w:hanging="434"/>
        <w:spacing w:after="0"/>
        <w:tabs>
          <w:tab w:leader="none" w:pos="460" w:val="left"/>
        </w:tabs>
        <w:numPr>
          <w:ilvl w:val="0"/>
          <w:numId w:val="1"/>
        </w:numPr>
        <w:rPr>
          <w:rFonts w:ascii="Arial" w:cs="Arial" w:eastAsia="Arial" w:hAnsi="Arial"/>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February 28, 2022</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900" w:right="1620" w:hanging="3874"/>
        <w:spacing w:after="0" w:line="391" w:lineRule="auto"/>
        <w:tabs>
          <w:tab w:leader="none" w:pos="458"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______to ______</w:t>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1-11869</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FACTSET RESEARCH SYSTEMS INC.</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1414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tbl>
      <w:tblPr>
        <w:tblLayout w:type="fixed"/>
        <w:tblInd w:w="1240" w:type="dxa"/>
        <w:tblCellMar>
          <w:top w:w="0" w:type="dxa"/>
          <w:left w:w="0" w:type="dxa"/>
          <w:bottom w:w="0" w:type="dxa"/>
          <w:right w:w="0" w:type="dxa"/>
        </w:tblCellMar>
      </w:tblPr>
      <w:tr>
        <w:trPr>
          <w:trHeight w:val="210"/>
        </w:trPr>
        <w:tc>
          <w:tcPr>
            <w:tcW w:w="6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tc>
        <w:tc>
          <w:tcPr>
            <w:tcW w:w="1400" w:type="dxa"/>
            <w:vAlign w:val="bottom"/>
          </w:tcPr>
          <w:p>
            <w:pPr>
              <w:spacing w:after="0"/>
              <w:rPr>
                <w:sz w:val="18"/>
                <w:szCs w:val="18"/>
                <w:color w:val="auto"/>
              </w:rPr>
            </w:pPr>
          </w:p>
        </w:tc>
      </w:tr>
      <w:tr>
        <w:trPr>
          <w:trHeight w:val="244"/>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13-3362547</w:t>
            </w:r>
          </w:p>
        </w:tc>
      </w:tr>
      <w:tr>
        <w:trPr>
          <w:trHeight w:val="180"/>
        </w:trPr>
        <w:tc>
          <w:tcPr>
            <w:tcW w:w="6440" w:type="dxa"/>
            <w:vAlign w:val="bottom"/>
          </w:tcPr>
          <w:p>
            <w:pPr>
              <w:jc w:val="center"/>
              <w:ind w:right="3232"/>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rPr>
              <w:t>incorporation)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6"/>
        </w:trPr>
        <w:tc>
          <w:tcPr>
            <w:tcW w:w="6440" w:type="dxa"/>
            <w:vAlign w:val="bottom"/>
          </w:tcPr>
          <w:p>
            <w:pPr>
              <w:jc w:val="center"/>
              <w:ind w:right="3212"/>
              <w:spacing w:after="0"/>
              <w:rPr>
                <w:sz w:val="20"/>
                <w:szCs w:val="20"/>
                <w:color w:val="auto"/>
              </w:rPr>
            </w:pPr>
            <w:r>
              <w:rPr>
                <w:rFonts w:ascii="Times New Roman" w:cs="Times New Roman" w:eastAsia="Times New Roman" w:hAnsi="Times New Roman"/>
                <w:sz w:val="18"/>
                <w:szCs w:val="18"/>
                <w:b w:val="1"/>
                <w:bCs w:val="1"/>
                <w:color w:val="auto"/>
                <w:w w:val="99"/>
              </w:rPr>
              <w:t>45 Glover Avenue, Norwalk, Connecticut</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06850</w:t>
            </w:r>
          </w:p>
        </w:tc>
      </w:tr>
      <w:tr>
        <w:trPr>
          <w:trHeight w:val="257"/>
        </w:trPr>
        <w:tc>
          <w:tcPr>
            <w:tcW w:w="6440" w:type="dxa"/>
            <w:vAlign w:val="bottom"/>
          </w:tcPr>
          <w:p>
            <w:pPr>
              <w:jc w:val="center"/>
              <w:ind w:right="3212"/>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810-1000</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FDS</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LLC</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tcPr>
          <w:p>
            <w:pPr>
              <w:spacing w:after="0"/>
              <w:rPr>
                <w:sz w:val="9"/>
                <w:szCs w:val="9"/>
                <w:color w:val="auto"/>
              </w:rPr>
            </w:pPr>
          </w:p>
        </w:tc>
        <w:tc>
          <w:tcPr>
            <w:tcW w:w="2960" w:type="dxa"/>
            <w:vAlign w:val="bottom"/>
            <w:tcBorders>
              <w:right w:val="single" w:sz="8" w:color="auto"/>
            </w:tcBorders>
            <w:vMerge w:val="continue"/>
          </w:tcPr>
          <w:p>
            <w:pPr>
              <w:spacing w:after="0"/>
              <w:rPr>
                <w:sz w:val="9"/>
                <w:szCs w:val="9"/>
                <w:color w:val="auto"/>
              </w:rPr>
            </w:pPr>
          </w:p>
        </w:tc>
        <w:tc>
          <w:tcPr>
            <w:tcW w:w="4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42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72"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72"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8"/>
          <w:szCs w:val="18"/>
          <w:b w:val="1"/>
          <w:bCs w:val="1"/>
          <w:color w:val="auto"/>
        </w:rPr>
        <w:t xml:space="preserve">Large accelerated filer </w:t>
      </w:r>
      <w:r>
        <w:rPr>
          <w:rFonts w:ascii="Arial" w:cs="Arial" w:eastAsia="Arial" w:hAnsi="Arial"/>
          <w:sz w:val="18"/>
          <w:szCs w:val="18"/>
          <w:color w:val="auto"/>
        </w:rPr>
        <w:t>x</w:t>
      </w:r>
      <w:r>
        <w:rPr>
          <w:rFonts w:ascii="Times New Roman" w:cs="Times New Roman" w:eastAsia="Times New Roman" w:hAnsi="Times New Roman"/>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91"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34"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Arial" w:cs="Arial" w:eastAsia="Arial" w:hAnsi="Arial"/>
          <w:sz w:val="18"/>
          <w:szCs w:val="18"/>
          <w:color w:val="auto"/>
        </w:rPr>
        <w:t>x</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$.01 par value, as of March 28, 2022 was 37,896,579.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3"/>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highlight w:val="white"/>
                </w:rPr>
                <w:t>Contents</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9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10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9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Quarter Ended February 28, 2022</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9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00" w:type="dxa"/>
            <w:vAlign w:val="bottom"/>
            <w:gridSpan w:val="2"/>
            <w:vMerge w:val="restart"/>
          </w:tcPr>
          <w:p>
            <w:pPr>
              <w:ind w:left="20"/>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Part I</w:t>
              </w:r>
            </w:hyperlink>
          </w:p>
        </w:tc>
        <w:tc>
          <w:tcPr>
            <w:tcW w:w="9700" w:type="dxa"/>
            <w:vAlign w:val="bottom"/>
            <w:vMerge w:val="restart"/>
          </w:tcPr>
          <w:p>
            <w:pPr>
              <w:ind w:left="60"/>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FINANCIAL INFORMATION</w:t>
              </w:r>
            </w:hyperlink>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9"/>
        </w:trPr>
        <w:tc>
          <w:tcPr>
            <w:tcW w:w="900" w:type="dxa"/>
            <w:vAlign w:val="bottom"/>
            <w:gridSpan w:val="2"/>
            <w:vMerge w:val="continue"/>
          </w:tcPr>
          <w:p>
            <w:pPr>
              <w:spacing w:after="0"/>
              <w:rPr>
                <w:sz w:val="18"/>
                <w:szCs w:val="18"/>
                <w:color w:val="auto"/>
              </w:rPr>
            </w:pPr>
          </w:p>
        </w:tc>
        <w:tc>
          <w:tcPr>
            <w:tcW w:w="97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gridSpan w:val="2"/>
            <w:shd w:val="clear" w:color="auto" w:fill="CCEEFF"/>
          </w:tcPr>
          <w:p>
            <w:pPr>
              <w:ind w:left="2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Item 1.</w:t>
              </w:r>
            </w:hyperlink>
          </w:p>
        </w:tc>
        <w:tc>
          <w:tcPr>
            <w:tcW w:w="9700" w:type="dxa"/>
            <w:vAlign w:val="bottom"/>
            <w:shd w:val="clear" w:color="auto" w:fill="CCEEFF"/>
          </w:tcPr>
          <w:p>
            <w:pPr>
              <w:ind w:left="6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Financial Statements</w:t>
              </w:r>
            </w:hyperlink>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700" w:type="dxa"/>
            <w:vAlign w:val="bottom"/>
          </w:tcPr>
          <w:p>
            <w:pPr>
              <w:ind w:left="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 xml:space="preserve">Consolidated Statements of Income for the </w:t>
              </w:r>
            </w:hyperlink>
            <w:r>
              <w:rPr>
                <w:rFonts w:ascii="Times New Roman" w:cs="Times New Roman" w:eastAsia="Times New Roman" w:hAnsi="Times New Roman"/>
                <w:sz w:val="18"/>
                <w:szCs w:val="18"/>
                <w:color w:val="auto"/>
              </w:rPr>
              <w:t xml:space="preserve">three and six </w:t>
            </w:r>
            <w:hyperlink w:anchor="page4">
              <w:r>
                <w:rPr>
                  <w:rFonts w:ascii="Times New Roman" w:cs="Times New Roman" w:eastAsia="Times New Roman" w:hAnsi="Times New Roman"/>
                  <w:sz w:val="18"/>
                  <w:szCs w:val="18"/>
                  <w:color w:val="auto"/>
                </w:rPr>
                <w:t xml:space="preserve">months ended </w:t>
              </w:r>
            </w:hyperlink>
            <w:r>
              <w:rPr>
                <w:rFonts w:ascii="Times New Roman" w:cs="Times New Roman" w:eastAsia="Times New Roman" w:hAnsi="Times New Roman"/>
                <w:sz w:val="18"/>
                <w:szCs w:val="18"/>
                <w:color w:val="auto"/>
              </w:rPr>
              <w:t xml:space="preserve">February 28, 2022 </w:t>
            </w:r>
            <w:hyperlink w:anchor="page4">
              <w:r>
                <w:rPr>
                  <w:rFonts w:ascii="Times New Roman" w:cs="Times New Roman" w:eastAsia="Times New Roman" w:hAnsi="Times New Roman"/>
                  <w:sz w:val="18"/>
                  <w:szCs w:val="18"/>
                  <w:color w:val="auto"/>
                </w:rPr>
                <w:t xml:space="preserve">and </w:t>
              </w:r>
            </w:hyperlink>
            <w:r>
              <w:rPr>
                <w:rFonts w:ascii="Times New Roman" w:cs="Times New Roman" w:eastAsia="Times New Roman" w:hAnsi="Times New Roman"/>
                <w:sz w:val="18"/>
                <w:szCs w:val="18"/>
                <w:color w:val="auto"/>
              </w:rPr>
              <w:t>2021</w:t>
            </w:r>
          </w:p>
        </w:tc>
        <w:tc>
          <w:tcPr>
            <w:tcW w:w="640" w:type="dxa"/>
            <w:vAlign w:val="bottom"/>
          </w:tcPr>
          <w:p>
            <w:pPr>
              <w:jc w:val="center"/>
              <w:spacing w:after="0"/>
              <w:rPr>
                <w:rFonts w:ascii="Times New Roman" w:cs="Times New Roman" w:eastAsia="Times New Roman" w:hAnsi="Times New Roman"/>
                <w:sz w:val="18"/>
                <w:szCs w:val="18"/>
                <w:color w:val="auto"/>
                <w:w w:val="88"/>
              </w:rPr>
            </w:pPr>
            <w:hyperlink w:anchor="page4">
              <w:r>
                <w:rPr>
                  <w:rFonts w:ascii="Times New Roman" w:cs="Times New Roman" w:eastAsia="Times New Roman" w:hAnsi="Times New Roman"/>
                  <w:sz w:val="18"/>
                  <w:szCs w:val="18"/>
                  <w:color w:val="auto"/>
                  <w:w w:val="88"/>
                </w:rPr>
                <w:t>4</w:t>
              </w:r>
            </w:hyperlink>
          </w:p>
        </w:tc>
        <w:tc>
          <w:tcPr>
            <w:tcW w:w="0" w:type="dxa"/>
            <w:vAlign w:val="bottom"/>
          </w:tcPr>
          <w:p>
            <w:pPr>
              <w:spacing w:after="0"/>
              <w:rPr>
                <w:sz w:val="1"/>
                <w:szCs w:val="1"/>
                <w:color w:val="auto"/>
              </w:rPr>
            </w:pPr>
          </w:p>
        </w:tc>
      </w:tr>
      <w:tr>
        <w:trPr>
          <w:trHeight w:val="230"/>
        </w:trPr>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700" w:type="dxa"/>
            <w:vAlign w:val="bottom"/>
            <w:shd w:val="clear" w:color="auto" w:fill="CCEEFF"/>
          </w:tcPr>
          <w:p>
            <w:pPr>
              <w:ind w:left="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 xml:space="preserve">Consolidated Statements of Comprehensive Income for the </w:t>
              </w:r>
            </w:hyperlink>
            <w:r>
              <w:rPr>
                <w:rFonts w:ascii="Times New Roman" w:cs="Times New Roman" w:eastAsia="Times New Roman" w:hAnsi="Times New Roman"/>
                <w:sz w:val="18"/>
                <w:szCs w:val="18"/>
                <w:color w:val="auto"/>
              </w:rPr>
              <w:t>three and six months ended February 28, 2022 and 2021</w:t>
            </w:r>
          </w:p>
        </w:tc>
        <w:tc>
          <w:tcPr>
            <w:tcW w:w="640" w:type="dxa"/>
            <w:vAlign w:val="bottom"/>
            <w:shd w:val="clear" w:color="auto" w:fill="CCEEFF"/>
          </w:tcPr>
          <w:p>
            <w:pPr>
              <w:jc w:val="center"/>
              <w:spacing w:after="0"/>
              <w:rPr>
                <w:rFonts w:ascii="Times New Roman" w:cs="Times New Roman" w:eastAsia="Times New Roman" w:hAnsi="Times New Roman"/>
                <w:sz w:val="18"/>
                <w:szCs w:val="18"/>
                <w:color w:val="auto"/>
                <w:w w:val="88"/>
              </w:rPr>
            </w:pPr>
            <w:hyperlink w:anchor="page4">
              <w:r>
                <w:rPr>
                  <w:rFonts w:ascii="Times New Roman" w:cs="Times New Roman" w:eastAsia="Times New Roman" w:hAnsi="Times New Roman"/>
                  <w:sz w:val="18"/>
                  <w:szCs w:val="18"/>
                  <w:color w:val="auto"/>
                  <w:w w:val="88"/>
                </w:rPr>
                <w:t>5</w:t>
              </w:r>
            </w:hyperlink>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700" w:type="dxa"/>
            <w:vAlign w:val="bottom"/>
          </w:tcPr>
          <w:p>
            <w:pPr>
              <w:ind w:left="6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 xml:space="preserve">Consolidated Balance Sheets at </w:t>
              </w:r>
            </w:hyperlink>
            <w:r>
              <w:rPr>
                <w:rFonts w:ascii="Times New Roman" w:cs="Times New Roman" w:eastAsia="Times New Roman" w:hAnsi="Times New Roman"/>
                <w:sz w:val="18"/>
                <w:szCs w:val="18"/>
                <w:color w:val="auto"/>
              </w:rPr>
              <w:t xml:space="preserve">February 28, 2022 </w:t>
            </w:r>
            <w:hyperlink w:anchor="page5">
              <w:r>
                <w:rPr>
                  <w:rFonts w:ascii="Times New Roman" w:cs="Times New Roman" w:eastAsia="Times New Roman" w:hAnsi="Times New Roman"/>
                  <w:sz w:val="18"/>
                  <w:szCs w:val="18"/>
                  <w:color w:val="auto"/>
                </w:rPr>
                <w:t xml:space="preserve">and </w:t>
              </w:r>
            </w:hyperlink>
            <w:r>
              <w:rPr>
                <w:rFonts w:ascii="Times New Roman" w:cs="Times New Roman" w:eastAsia="Times New Roman" w:hAnsi="Times New Roman"/>
                <w:sz w:val="18"/>
                <w:szCs w:val="18"/>
                <w:color w:val="auto"/>
              </w:rPr>
              <w:t>August 31, 2021</w:t>
            </w:r>
          </w:p>
        </w:tc>
        <w:tc>
          <w:tcPr>
            <w:tcW w:w="640" w:type="dxa"/>
            <w:vAlign w:val="bottom"/>
          </w:tcPr>
          <w:p>
            <w:pPr>
              <w:jc w:val="center"/>
              <w:spacing w:after="0"/>
              <w:rPr>
                <w:rFonts w:ascii="Times New Roman" w:cs="Times New Roman" w:eastAsia="Times New Roman" w:hAnsi="Times New Roman"/>
                <w:sz w:val="18"/>
                <w:szCs w:val="18"/>
                <w:color w:val="auto"/>
                <w:w w:val="88"/>
              </w:rPr>
            </w:pPr>
            <w:hyperlink w:anchor="page5">
              <w:r>
                <w:rPr>
                  <w:rFonts w:ascii="Times New Roman" w:cs="Times New Roman" w:eastAsia="Times New Roman" w:hAnsi="Times New Roman"/>
                  <w:sz w:val="18"/>
                  <w:szCs w:val="18"/>
                  <w:color w:val="auto"/>
                  <w:w w:val="88"/>
                </w:rPr>
                <w:t>6</w:t>
              </w:r>
            </w:hyperlink>
          </w:p>
        </w:tc>
        <w:tc>
          <w:tcPr>
            <w:tcW w:w="0" w:type="dxa"/>
            <w:vAlign w:val="bottom"/>
          </w:tcPr>
          <w:p>
            <w:pPr>
              <w:spacing w:after="0"/>
              <w:rPr>
                <w:sz w:val="1"/>
                <w:szCs w:val="1"/>
                <w:color w:val="auto"/>
              </w:rPr>
            </w:pPr>
          </w:p>
        </w:tc>
      </w:tr>
      <w:tr>
        <w:trPr>
          <w:trHeight w:val="229"/>
        </w:trPr>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700" w:type="dxa"/>
            <w:vAlign w:val="bottom"/>
            <w:shd w:val="clear" w:color="auto" w:fill="CCEEFF"/>
          </w:tcPr>
          <w:p>
            <w:pPr>
              <w:ind w:left="60"/>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 xml:space="preserve">Consolidated Statements of Cash Flows for the </w:t>
              </w:r>
            </w:hyperlink>
            <w:r>
              <w:rPr>
                <w:rFonts w:ascii="Times New Roman" w:cs="Times New Roman" w:eastAsia="Times New Roman" w:hAnsi="Times New Roman"/>
                <w:sz w:val="18"/>
                <w:szCs w:val="18"/>
                <w:color w:val="auto"/>
              </w:rPr>
              <w:t xml:space="preserve">six </w:t>
            </w:r>
            <w:hyperlink w:anchor="page4">
              <w:r>
                <w:rPr>
                  <w:rFonts w:ascii="Times New Roman" w:cs="Times New Roman" w:eastAsia="Times New Roman" w:hAnsi="Times New Roman"/>
                  <w:sz w:val="18"/>
                  <w:szCs w:val="18"/>
                  <w:color w:val="auto"/>
                </w:rPr>
                <w:t xml:space="preserve">months ended </w:t>
              </w:r>
            </w:hyperlink>
            <w:r>
              <w:rPr>
                <w:rFonts w:ascii="Times New Roman" w:cs="Times New Roman" w:eastAsia="Times New Roman" w:hAnsi="Times New Roman"/>
                <w:sz w:val="18"/>
                <w:szCs w:val="18"/>
                <w:color w:val="auto"/>
              </w:rPr>
              <w:t xml:space="preserve">February 28, 2022 </w:t>
            </w:r>
            <w:hyperlink w:anchor="page4">
              <w:r>
                <w:rPr>
                  <w:rFonts w:ascii="Times New Roman" w:cs="Times New Roman" w:eastAsia="Times New Roman" w:hAnsi="Times New Roman"/>
                  <w:sz w:val="18"/>
                  <w:szCs w:val="18"/>
                  <w:color w:val="auto"/>
                </w:rPr>
                <w:t xml:space="preserve">and </w:t>
              </w:r>
            </w:hyperlink>
            <w:r>
              <w:rPr>
                <w:rFonts w:ascii="Times New Roman" w:cs="Times New Roman" w:eastAsia="Times New Roman" w:hAnsi="Times New Roman"/>
                <w:sz w:val="18"/>
                <w:szCs w:val="18"/>
                <w:color w:val="auto"/>
              </w:rPr>
              <w:t>2021</w:t>
            </w:r>
          </w:p>
        </w:tc>
        <w:tc>
          <w:tcPr>
            <w:tcW w:w="640" w:type="dxa"/>
            <w:vAlign w:val="bottom"/>
            <w:shd w:val="clear" w:color="auto" w:fill="CCEEFF"/>
          </w:tcPr>
          <w:p>
            <w:pPr>
              <w:jc w:val="center"/>
              <w:spacing w:after="0"/>
              <w:rPr>
                <w:rFonts w:ascii="Times New Roman" w:cs="Times New Roman" w:eastAsia="Times New Roman" w:hAnsi="Times New Roman"/>
                <w:sz w:val="18"/>
                <w:szCs w:val="18"/>
                <w:color w:val="auto"/>
                <w:w w:val="88"/>
              </w:rPr>
            </w:pPr>
            <w:hyperlink w:anchor="page6">
              <w:r>
                <w:rPr>
                  <w:rFonts w:ascii="Times New Roman" w:cs="Times New Roman" w:eastAsia="Times New Roman" w:hAnsi="Times New Roman"/>
                  <w:sz w:val="18"/>
                  <w:szCs w:val="18"/>
                  <w:color w:val="auto"/>
                  <w:w w:val="88"/>
                </w:rPr>
                <w:t>7</w:t>
              </w:r>
            </w:hyperlink>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700" w:type="dxa"/>
            <w:vAlign w:val="bottom"/>
          </w:tcPr>
          <w:p>
            <w:pPr>
              <w:ind w:left="60"/>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 xml:space="preserve">Consolidated Statements of Changes in Stockholders’ Equity for the </w:t>
              </w:r>
            </w:hyperlink>
            <w:r>
              <w:rPr>
                <w:rFonts w:ascii="Times New Roman" w:cs="Times New Roman" w:eastAsia="Times New Roman" w:hAnsi="Times New Roman"/>
                <w:sz w:val="18"/>
                <w:szCs w:val="18"/>
                <w:color w:val="auto"/>
              </w:rPr>
              <w:t xml:space="preserve">three and six </w:t>
            </w:r>
            <w:hyperlink w:anchor="page7">
              <w:r>
                <w:rPr>
                  <w:rFonts w:ascii="Times New Roman" w:cs="Times New Roman" w:eastAsia="Times New Roman" w:hAnsi="Times New Roman"/>
                  <w:sz w:val="18"/>
                  <w:szCs w:val="18"/>
                  <w:color w:val="auto"/>
                </w:rPr>
                <w:t xml:space="preserve">months ended </w:t>
              </w:r>
            </w:hyperlink>
            <w:r>
              <w:rPr>
                <w:rFonts w:ascii="Times New Roman" w:cs="Times New Roman" w:eastAsia="Times New Roman" w:hAnsi="Times New Roman"/>
                <w:sz w:val="18"/>
                <w:szCs w:val="18"/>
                <w:color w:val="auto"/>
              </w:rPr>
              <w:t>February 28, 2022 and 2021</w:t>
            </w:r>
          </w:p>
        </w:tc>
        <w:tc>
          <w:tcPr>
            <w:tcW w:w="640" w:type="dxa"/>
            <w:vAlign w:val="bottom"/>
          </w:tcPr>
          <w:p>
            <w:pPr>
              <w:jc w:val="center"/>
              <w:spacing w:after="0"/>
              <w:rPr>
                <w:rFonts w:ascii="Times New Roman" w:cs="Times New Roman" w:eastAsia="Times New Roman" w:hAnsi="Times New Roman"/>
                <w:sz w:val="18"/>
                <w:szCs w:val="18"/>
                <w:color w:val="auto"/>
                <w:w w:val="88"/>
              </w:rPr>
            </w:pPr>
            <w:hyperlink w:anchor="page7">
              <w:r>
                <w:rPr>
                  <w:rFonts w:ascii="Times New Roman" w:cs="Times New Roman" w:eastAsia="Times New Roman" w:hAnsi="Times New Roman"/>
                  <w:sz w:val="18"/>
                  <w:szCs w:val="18"/>
                  <w:color w:val="auto"/>
                  <w:w w:val="88"/>
                </w:rPr>
                <w:t>8</w:t>
              </w:r>
            </w:hyperlink>
          </w:p>
        </w:tc>
        <w:tc>
          <w:tcPr>
            <w:tcW w:w="0" w:type="dxa"/>
            <w:vAlign w:val="bottom"/>
          </w:tcPr>
          <w:p>
            <w:pPr>
              <w:spacing w:after="0"/>
              <w:rPr>
                <w:sz w:val="1"/>
                <w:szCs w:val="1"/>
                <w:color w:val="auto"/>
              </w:rPr>
            </w:pPr>
          </w:p>
        </w:tc>
      </w:tr>
      <w:tr>
        <w:trPr>
          <w:trHeight w:val="229"/>
        </w:trPr>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700" w:type="dxa"/>
            <w:vAlign w:val="bottom"/>
            <w:shd w:val="clear" w:color="auto" w:fill="CCEEFF"/>
          </w:tcPr>
          <w:p>
            <w:pPr>
              <w:ind w:left="60"/>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Notes to the Consolidated Financial Statements</w:t>
              </w:r>
            </w:hyperlink>
          </w:p>
        </w:tc>
        <w:tc>
          <w:tcPr>
            <w:tcW w:w="640" w:type="dxa"/>
            <w:vAlign w:val="bottom"/>
            <w:shd w:val="clear" w:color="auto" w:fill="CCEEFF"/>
          </w:tcPr>
          <w:p>
            <w:pPr>
              <w:jc w:val="center"/>
              <w:spacing w:after="0"/>
              <w:rPr>
                <w:rFonts w:ascii="Times New Roman" w:cs="Times New Roman" w:eastAsia="Times New Roman" w:hAnsi="Times New Roman"/>
                <w:sz w:val="18"/>
                <w:szCs w:val="18"/>
                <w:color w:val="auto"/>
                <w:w w:val="99"/>
              </w:rPr>
            </w:pPr>
            <w:hyperlink w:anchor="page9">
              <w:r>
                <w:rPr>
                  <w:rFonts w:ascii="Times New Roman" w:cs="Times New Roman" w:eastAsia="Times New Roman" w:hAnsi="Times New Roman"/>
                  <w:sz w:val="18"/>
                  <w:szCs w:val="18"/>
                  <w:color w:val="auto"/>
                  <w:w w:val="99"/>
                </w:rPr>
                <w:t>10</w:t>
              </w:r>
            </w:hyperlink>
          </w:p>
        </w:tc>
        <w:tc>
          <w:tcPr>
            <w:tcW w:w="0" w:type="dxa"/>
            <w:vAlign w:val="bottom"/>
          </w:tcPr>
          <w:p>
            <w:pPr>
              <w:spacing w:after="0"/>
              <w:rPr>
                <w:sz w:val="1"/>
                <w:szCs w:val="1"/>
                <w:color w:val="auto"/>
              </w:rPr>
            </w:pPr>
          </w:p>
        </w:tc>
      </w:tr>
      <w:tr>
        <w:trPr>
          <w:trHeight w:val="229"/>
        </w:trPr>
        <w:tc>
          <w:tcPr>
            <w:tcW w:w="900" w:type="dxa"/>
            <w:vAlign w:val="bottom"/>
            <w:gridSpan w:val="2"/>
          </w:tcPr>
          <w:p>
            <w:pPr>
              <w:ind w:left="2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Item 2.</w:t>
              </w:r>
            </w:hyperlink>
          </w:p>
        </w:tc>
        <w:tc>
          <w:tcPr>
            <w:tcW w:w="9700" w:type="dxa"/>
            <w:vAlign w:val="bottom"/>
          </w:tcPr>
          <w:p>
            <w:pPr>
              <w:ind w:left="6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Management’s Discussion and Analysis of Financial Condition and Results of Operations</w:t>
              </w:r>
            </w:hyperlink>
          </w:p>
        </w:tc>
        <w:tc>
          <w:tcPr>
            <w:tcW w:w="640" w:type="dxa"/>
            <w:vAlign w:val="bottom"/>
          </w:tcPr>
          <w:p>
            <w:pPr>
              <w:jc w:val="center"/>
              <w:spacing w:after="0"/>
              <w:rPr>
                <w:rFonts w:ascii="Times New Roman" w:cs="Times New Roman" w:eastAsia="Times New Roman" w:hAnsi="Times New Roman"/>
                <w:sz w:val="18"/>
                <w:szCs w:val="18"/>
                <w:color w:val="auto"/>
                <w:w w:val="99"/>
              </w:rPr>
            </w:pPr>
            <w:hyperlink w:anchor="page32">
              <w:r>
                <w:rPr>
                  <w:rFonts w:ascii="Times New Roman" w:cs="Times New Roman" w:eastAsia="Times New Roman" w:hAnsi="Times New Roman"/>
                  <w:sz w:val="18"/>
                  <w:szCs w:val="18"/>
                  <w:color w:val="auto"/>
                  <w:w w:val="99"/>
                </w:rPr>
                <w:t>33</w:t>
              </w:r>
            </w:hyperlink>
          </w:p>
        </w:tc>
        <w:tc>
          <w:tcPr>
            <w:tcW w:w="0" w:type="dxa"/>
            <w:vAlign w:val="bottom"/>
          </w:tcPr>
          <w:p>
            <w:pPr>
              <w:spacing w:after="0"/>
              <w:rPr>
                <w:sz w:val="1"/>
                <w:szCs w:val="1"/>
                <w:color w:val="auto"/>
              </w:rPr>
            </w:pPr>
          </w:p>
        </w:tc>
      </w:tr>
      <w:tr>
        <w:trPr>
          <w:trHeight w:val="230"/>
        </w:trPr>
        <w:tc>
          <w:tcPr>
            <w:tcW w:w="900" w:type="dxa"/>
            <w:vAlign w:val="bottom"/>
            <w:gridSpan w:val="2"/>
            <w:shd w:val="clear" w:color="auto" w:fill="CCEEFF"/>
          </w:tcPr>
          <w:p>
            <w:pPr>
              <w:ind w:left="20"/>
              <w:spacing w:after="0"/>
              <w:rPr>
                <w:rFonts w:ascii="Times New Roman" w:cs="Times New Roman" w:eastAsia="Times New Roman" w:hAnsi="Times New Roman"/>
                <w:sz w:val="18"/>
                <w:szCs w:val="18"/>
                <w:color w:val="auto"/>
              </w:rPr>
            </w:pPr>
            <w:hyperlink w:anchor="page50">
              <w:r>
                <w:rPr>
                  <w:rFonts w:ascii="Times New Roman" w:cs="Times New Roman" w:eastAsia="Times New Roman" w:hAnsi="Times New Roman"/>
                  <w:sz w:val="18"/>
                  <w:szCs w:val="18"/>
                  <w:color w:val="auto"/>
                </w:rPr>
                <w:t>Item 3.</w:t>
              </w:r>
            </w:hyperlink>
          </w:p>
        </w:tc>
        <w:tc>
          <w:tcPr>
            <w:tcW w:w="9700" w:type="dxa"/>
            <w:vAlign w:val="bottom"/>
            <w:shd w:val="clear" w:color="auto" w:fill="CCEEFF"/>
          </w:tcPr>
          <w:p>
            <w:pPr>
              <w:ind w:left="60"/>
              <w:spacing w:after="0"/>
              <w:rPr>
                <w:rFonts w:ascii="Times New Roman" w:cs="Times New Roman" w:eastAsia="Times New Roman" w:hAnsi="Times New Roman"/>
                <w:sz w:val="18"/>
                <w:szCs w:val="18"/>
                <w:color w:val="auto"/>
              </w:rPr>
            </w:pPr>
            <w:hyperlink w:anchor="page50">
              <w:r>
                <w:rPr>
                  <w:rFonts w:ascii="Times New Roman" w:cs="Times New Roman" w:eastAsia="Times New Roman" w:hAnsi="Times New Roman"/>
                  <w:sz w:val="18"/>
                  <w:szCs w:val="18"/>
                  <w:color w:val="auto"/>
                </w:rPr>
                <w:t>Quantitative and Qualitative Disclosures About Market Risk</w:t>
              </w:r>
            </w:hyperlink>
          </w:p>
        </w:tc>
        <w:tc>
          <w:tcPr>
            <w:tcW w:w="640" w:type="dxa"/>
            <w:vAlign w:val="bottom"/>
            <w:shd w:val="clear" w:color="auto" w:fill="CCEEFF"/>
          </w:tcPr>
          <w:p>
            <w:pPr>
              <w:jc w:val="center"/>
              <w:spacing w:after="0"/>
              <w:rPr>
                <w:rFonts w:ascii="Times New Roman" w:cs="Times New Roman" w:eastAsia="Times New Roman" w:hAnsi="Times New Roman"/>
                <w:sz w:val="18"/>
                <w:szCs w:val="18"/>
                <w:color w:val="auto"/>
                <w:w w:val="99"/>
              </w:rPr>
            </w:pPr>
            <w:hyperlink w:anchor="page50">
              <w:r>
                <w:rPr>
                  <w:rFonts w:ascii="Times New Roman" w:cs="Times New Roman" w:eastAsia="Times New Roman" w:hAnsi="Times New Roman"/>
                  <w:sz w:val="18"/>
                  <w:szCs w:val="18"/>
                  <w:color w:val="auto"/>
                  <w:w w:val="99"/>
                </w:rPr>
                <w:t>50</w:t>
              </w:r>
            </w:hyperlink>
          </w:p>
        </w:tc>
        <w:tc>
          <w:tcPr>
            <w:tcW w:w="0" w:type="dxa"/>
            <w:vAlign w:val="bottom"/>
          </w:tcPr>
          <w:p>
            <w:pPr>
              <w:spacing w:after="0"/>
              <w:rPr>
                <w:sz w:val="1"/>
                <w:szCs w:val="1"/>
                <w:color w:val="auto"/>
              </w:rPr>
            </w:pPr>
          </w:p>
        </w:tc>
      </w:tr>
      <w:tr>
        <w:trPr>
          <w:trHeight w:val="229"/>
        </w:trPr>
        <w:tc>
          <w:tcPr>
            <w:tcW w:w="900" w:type="dxa"/>
            <w:vAlign w:val="bottom"/>
            <w:gridSpan w:val="2"/>
          </w:tcPr>
          <w:p>
            <w:pPr>
              <w:ind w:left="20"/>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Item 4.</w:t>
              </w:r>
            </w:hyperlink>
          </w:p>
        </w:tc>
        <w:tc>
          <w:tcPr>
            <w:tcW w:w="9700" w:type="dxa"/>
            <w:vAlign w:val="bottom"/>
          </w:tcPr>
          <w:p>
            <w:pPr>
              <w:ind w:left="60"/>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Controls and Procedures</w:t>
              </w:r>
            </w:hyperlink>
          </w:p>
        </w:tc>
        <w:tc>
          <w:tcPr>
            <w:tcW w:w="640" w:type="dxa"/>
            <w:vAlign w:val="bottom"/>
          </w:tcPr>
          <w:p>
            <w:pPr>
              <w:jc w:val="center"/>
              <w:spacing w:after="0"/>
              <w:rPr>
                <w:rFonts w:ascii="Times New Roman" w:cs="Times New Roman" w:eastAsia="Times New Roman" w:hAnsi="Times New Roman"/>
                <w:sz w:val="18"/>
                <w:szCs w:val="18"/>
                <w:color w:val="auto"/>
                <w:w w:val="99"/>
              </w:rPr>
            </w:pPr>
            <w:hyperlink w:anchor="page52">
              <w:r>
                <w:rPr>
                  <w:rFonts w:ascii="Times New Roman" w:cs="Times New Roman" w:eastAsia="Times New Roman" w:hAnsi="Times New Roman"/>
                  <w:sz w:val="18"/>
                  <w:szCs w:val="18"/>
                  <w:color w:val="auto"/>
                  <w:w w:val="99"/>
                </w:rPr>
                <w:t>52</w:t>
              </w:r>
            </w:hyperlink>
          </w:p>
        </w:tc>
        <w:tc>
          <w:tcPr>
            <w:tcW w:w="0" w:type="dxa"/>
            <w:vAlign w:val="bottom"/>
          </w:tcPr>
          <w:p>
            <w:pPr>
              <w:spacing w:after="0"/>
              <w:rPr>
                <w:sz w:val="1"/>
                <w:szCs w:val="1"/>
                <w:color w:val="auto"/>
              </w:rPr>
            </w:pPr>
          </w:p>
        </w:tc>
      </w:tr>
      <w:tr>
        <w:trPr>
          <w:trHeight w:val="230"/>
        </w:trPr>
        <w:tc>
          <w:tcPr>
            <w:tcW w:w="900" w:type="dxa"/>
            <w:vAlign w:val="bottom"/>
            <w:gridSpan w:val="2"/>
            <w:shd w:val="clear" w:color="auto" w:fill="CCEEFF"/>
          </w:tcPr>
          <w:p>
            <w:pPr>
              <w:ind w:left="20"/>
              <w:spacing w:after="0"/>
              <w:rPr>
                <w:rFonts w:ascii="Times New Roman" w:cs="Times New Roman" w:eastAsia="Times New Roman" w:hAnsi="Times New Roman"/>
                <w:sz w:val="18"/>
                <w:szCs w:val="18"/>
                <w:b w:val="1"/>
                <w:bCs w:val="1"/>
                <w:color w:val="auto"/>
              </w:rPr>
            </w:pPr>
            <w:hyperlink w:anchor="page52">
              <w:r>
                <w:rPr>
                  <w:rFonts w:ascii="Times New Roman" w:cs="Times New Roman" w:eastAsia="Times New Roman" w:hAnsi="Times New Roman"/>
                  <w:sz w:val="18"/>
                  <w:szCs w:val="18"/>
                  <w:b w:val="1"/>
                  <w:bCs w:val="1"/>
                  <w:color w:val="auto"/>
                </w:rPr>
                <w:t>Part II</w:t>
              </w:r>
            </w:hyperlink>
          </w:p>
        </w:tc>
        <w:tc>
          <w:tcPr>
            <w:tcW w:w="9700" w:type="dxa"/>
            <w:vAlign w:val="bottom"/>
            <w:shd w:val="clear" w:color="auto" w:fill="CCEEFF"/>
          </w:tcPr>
          <w:p>
            <w:pPr>
              <w:ind w:left="60"/>
              <w:spacing w:after="0"/>
              <w:rPr>
                <w:rFonts w:ascii="Times New Roman" w:cs="Times New Roman" w:eastAsia="Times New Roman" w:hAnsi="Times New Roman"/>
                <w:sz w:val="18"/>
                <w:szCs w:val="18"/>
                <w:b w:val="1"/>
                <w:bCs w:val="1"/>
                <w:color w:val="auto"/>
              </w:rPr>
            </w:pPr>
            <w:hyperlink w:anchor="page52">
              <w:r>
                <w:rPr>
                  <w:rFonts w:ascii="Times New Roman" w:cs="Times New Roman" w:eastAsia="Times New Roman" w:hAnsi="Times New Roman"/>
                  <w:sz w:val="18"/>
                  <w:szCs w:val="18"/>
                  <w:b w:val="1"/>
                  <w:bCs w:val="1"/>
                  <w:color w:val="auto"/>
                </w:rPr>
                <w:t>OTHER INFORMATION</w:t>
              </w:r>
            </w:hyperlink>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gridSpan w:val="2"/>
          </w:tcPr>
          <w:p>
            <w:pPr>
              <w:ind w:left="20"/>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Item 1.</w:t>
              </w:r>
            </w:hyperlink>
          </w:p>
        </w:tc>
        <w:tc>
          <w:tcPr>
            <w:tcW w:w="9700" w:type="dxa"/>
            <w:vAlign w:val="bottom"/>
          </w:tcPr>
          <w:p>
            <w:pPr>
              <w:ind w:left="60"/>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Legal Proceedings</w:t>
              </w:r>
            </w:hyperlink>
          </w:p>
        </w:tc>
        <w:tc>
          <w:tcPr>
            <w:tcW w:w="640" w:type="dxa"/>
            <w:vAlign w:val="bottom"/>
          </w:tcPr>
          <w:p>
            <w:pPr>
              <w:jc w:val="center"/>
              <w:spacing w:after="0"/>
              <w:rPr>
                <w:rFonts w:ascii="Times New Roman" w:cs="Times New Roman" w:eastAsia="Times New Roman" w:hAnsi="Times New Roman"/>
                <w:sz w:val="18"/>
                <w:szCs w:val="18"/>
                <w:color w:val="auto"/>
                <w:w w:val="99"/>
              </w:rPr>
            </w:pPr>
            <w:hyperlink w:anchor="page52">
              <w:r>
                <w:rPr>
                  <w:rFonts w:ascii="Times New Roman" w:cs="Times New Roman" w:eastAsia="Times New Roman" w:hAnsi="Times New Roman"/>
                  <w:sz w:val="18"/>
                  <w:szCs w:val="18"/>
                  <w:color w:val="auto"/>
                  <w:w w:val="99"/>
                </w:rPr>
                <w:t>52</w:t>
              </w:r>
            </w:hyperlink>
          </w:p>
        </w:tc>
        <w:tc>
          <w:tcPr>
            <w:tcW w:w="0" w:type="dxa"/>
            <w:vAlign w:val="bottom"/>
          </w:tcPr>
          <w:p>
            <w:pPr>
              <w:spacing w:after="0"/>
              <w:rPr>
                <w:sz w:val="1"/>
                <w:szCs w:val="1"/>
                <w:color w:val="auto"/>
              </w:rPr>
            </w:pPr>
          </w:p>
        </w:tc>
      </w:tr>
      <w:tr>
        <w:trPr>
          <w:trHeight w:val="229"/>
        </w:trPr>
        <w:tc>
          <w:tcPr>
            <w:tcW w:w="900" w:type="dxa"/>
            <w:vAlign w:val="bottom"/>
            <w:gridSpan w:val="2"/>
            <w:shd w:val="clear" w:color="auto" w:fill="CCEEFF"/>
          </w:tcPr>
          <w:p>
            <w:pPr>
              <w:ind w:left="20"/>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Item 1A.</w:t>
              </w:r>
            </w:hyperlink>
          </w:p>
        </w:tc>
        <w:tc>
          <w:tcPr>
            <w:tcW w:w="9700" w:type="dxa"/>
            <w:vAlign w:val="bottom"/>
            <w:shd w:val="clear" w:color="auto" w:fill="CCEEFF"/>
          </w:tcPr>
          <w:p>
            <w:pPr>
              <w:ind w:left="60"/>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Risk Factors</w:t>
              </w:r>
            </w:hyperlink>
          </w:p>
        </w:tc>
        <w:tc>
          <w:tcPr>
            <w:tcW w:w="640" w:type="dxa"/>
            <w:vAlign w:val="bottom"/>
            <w:shd w:val="clear" w:color="auto" w:fill="CCEEFF"/>
          </w:tcPr>
          <w:p>
            <w:pPr>
              <w:jc w:val="center"/>
              <w:spacing w:after="0"/>
              <w:rPr>
                <w:rFonts w:ascii="Times New Roman" w:cs="Times New Roman" w:eastAsia="Times New Roman" w:hAnsi="Times New Roman"/>
                <w:sz w:val="18"/>
                <w:szCs w:val="18"/>
                <w:color w:val="auto"/>
                <w:w w:val="99"/>
              </w:rPr>
            </w:pPr>
            <w:hyperlink w:anchor="page52">
              <w:r>
                <w:rPr>
                  <w:rFonts w:ascii="Times New Roman" w:cs="Times New Roman" w:eastAsia="Times New Roman" w:hAnsi="Times New Roman"/>
                  <w:sz w:val="18"/>
                  <w:szCs w:val="18"/>
                  <w:color w:val="auto"/>
                  <w:w w:val="99"/>
                </w:rPr>
                <w:t>52</w:t>
              </w:r>
            </w:hyperlink>
          </w:p>
        </w:tc>
        <w:tc>
          <w:tcPr>
            <w:tcW w:w="0" w:type="dxa"/>
            <w:vAlign w:val="bottom"/>
          </w:tcPr>
          <w:p>
            <w:pPr>
              <w:spacing w:after="0"/>
              <w:rPr>
                <w:sz w:val="1"/>
                <w:szCs w:val="1"/>
                <w:color w:val="auto"/>
              </w:rPr>
            </w:pPr>
          </w:p>
        </w:tc>
      </w:tr>
      <w:tr>
        <w:trPr>
          <w:trHeight w:val="230"/>
        </w:trPr>
        <w:tc>
          <w:tcPr>
            <w:tcW w:w="900" w:type="dxa"/>
            <w:vAlign w:val="bottom"/>
            <w:gridSpan w:val="2"/>
          </w:tcPr>
          <w:p>
            <w:pPr>
              <w:ind w:left="20"/>
              <w:spacing w:after="0"/>
              <w:rPr>
                <w:rFonts w:ascii="Times New Roman" w:cs="Times New Roman" w:eastAsia="Times New Roman" w:hAnsi="Times New Roman"/>
                <w:sz w:val="18"/>
                <w:szCs w:val="18"/>
                <w:color w:val="auto"/>
              </w:rPr>
            </w:pPr>
            <w:hyperlink w:anchor="page54">
              <w:r>
                <w:rPr>
                  <w:rFonts w:ascii="Times New Roman" w:cs="Times New Roman" w:eastAsia="Times New Roman" w:hAnsi="Times New Roman"/>
                  <w:sz w:val="18"/>
                  <w:szCs w:val="18"/>
                  <w:color w:val="auto"/>
                </w:rPr>
                <w:t>Item 2.</w:t>
              </w:r>
            </w:hyperlink>
          </w:p>
        </w:tc>
        <w:tc>
          <w:tcPr>
            <w:tcW w:w="9700" w:type="dxa"/>
            <w:vAlign w:val="bottom"/>
          </w:tcPr>
          <w:p>
            <w:pPr>
              <w:ind w:left="60"/>
              <w:spacing w:after="0"/>
              <w:rPr>
                <w:rFonts w:ascii="Times New Roman" w:cs="Times New Roman" w:eastAsia="Times New Roman" w:hAnsi="Times New Roman"/>
                <w:sz w:val="18"/>
                <w:szCs w:val="18"/>
                <w:color w:val="auto"/>
              </w:rPr>
            </w:pPr>
            <w:hyperlink w:anchor="page54">
              <w:r>
                <w:rPr>
                  <w:rFonts w:ascii="Times New Roman" w:cs="Times New Roman" w:eastAsia="Times New Roman" w:hAnsi="Times New Roman"/>
                  <w:sz w:val="18"/>
                  <w:szCs w:val="18"/>
                  <w:color w:val="auto"/>
                </w:rPr>
                <w:t>Unregistered Sales of Equity Securities and Use of Proceeds</w:t>
              </w:r>
            </w:hyperlink>
          </w:p>
        </w:tc>
        <w:tc>
          <w:tcPr>
            <w:tcW w:w="640" w:type="dxa"/>
            <w:vAlign w:val="bottom"/>
          </w:tcPr>
          <w:p>
            <w:pPr>
              <w:jc w:val="center"/>
              <w:spacing w:after="0"/>
              <w:rPr>
                <w:rFonts w:ascii="Times New Roman" w:cs="Times New Roman" w:eastAsia="Times New Roman" w:hAnsi="Times New Roman"/>
                <w:sz w:val="18"/>
                <w:szCs w:val="18"/>
                <w:color w:val="auto"/>
                <w:w w:val="99"/>
              </w:rPr>
            </w:pPr>
            <w:hyperlink w:anchor="page54">
              <w:r>
                <w:rPr>
                  <w:rFonts w:ascii="Times New Roman" w:cs="Times New Roman" w:eastAsia="Times New Roman" w:hAnsi="Times New Roman"/>
                  <w:sz w:val="18"/>
                  <w:szCs w:val="18"/>
                  <w:color w:val="auto"/>
                  <w:w w:val="99"/>
                </w:rPr>
                <w:t>53</w:t>
              </w:r>
            </w:hyperlink>
          </w:p>
        </w:tc>
        <w:tc>
          <w:tcPr>
            <w:tcW w:w="0" w:type="dxa"/>
            <w:vAlign w:val="bottom"/>
          </w:tcPr>
          <w:p>
            <w:pPr>
              <w:spacing w:after="0"/>
              <w:rPr>
                <w:sz w:val="1"/>
                <w:szCs w:val="1"/>
                <w:color w:val="auto"/>
              </w:rPr>
            </w:pPr>
          </w:p>
        </w:tc>
      </w:tr>
      <w:tr>
        <w:trPr>
          <w:trHeight w:val="229"/>
        </w:trPr>
        <w:tc>
          <w:tcPr>
            <w:tcW w:w="900" w:type="dxa"/>
            <w:vAlign w:val="bottom"/>
            <w:gridSpan w:val="2"/>
            <w:shd w:val="clear" w:color="auto" w:fill="CCEEFF"/>
          </w:tcPr>
          <w:p>
            <w:pPr>
              <w:ind w:left="20"/>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Item 3.</w:t>
              </w:r>
            </w:hyperlink>
          </w:p>
        </w:tc>
        <w:tc>
          <w:tcPr>
            <w:tcW w:w="9700" w:type="dxa"/>
            <w:vAlign w:val="bottom"/>
            <w:shd w:val="clear" w:color="auto" w:fill="CCEEFF"/>
          </w:tcPr>
          <w:p>
            <w:pPr>
              <w:ind w:left="60"/>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Defaults Upon Senior Securities</w:t>
              </w:r>
            </w:hyperlink>
          </w:p>
        </w:tc>
        <w:tc>
          <w:tcPr>
            <w:tcW w:w="640" w:type="dxa"/>
            <w:vAlign w:val="bottom"/>
            <w:shd w:val="clear" w:color="auto" w:fill="CCEEFF"/>
          </w:tcPr>
          <w:p>
            <w:pPr>
              <w:jc w:val="center"/>
              <w:spacing w:after="0"/>
              <w:rPr>
                <w:rFonts w:ascii="Times New Roman" w:cs="Times New Roman" w:eastAsia="Times New Roman" w:hAnsi="Times New Roman"/>
                <w:sz w:val="18"/>
                <w:szCs w:val="18"/>
                <w:color w:val="auto"/>
                <w:w w:val="99"/>
              </w:rPr>
            </w:pPr>
            <w:hyperlink w:anchor="page55">
              <w:r>
                <w:rPr>
                  <w:rFonts w:ascii="Times New Roman" w:cs="Times New Roman" w:eastAsia="Times New Roman" w:hAnsi="Times New Roman"/>
                  <w:sz w:val="18"/>
                  <w:szCs w:val="18"/>
                  <w:color w:val="auto"/>
                  <w:w w:val="99"/>
                </w:rPr>
                <w:t>53</w:t>
              </w:r>
            </w:hyperlink>
          </w:p>
        </w:tc>
        <w:tc>
          <w:tcPr>
            <w:tcW w:w="0" w:type="dxa"/>
            <w:vAlign w:val="bottom"/>
          </w:tcPr>
          <w:p>
            <w:pPr>
              <w:spacing w:after="0"/>
              <w:rPr>
                <w:sz w:val="1"/>
                <w:szCs w:val="1"/>
                <w:color w:val="auto"/>
              </w:rPr>
            </w:pPr>
          </w:p>
        </w:tc>
      </w:tr>
      <w:tr>
        <w:trPr>
          <w:trHeight w:val="229"/>
        </w:trPr>
        <w:tc>
          <w:tcPr>
            <w:tcW w:w="900" w:type="dxa"/>
            <w:vAlign w:val="bottom"/>
            <w:gridSpan w:val="2"/>
          </w:tcPr>
          <w:p>
            <w:pPr>
              <w:ind w:left="20"/>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Item 4.</w:t>
              </w:r>
            </w:hyperlink>
          </w:p>
        </w:tc>
        <w:tc>
          <w:tcPr>
            <w:tcW w:w="9700" w:type="dxa"/>
            <w:vAlign w:val="bottom"/>
          </w:tcPr>
          <w:p>
            <w:pPr>
              <w:ind w:left="60"/>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Mine Safety Disclosures</w:t>
              </w:r>
            </w:hyperlink>
          </w:p>
        </w:tc>
        <w:tc>
          <w:tcPr>
            <w:tcW w:w="640" w:type="dxa"/>
            <w:vAlign w:val="bottom"/>
          </w:tcPr>
          <w:p>
            <w:pPr>
              <w:jc w:val="center"/>
              <w:spacing w:after="0"/>
              <w:rPr>
                <w:rFonts w:ascii="Times New Roman" w:cs="Times New Roman" w:eastAsia="Times New Roman" w:hAnsi="Times New Roman"/>
                <w:sz w:val="18"/>
                <w:szCs w:val="18"/>
                <w:color w:val="auto"/>
                <w:w w:val="99"/>
              </w:rPr>
            </w:pPr>
            <w:hyperlink w:anchor="page55">
              <w:r>
                <w:rPr>
                  <w:rFonts w:ascii="Times New Roman" w:cs="Times New Roman" w:eastAsia="Times New Roman" w:hAnsi="Times New Roman"/>
                  <w:sz w:val="18"/>
                  <w:szCs w:val="18"/>
                  <w:color w:val="auto"/>
                  <w:w w:val="99"/>
                </w:rPr>
                <w:t>53</w:t>
              </w:r>
            </w:hyperlink>
          </w:p>
        </w:tc>
        <w:tc>
          <w:tcPr>
            <w:tcW w:w="0" w:type="dxa"/>
            <w:vAlign w:val="bottom"/>
          </w:tcPr>
          <w:p>
            <w:pPr>
              <w:spacing w:after="0"/>
              <w:rPr>
                <w:sz w:val="1"/>
                <w:szCs w:val="1"/>
                <w:color w:val="auto"/>
              </w:rPr>
            </w:pPr>
          </w:p>
        </w:tc>
      </w:tr>
      <w:tr>
        <w:trPr>
          <w:trHeight w:val="230"/>
        </w:trPr>
        <w:tc>
          <w:tcPr>
            <w:tcW w:w="900" w:type="dxa"/>
            <w:vAlign w:val="bottom"/>
            <w:gridSpan w:val="2"/>
            <w:shd w:val="clear" w:color="auto" w:fill="CCEEFF"/>
          </w:tcPr>
          <w:p>
            <w:pPr>
              <w:ind w:left="20"/>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Item 5.</w:t>
              </w:r>
            </w:hyperlink>
          </w:p>
        </w:tc>
        <w:tc>
          <w:tcPr>
            <w:tcW w:w="9700" w:type="dxa"/>
            <w:vAlign w:val="bottom"/>
            <w:shd w:val="clear" w:color="auto" w:fill="CCEEFF"/>
          </w:tcPr>
          <w:p>
            <w:pPr>
              <w:ind w:left="60"/>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Other Information</w:t>
              </w:r>
            </w:hyperlink>
          </w:p>
        </w:tc>
        <w:tc>
          <w:tcPr>
            <w:tcW w:w="640" w:type="dxa"/>
            <w:vAlign w:val="bottom"/>
            <w:shd w:val="clear" w:color="auto" w:fill="CCEEFF"/>
          </w:tcPr>
          <w:p>
            <w:pPr>
              <w:jc w:val="center"/>
              <w:spacing w:after="0"/>
              <w:rPr>
                <w:rFonts w:ascii="Times New Roman" w:cs="Times New Roman" w:eastAsia="Times New Roman" w:hAnsi="Times New Roman"/>
                <w:sz w:val="18"/>
                <w:szCs w:val="18"/>
                <w:color w:val="auto"/>
                <w:w w:val="99"/>
              </w:rPr>
            </w:pPr>
            <w:hyperlink w:anchor="page55">
              <w:r>
                <w:rPr>
                  <w:rFonts w:ascii="Times New Roman" w:cs="Times New Roman" w:eastAsia="Times New Roman" w:hAnsi="Times New Roman"/>
                  <w:sz w:val="18"/>
                  <w:szCs w:val="18"/>
                  <w:color w:val="auto"/>
                  <w:w w:val="99"/>
                </w:rPr>
                <w:t>53</w:t>
              </w:r>
            </w:hyperlink>
          </w:p>
        </w:tc>
        <w:tc>
          <w:tcPr>
            <w:tcW w:w="0" w:type="dxa"/>
            <w:vAlign w:val="bottom"/>
          </w:tcPr>
          <w:p>
            <w:pPr>
              <w:spacing w:after="0"/>
              <w:rPr>
                <w:sz w:val="1"/>
                <w:szCs w:val="1"/>
                <w:color w:val="auto"/>
              </w:rPr>
            </w:pPr>
          </w:p>
        </w:tc>
      </w:tr>
      <w:tr>
        <w:trPr>
          <w:trHeight w:val="229"/>
        </w:trPr>
        <w:tc>
          <w:tcPr>
            <w:tcW w:w="900" w:type="dxa"/>
            <w:vAlign w:val="bottom"/>
            <w:gridSpan w:val="2"/>
          </w:tcPr>
          <w:p>
            <w:pPr>
              <w:ind w:left="20"/>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Item 6.</w:t>
              </w:r>
            </w:hyperlink>
          </w:p>
        </w:tc>
        <w:tc>
          <w:tcPr>
            <w:tcW w:w="9700" w:type="dxa"/>
            <w:vAlign w:val="bottom"/>
          </w:tcPr>
          <w:p>
            <w:pPr>
              <w:ind w:left="60"/>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Exhibits</w:t>
              </w:r>
            </w:hyperlink>
          </w:p>
        </w:tc>
        <w:tc>
          <w:tcPr>
            <w:tcW w:w="640" w:type="dxa"/>
            <w:vAlign w:val="bottom"/>
          </w:tcPr>
          <w:p>
            <w:pPr>
              <w:jc w:val="center"/>
              <w:spacing w:after="0"/>
              <w:rPr>
                <w:rFonts w:ascii="Times New Roman" w:cs="Times New Roman" w:eastAsia="Times New Roman" w:hAnsi="Times New Roman"/>
                <w:sz w:val="18"/>
                <w:szCs w:val="18"/>
                <w:color w:val="auto"/>
                <w:w w:val="99"/>
              </w:rPr>
            </w:pPr>
            <w:hyperlink w:anchor="page55">
              <w:r>
                <w:rPr>
                  <w:rFonts w:ascii="Times New Roman" w:cs="Times New Roman" w:eastAsia="Times New Roman" w:hAnsi="Times New Roman"/>
                  <w:sz w:val="18"/>
                  <w:szCs w:val="18"/>
                  <w:color w:val="auto"/>
                  <w:w w:val="99"/>
                </w:rPr>
                <w:t>53</w:t>
              </w:r>
            </w:hyperlink>
          </w:p>
        </w:tc>
        <w:tc>
          <w:tcPr>
            <w:tcW w:w="0" w:type="dxa"/>
            <w:vAlign w:val="bottom"/>
          </w:tcPr>
          <w:p>
            <w:pPr>
              <w:spacing w:after="0"/>
              <w:rPr>
                <w:sz w:val="1"/>
                <w:szCs w:val="1"/>
                <w:color w:val="auto"/>
              </w:rPr>
            </w:pPr>
          </w:p>
        </w:tc>
      </w:tr>
      <w:tr>
        <w:trPr>
          <w:trHeight w:val="230"/>
        </w:trPr>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700" w:type="dxa"/>
            <w:vAlign w:val="bottom"/>
            <w:shd w:val="clear" w:color="auto" w:fill="CCEEFF"/>
          </w:tcPr>
          <w:p>
            <w:pPr>
              <w:ind w:left="60"/>
              <w:spacing w:after="0"/>
              <w:rPr>
                <w:rFonts w:ascii="Times New Roman" w:cs="Times New Roman" w:eastAsia="Times New Roman" w:hAnsi="Times New Roman"/>
                <w:sz w:val="18"/>
                <w:szCs w:val="18"/>
                <w:color w:val="auto"/>
              </w:rPr>
            </w:pPr>
            <w:hyperlink w:anchor="page56">
              <w:r>
                <w:rPr>
                  <w:rFonts w:ascii="Times New Roman" w:cs="Times New Roman" w:eastAsia="Times New Roman" w:hAnsi="Times New Roman"/>
                  <w:sz w:val="18"/>
                  <w:szCs w:val="18"/>
                  <w:color w:val="auto"/>
                </w:rPr>
                <w:t>Signatures</w:t>
              </w:r>
            </w:hyperlink>
          </w:p>
        </w:tc>
        <w:tc>
          <w:tcPr>
            <w:tcW w:w="640" w:type="dxa"/>
            <w:vAlign w:val="bottom"/>
            <w:shd w:val="clear" w:color="auto" w:fill="CCEEFF"/>
          </w:tcPr>
          <w:p>
            <w:pPr>
              <w:jc w:val="center"/>
              <w:spacing w:after="0"/>
              <w:rPr>
                <w:rFonts w:ascii="Times New Roman" w:cs="Times New Roman" w:eastAsia="Times New Roman" w:hAnsi="Times New Roman"/>
                <w:sz w:val="18"/>
                <w:szCs w:val="18"/>
                <w:color w:val="auto"/>
                <w:w w:val="99"/>
              </w:rPr>
            </w:pPr>
            <w:hyperlink w:anchor="page56">
              <w:r>
                <w:rPr>
                  <w:rFonts w:ascii="Times New Roman" w:cs="Times New Roman" w:eastAsia="Times New Roman" w:hAnsi="Times New Roman"/>
                  <w:sz w:val="18"/>
                  <w:szCs w:val="18"/>
                  <w:color w:val="auto"/>
                  <w:w w:val="99"/>
                </w:rPr>
                <w:t>55</w:t>
              </w:r>
            </w:hyperlink>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FactSet Research Systems Inc. and access to its Annual Reports to Stockholders and Securities and Exchange Commission filings, free of charge, please visit FactSet’s website (</w:t>
      </w:r>
      <w:r>
        <w:rPr>
          <w:rFonts w:ascii="Times New Roman" w:cs="Times New Roman" w:eastAsia="Times New Roman" w:hAnsi="Times New Roman"/>
          <w:sz w:val="18"/>
          <w:szCs w:val="18"/>
          <w:u w:val="single" w:color="auto"/>
          <w:color w:val="auto"/>
        </w:rPr>
        <w:t>https://investor.factset.com)</w:t>
      </w:r>
      <w:r>
        <w:rPr>
          <w:rFonts w:ascii="Times New Roman" w:cs="Times New Roman" w:eastAsia="Times New Roman" w:hAnsi="Times New Roman"/>
          <w:sz w:val="18"/>
          <w:szCs w:val="18"/>
          <w:color w:val="auto"/>
        </w:rPr>
        <w:t>. Any information on or linked from the website is not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FactSet Research Systems Inc. has made statements under the captions Part I, Item 2.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Part II, Item 1A.</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and in other sections of this Quarterly Report on Form 10-Q for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28, 2022, that are forward-looking statements. In some cases, you can identify these statements by words such as "may," "might," "will," "should," "expects," "plans," "anticipates," "believes," "estimates," "intends," "projects," "indicates," "predicts," "potential," or "continue," and similar expressions.</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2021, that should be specifically considered.</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do not intend, and are under no duty, to update any of these forward-looking statements after the date of this Quarterly Report on Form 10-Q to reflect actual results, future events or circumstances, or revised expectations.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3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5"/>
          <w:szCs w:val="25"/>
          <w:b w:val="1"/>
          <w:bCs w:val="1"/>
          <w:color w:val="auto"/>
        </w:rPr>
        <w:t>PART I – FINANCIAL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19"/>
                <w:szCs w:val="19"/>
                <w:color w:val="auto"/>
              </w:rPr>
            </w:pPr>
          </w:p>
        </w:tc>
        <w:tc>
          <w:tcPr>
            <w:tcW w:w="266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80" w:type="dxa"/>
            <w:vAlign w:val="bottom"/>
          </w:tcPr>
          <w:p>
            <w:pPr>
              <w:spacing w:after="0"/>
              <w:rPr>
                <w:sz w:val="20"/>
                <w:szCs w:val="20"/>
                <w:color w:val="auto"/>
              </w:rPr>
            </w:pPr>
          </w:p>
        </w:tc>
      </w:tr>
      <w:tr>
        <w:trPr>
          <w:trHeight w:val="27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431,119</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391,788</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855,844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779,993</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199,395</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195,523</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406,544</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383,611</w:t>
            </w:r>
          </w:p>
        </w:tc>
      </w:tr>
      <w:tr>
        <w:trPr>
          <w:trHeight w:val="229"/>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108,376</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80,132</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203,291</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159,219</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307,771</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275,655</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609,835</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542,830</w:t>
            </w:r>
          </w:p>
        </w:tc>
      </w:tr>
      <w:tr>
        <w:trPr>
          <w:trHeight w:val="257"/>
        </w:trPr>
        <w:tc>
          <w:tcPr>
            <w:tcW w:w="5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123,348</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116,133</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246,009</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237,163</w:t>
            </w:r>
          </w:p>
        </w:tc>
      </w:tr>
      <w:tr>
        <w:trPr>
          <w:trHeight w:val="270"/>
        </w:trPr>
        <w:tc>
          <w:tcPr>
            <w:tcW w:w="5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(1,814)</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347</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121,956</w:t>
            </w:r>
          </w:p>
        </w:tc>
        <w:tc>
          <w:tcPr>
            <w:tcW w:w="5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114,666</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241,886</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234,898</w:t>
            </w:r>
          </w:p>
        </w:tc>
      </w:tr>
      <w:tr>
        <w:trPr>
          <w:trHeight w:val="270"/>
        </w:trPr>
        <w:tc>
          <w:tcPr>
            <w:tcW w:w="5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18,023</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24,301</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37,049</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109,938</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96,643</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217,585</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197,849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5"/>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w:t>
            </w:r>
          </w:p>
        </w:tc>
        <w:tc>
          <w:tcPr>
            <w:tcW w:w="520" w:type="dxa"/>
            <w:vAlign w:val="bottom"/>
            <w:tcBorders>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2.50</w:t>
            </w:r>
          </w:p>
        </w:tc>
        <w:tc>
          <w:tcPr>
            <w:tcW w:w="40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5.63</w:t>
            </w:r>
          </w:p>
        </w:tc>
        <w:tc>
          <w:tcPr>
            <w:tcW w:w="52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5.12</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37,837</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37,916</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37,685</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37,961</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38,761</w:t>
            </w: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38,620</w:t>
            </w: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38,628</w:t>
            </w: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38,658</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highlight w:val="white"/>
                </w:rPr>
                <w:t>Contents</w:t>
              </w:r>
            </w:hyperlink>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768"/>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8"/>
        </w:trPr>
        <w:tc>
          <w:tcPr>
            <w:tcW w:w="6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 Unaudited</w:t>
            </w: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2"/>
        </w:trPr>
        <w:tc>
          <w:tcPr>
            <w:tcW w:w="64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0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21"/>
                <w:szCs w:val="21"/>
                <w:color w:val="auto"/>
              </w:rPr>
            </w:pPr>
          </w:p>
        </w:tc>
        <w:tc>
          <w:tcPr>
            <w:tcW w:w="24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6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00" w:type="dxa"/>
            <w:vAlign w:val="bottom"/>
          </w:tcPr>
          <w:p>
            <w:pPr>
              <w:spacing w:after="0"/>
              <w:rPr>
                <w:sz w:val="20"/>
                <w:szCs w:val="20"/>
                <w:color w:val="auto"/>
              </w:rPr>
            </w:pPr>
          </w:p>
        </w:tc>
      </w:tr>
      <w:tr>
        <w:trPr>
          <w:trHeight w:val="270"/>
        </w:trPr>
        <w:tc>
          <w:tcPr>
            <w:tcW w:w="5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109,938</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96,643</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217,585</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197,849</w:t>
            </w:r>
          </w:p>
        </w:tc>
      </w:tr>
      <w:tr>
        <w:trPr>
          <w:trHeight w:val="257"/>
        </w:trPr>
        <w:tc>
          <w:tcPr>
            <w:tcW w:w="556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unrealized gain on cash flow hedges*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4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1,303</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30"/>
        </w:trPr>
        <w:tc>
          <w:tcPr>
            <w:tcW w:w="5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 (losses) gains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9,277</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(21,696)</w:t>
            </w: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w:t>
            </w:r>
          </w:p>
        </w:tc>
      </w:tr>
      <w:tr>
        <w:trPr>
          <w:trHeight w:val="223"/>
        </w:trPr>
        <w:tc>
          <w:tcPr>
            <w:tcW w:w="64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10,580</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10,797</w:t>
            </w: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111,760</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107,223</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200,699</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208,646</w:t>
            </w: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February 28, 2022, the net unrealized gain on cash flow hedges were net of a tax expense of $468 thousand and a tax expense of $469 thousand, respectively. For the three and six months ended February 28, 2021, the net unrealized gain on cash flow hedges were net of a tax expense of $441 thousand and a tax expense of $400 thousand, respectively.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640" w:type="dxa"/>
            <w:vAlign w:val="bottom"/>
            <w:gridSpan w:val="2"/>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highlight w:val="white"/>
                </w:rPr>
                <w:t>Contents</w:t>
              </w:r>
            </w:hyperlink>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 Unaudited</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February 28, 2022</w:t>
            </w: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2021</w:t>
            </w: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773,012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681,865</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34,984</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35,984</w:t>
            </w:r>
          </w:p>
        </w:tc>
        <w:tc>
          <w:tcPr>
            <w:tcW w:w="0" w:type="dxa"/>
            <w:vAlign w:val="bottom"/>
          </w:tcPr>
          <w:p>
            <w:pPr>
              <w:spacing w:after="0"/>
              <w:rPr>
                <w:sz w:val="1"/>
                <w:szCs w:val="1"/>
                <w:color w:val="auto"/>
              </w:rPr>
            </w:pPr>
          </w:p>
        </w:tc>
      </w:tr>
      <w:tr>
        <w:trPr>
          <w:trHeight w:val="27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 of $4,263 at February 28, 2022 and $6,431 at August 31, 2021</w:t>
            </w:r>
          </w:p>
        </w:tc>
        <w:tc>
          <w:tcPr>
            <w:tcW w:w="200" w:type="dxa"/>
            <w:vAlign w:val="bottom"/>
          </w:tcPr>
          <w:p>
            <w:pPr>
              <w:spacing w:after="0"/>
              <w:rPr>
                <w:sz w:val="23"/>
                <w:szCs w:val="23"/>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188,308</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151,187</w:t>
            </w: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taxes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36,569</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13,917</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57,786</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50,625</w:t>
            </w: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1,090,659</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933,578</w:t>
            </w:r>
          </w:p>
        </w:tc>
        <w:tc>
          <w:tcPr>
            <w:tcW w:w="0" w:type="dxa"/>
            <w:vAlign w:val="bottom"/>
          </w:tcPr>
          <w:p>
            <w:pPr>
              <w:spacing w:after="0"/>
              <w:rPr>
                <w:sz w:val="1"/>
                <w:szCs w:val="1"/>
                <w:color w:val="auto"/>
              </w:rPr>
            </w:pPr>
          </w:p>
        </w:tc>
      </w:tr>
      <w:tr>
        <w:trPr>
          <w:trHeight w:val="23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20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114,789</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131,377</w:t>
            </w: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786,172</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754,205</w:t>
            </w: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135,042</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134,986</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2,169</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20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206,237</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239,064</w:t>
            </w: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39,089</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29,480</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2,374,157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2,224,940</w:t>
            </w:r>
          </w:p>
        </w:tc>
        <w:tc>
          <w:tcPr>
            <w:tcW w:w="0" w:type="dxa"/>
            <w:vAlign w:val="bottom"/>
          </w:tcPr>
          <w:p>
            <w:pPr>
              <w:spacing w:after="0"/>
              <w:rPr>
                <w:sz w:val="1"/>
                <w:szCs w:val="1"/>
                <w:color w:val="auto"/>
              </w:rPr>
            </w:pP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90,262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85,777</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31,010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31,576</w:t>
            </w: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68,749</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104,403</w:t>
            </w:r>
          </w:p>
        </w:tc>
        <w:tc>
          <w:tcPr>
            <w:tcW w:w="0" w:type="dxa"/>
            <w:vAlign w:val="bottom"/>
          </w:tcPr>
          <w:p>
            <w:pPr>
              <w:spacing w:after="0"/>
              <w:rPr>
                <w:sz w:val="1"/>
                <w:szCs w:val="1"/>
                <w:color w:val="auto"/>
              </w:rPr>
            </w:pPr>
          </w:p>
        </w:tc>
      </w:tr>
      <w:tr>
        <w:trPr>
          <w:trHeight w:val="27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72,152</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63,104</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31,065</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293,238</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315,705</w:t>
            </w: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574,625</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574,535</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15,018</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0" w:type="dxa"/>
            <w:vAlign w:val="bottom"/>
          </w:tcPr>
          <w:p>
            <w:pPr>
              <w:spacing w:after="0"/>
              <w:rPr>
                <w:sz w:val="1"/>
                <w:szCs w:val="1"/>
                <w:color w:val="auto"/>
              </w:rPr>
            </w:pPr>
          </w:p>
        </w:tc>
      </w:tr>
      <w:tr>
        <w:trPr>
          <w:trHeight w:val="27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200" w:type="dxa"/>
            <w:vAlign w:val="bottom"/>
          </w:tcPr>
          <w:p>
            <w:pPr>
              <w:spacing w:after="0"/>
              <w:rPr>
                <w:sz w:val="23"/>
                <w:szCs w:val="23"/>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7,233</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payable</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31,002</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30,279</w:t>
            </w:r>
          </w:p>
        </w:tc>
        <w:tc>
          <w:tcPr>
            <w:tcW w:w="0" w:type="dxa"/>
            <w:vAlign w:val="bottom"/>
          </w:tcPr>
          <w:p>
            <w:pPr>
              <w:spacing w:after="0"/>
              <w:rPr>
                <w:sz w:val="1"/>
                <w:szCs w:val="1"/>
                <w:color w:val="auto"/>
              </w:rPr>
            </w:pPr>
          </w:p>
        </w:tc>
      </w:tr>
      <w:tr>
        <w:trPr>
          <w:trHeight w:val="23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233,275</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259,980</w:t>
            </w:r>
          </w:p>
        </w:tc>
        <w:tc>
          <w:tcPr>
            <w:tcW w:w="0" w:type="dxa"/>
            <w:vAlign w:val="bottom"/>
          </w:tcPr>
          <w:p>
            <w:pPr>
              <w:spacing w:after="0"/>
              <w:rPr>
                <w:sz w:val="1"/>
                <w:szCs w:val="1"/>
                <w:color w:val="auto"/>
              </w:rPr>
            </w:pPr>
          </w:p>
        </w:tc>
      </w:tr>
      <w:tr>
        <w:trPr>
          <w:trHeight w:val="27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3,785</w:t>
            </w: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1,158,176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1,208,587</w:t>
            </w:r>
          </w:p>
        </w:tc>
        <w:tc>
          <w:tcPr>
            <w:tcW w:w="0" w:type="dxa"/>
            <w:vAlign w:val="bottom"/>
          </w:tcPr>
          <w:p>
            <w:pPr>
              <w:spacing w:after="0"/>
              <w:rPr>
                <w:sz w:val="1"/>
                <w:szCs w:val="1"/>
                <w:color w:val="auto"/>
              </w:rPr>
            </w:pP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2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6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150,000,000 shares authorized, 41,485,261 and 41,163,192 shares</w:t>
            </w: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issued, 37,883,866 and 37,615,419 shares outstanding at February 28, 2022 and August 31, 2021,</w:t>
            </w:r>
          </w:p>
        </w:tc>
        <w:tc>
          <w:tcPr>
            <w:tcW w:w="200" w:type="dxa"/>
            <w:vAlign w:val="bottom"/>
          </w:tcPr>
          <w:p>
            <w:pPr>
              <w:spacing w:after="0"/>
              <w:rPr>
                <w:sz w:val="15"/>
                <w:szCs w:val="15"/>
                <w:color w:val="auto"/>
              </w:rPr>
            </w:pPr>
          </w:p>
        </w:tc>
        <w:tc>
          <w:tcPr>
            <w:tcW w:w="1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3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1,131,166</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1,048,305</w:t>
            </w:r>
          </w:p>
        </w:tc>
        <w:tc>
          <w:tcPr>
            <w:tcW w:w="0" w:type="dxa"/>
            <w:vAlign w:val="bottom"/>
          </w:tcPr>
          <w:p>
            <w:pPr>
              <w:spacing w:after="0"/>
              <w:rPr>
                <w:sz w:val="1"/>
                <w:szCs w:val="1"/>
                <w:color w:val="auto"/>
              </w:rPr>
            </w:pPr>
          </w:p>
        </w:tc>
      </w:tr>
      <w:tr>
        <w:trPr>
          <w:trHeight w:val="175"/>
        </w:trPr>
        <w:tc>
          <w:tcPr>
            <w:tcW w:w="76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3,601,395 and 3,547,773 shares at February 28, 2022 and August 31, 2021,</w:t>
            </w:r>
          </w:p>
        </w:tc>
        <w:tc>
          <w:tcPr>
            <w:tcW w:w="20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(927,814)</w:t>
            </w: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(905,917)</w:t>
            </w:r>
          </w:p>
        </w:tc>
        <w:tc>
          <w:tcPr>
            <w:tcW w:w="0" w:type="dxa"/>
            <w:vAlign w:val="bottom"/>
          </w:tcPr>
          <w:p>
            <w:pPr>
              <w:spacing w:after="0"/>
              <w:rPr>
                <w:sz w:val="1"/>
                <w:szCs w:val="1"/>
                <w:color w:val="auto"/>
              </w:rPr>
            </w:pPr>
          </w:p>
        </w:tc>
      </w:tr>
      <w:tr>
        <w:trPr>
          <w:trHeight w:val="23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1,068,062</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912,515</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(55,848)</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(38,962)</w:t>
            </w:r>
          </w:p>
        </w:tc>
        <w:tc>
          <w:tcPr>
            <w:tcW w:w="0" w:type="dxa"/>
            <w:vAlign w:val="bottom"/>
          </w:tcPr>
          <w:p>
            <w:pPr>
              <w:spacing w:after="0"/>
              <w:rPr>
                <w:sz w:val="1"/>
                <w:szCs w:val="1"/>
                <w:color w:val="auto"/>
              </w:rPr>
            </w:pPr>
          </w:p>
        </w:tc>
      </w:tr>
      <w:tr>
        <w:trPr>
          <w:trHeight w:val="223"/>
        </w:trPr>
        <w:tc>
          <w:tcPr>
            <w:tcW w:w="640" w:type="dxa"/>
            <w:vAlign w:val="bottom"/>
            <w:shd w:val="clear" w:color="auto" w:fill="CCEEFF"/>
          </w:tcPr>
          <w:p>
            <w:pPr>
              <w:spacing w:after="0"/>
              <w:rPr>
                <w:sz w:val="19"/>
                <w:szCs w:val="19"/>
                <w:color w:val="auto"/>
              </w:rPr>
            </w:pPr>
          </w:p>
        </w:tc>
        <w:tc>
          <w:tcPr>
            <w:tcW w:w="7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1,215,981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1,016,353</w:t>
            </w:r>
          </w:p>
        </w:tc>
        <w:tc>
          <w:tcPr>
            <w:tcW w:w="0" w:type="dxa"/>
            <w:vAlign w:val="bottom"/>
          </w:tcPr>
          <w:p>
            <w:pPr>
              <w:spacing w:after="0"/>
              <w:rPr>
                <w:sz w:val="1"/>
                <w:szCs w:val="1"/>
                <w:color w:val="auto"/>
              </w:rPr>
            </w:pPr>
          </w:p>
        </w:tc>
      </w:tr>
      <w:tr>
        <w:trPr>
          <w:trHeight w:val="22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2,374,157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2,224,940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420" w:type="dxa"/>
            <w:vAlign w:val="bottom"/>
            <w:gridSpan w:val="2"/>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highlight w:val="white"/>
                </w:rPr>
                <w:t>Contents</w:t>
              </w:r>
            </w:hyperlink>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768"/>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8"/>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Unaudited</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2"/>
        </w:trPr>
        <w:tc>
          <w:tcPr>
            <w:tcW w:w="640" w:type="dxa"/>
            <w:vAlign w:val="bottom"/>
          </w:tcPr>
          <w:p>
            <w:pPr>
              <w:spacing w:after="0"/>
              <w:rPr>
                <w:sz w:val="21"/>
                <w:szCs w:val="21"/>
                <w:color w:val="auto"/>
              </w:rPr>
            </w:pPr>
          </w:p>
        </w:tc>
        <w:tc>
          <w:tcPr>
            <w:tcW w:w="7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9"/>
        </w:trPr>
        <w:tc>
          <w:tcPr>
            <w:tcW w:w="64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880" w:type="dxa"/>
            <w:vAlign w:val="bottom"/>
          </w:tcPr>
          <w:p>
            <w:pPr>
              <w:spacing w:after="0"/>
              <w:rPr>
                <w:sz w:val="19"/>
                <w:szCs w:val="19"/>
                <w:color w:val="auto"/>
              </w:rPr>
            </w:pPr>
          </w:p>
        </w:tc>
      </w:tr>
      <w:tr>
        <w:trPr>
          <w:trHeight w:val="234"/>
        </w:trPr>
        <w:tc>
          <w:tcPr>
            <w:tcW w:w="8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217,585</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197,849</w:t>
            </w: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32,827</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30,962</w:t>
            </w:r>
          </w:p>
        </w:tc>
      </w:tr>
      <w:tr>
        <w:trPr>
          <w:trHeight w:val="230"/>
        </w:trPr>
        <w:tc>
          <w:tcPr>
            <w:tcW w:w="8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right-of-use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22,172</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w:t>
            </w:r>
          </w:p>
        </w:tc>
      </w:tr>
      <w:tr>
        <w:trPr>
          <w:trHeight w:val="229"/>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25,937</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22,327</w:t>
            </w:r>
          </w:p>
        </w:tc>
      </w:tr>
      <w:tr>
        <w:trPr>
          <w:trHeight w:val="230"/>
        </w:trPr>
        <w:tc>
          <w:tcPr>
            <w:tcW w:w="8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(3,264)</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r>
      <w:tr>
        <w:trPr>
          <w:trHeight w:val="229"/>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charge</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13,987</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(37,704)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(15,421)</w:t>
            </w:r>
          </w:p>
        </w:tc>
      </w:tr>
      <w:tr>
        <w:trPr>
          <w:trHeight w:val="229"/>
        </w:trPr>
        <w:tc>
          <w:tcPr>
            <w:tcW w:w="8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10,183</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29"/>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(34,680)</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(20,879)</w:t>
            </w:r>
          </w:p>
        </w:tc>
      </w:tr>
      <w:tr>
        <w:trPr>
          <w:trHeight w:val="230"/>
        </w:trPr>
        <w:tc>
          <w:tcPr>
            <w:tcW w:w="8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fees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6,201</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w:t>
            </w:r>
          </w:p>
        </w:tc>
      </w:tr>
      <w:tr>
        <w:trPr>
          <w:trHeight w:val="229"/>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Taxes payable, net of prepaid taxes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(21,824)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16,688</w:t>
            </w:r>
          </w:p>
        </w:tc>
      </w:tr>
      <w:tr>
        <w:trPr>
          <w:trHeight w:val="230"/>
        </w:trPr>
        <w:tc>
          <w:tcPr>
            <w:tcW w:w="8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(23,863)</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(20,549)</w:t>
            </w:r>
          </w:p>
        </w:tc>
      </w:tr>
      <w:tr>
        <w:trPr>
          <w:trHeight w:val="229"/>
        </w:trPr>
        <w:tc>
          <w:tcPr>
            <w:tcW w:w="8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(12,605)</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(11,477)</w:t>
            </w:r>
          </w:p>
        </w:tc>
      </w:tr>
      <w:tr>
        <w:trPr>
          <w:trHeight w:val="223"/>
        </w:trPr>
        <w:tc>
          <w:tcPr>
            <w:tcW w:w="8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194,952</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229,936</w:t>
            </w:r>
          </w:p>
        </w:tc>
      </w:tr>
      <w:tr>
        <w:trPr>
          <w:trHeight w:val="216"/>
        </w:trPr>
        <w:tc>
          <w:tcPr>
            <w:tcW w:w="84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leasehold improvements and internal-use software</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(20,546)</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(28,758)</w:t>
            </w:r>
          </w:p>
        </w:tc>
      </w:tr>
      <w:tr>
        <w:trPr>
          <w:trHeight w:val="23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businesses, net of cash and cash equivalents acquired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(50,018)</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(41,916)</w:t>
            </w:r>
          </w:p>
        </w:tc>
      </w:tr>
      <w:tr>
        <w:trPr>
          <w:trHeight w:val="229"/>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maturity or sale of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r>
      <w:tr>
        <w:trPr>
          <w:trHeight w:val="223"/>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(70,814)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(69,748)</w:t>
            </w:r>
          </w:p>
        </w:tc>
      </w:tr>
      <w:tr>
        <w:trPr>
          <w:trHeight w:val="216"/>
        </w:trPr>
        <w:tc>
          <w:tcPr>
            <w:tcW w:w="84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(18,639)</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(114,640)</w:t>
            </w:r>
          </w:p>
        </w:tc>
      </w:tr>
      <w:tr>
        <w:trPr>
          <w:trHeight w:val="23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(61,448)</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(58,186)</w:t>
            </w:r>
          </w:p>
        </w:tc>
      </w:tr>
      <w:tr>
        <w:trPr>
          <w:trHeight w:val="23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56,928</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28,526</w:t>
            </w:r>
          </w:p>
        </w:tc>
      </w:tr>
      <w:tr>
        <w:trPr>
          <w:trHeight w:val="230"/>
        </w:trPr>
        <w:tc>
          <w:tcPr>
            <w:tcW w:w="8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(3,258)</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r>
      <w:tr>
        <w:trPr>
          <w:trHeight w:val="223"/>
        </w:trPr>
        <w:tc>
          <w:tcPr>
            <w:tcW w:w="8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used by financing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(26,417)</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(146,659)</w:t>
            </w:r>
          </w:p>
        </w:tc>
      </w:tr>
      <w:tr>
        <w:trPr>
          <w:trHeight w:val="256"/>
        </w:trPr>
        <w:tc>
          <w:tcPr>
            <w:tcW w:w="842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(6,574)</w:t>
            </w: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r>
      <w:tr>
        <w:trPr>
          <w:trHeight w:val="223"/>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91,147</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17,079</w:t>
            </w:r>
          </w:p>
        </w:tc>
      </w:tr>
      <w:tr>
        <w:trPr>
          <w:trHeight w:val="23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681,865</w:t>
            </w: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585,605</w:t>
            </w:r>
          </w:p>
        </w:tc>
      </w:tr>
      <w:tr>
        <w:trPr>
          <w:trHeight w:val="223"/>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773,012</w:t>
            </w:r>
          </w:p>
        </w:tc>
        <w:tc>
          <w:tcPr>
            <w:tcW w:w="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602,684</w:t>
            </w:r>
          </w:p>
        </w:tc>
      </w:tr>
      <w:tr>
        <w:trPr>
          <w:trHeight w:val="20"/>
        </w:trPr>
        <w:tc>
          <w:tcPr>
            <w:tcW w:w="6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February 28, 2022</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3"/>
                <w:szCs w:val="13"/>
                <w:color w:val="auto"/>
                <w:w w:val="98"/>
              </w:rPr>
              <w:t>Accumulated</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120" w:type="dxa"/>
            <w:vAlign w:val="bottom"/>
            <w:gridSpan w:val="3"/>
          </w:tcPr>
          <w:p>
            <w:pPr>
              <w:jc w:val="right"/>
              <w:ind w:right="657"/>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3"/>
                <w:szCs w:val="13"/>
                <w:color w:val="auto"/>
              </w:rPr>
              <w:t>Additional</w:t>
            </w:r>
          </w:p>
        </w:tc>
        <w:tc>
          <w:tcPr>
            <w:tcW w:w="2240" w:type="dxa"/>
            <w:vAlign w:val="bottom"/>
            <w:gridSpan w:val="3"/>
          </w:tcPr>
          <w:p>
            <w:pPr>
              <w:jc w:val="right"/>
              <w:ind w:right="677"/>
              <w:spacing w:after="0"/>
              <w:rPr>
                <w:sz w:val="20"/>
                <w:szCs w:val="20"/>
                <w:color w:val="auto"/>
              </w:rPr>
            </w:pPr>
            <w:r>
              <w:rPr>
                <w:rFonts w:ascii="Times New Roman" w:cs="Times New Roman" w:eastAsia="Times New Roman" w:hAnsi="Times New Roman"/>
                <w:sz w:val="13"/>
                <w:szCs w:val="13"/>
                <w:color w:val="auto"/>
              </w:rPr>
              <w:t>Treasury Stock</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3"/>
                <w:szCs w:val="13"/>
                <w:color w:val="auto"/>
                <w:w w:val="94"/>
              </w:rPr>
              <w:t>Other</w:t>
            </w:r>
          </w:p>
        </w:tc>
        <w:tc>
          <w:tcPr>
            <w:tcW w:w="200" w:type="dxa"/>
            <w:vAlign w:val="bottom"/>
          </w:tcPr>
          <w:p>
            <w:pPr>
              <w:spacing w:after="0"/>
              <w:rPr>
                <w:sz w:val="12"/>
                <w:szCs w:val="12"/>
                <w:color w:val="auto"/>
              </w:rPr>
            </w:pPr>
          </w:p>
        </w:tc>
        <w:tc>
          <w:tcPr>
            <w:tcW w:w="960" w:type="dxa"/>
            <w:vAlign w:val="bottom"/>
          </w:tcPr>
          <w:p>
            <w:pPr>
              <w:jc w:val="center"/>
              <w:ind w:right="78"/>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54"/>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right"/>
              <w:ind w:right="239"/>
              <w:spacing w:after="0" w:line="95" w:lineRule="exact"/>
              <w:rPr>
                <w:sz w:val="20"/>
                <w:szCs w:val="20"/>
                <w:color w:val="auto"/>
              </w:rPr>
            </w:pPr>
            <w:r>
              <w:rPr>
                <w:rFonts w:ascii="Times New Roman" w:cs="Times New Roman" w:eastAsia="Times New Roman" w:hAnsi="Times New Roman"/>
                <w:sz w:val="10"/>
                <w:szCs w:val="10"/>
                <w:color w:val="auto"/>
              </w:rPr>
              <w:t>Paid-in</w:t>
            </w: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restart"/>
          </w:tcPr>
          <w:p>
            <w:pPr>
              <w:jc w:val="right"/>
              <w:ind w:right="239"/>
              <w:spacing w:after="0" w:line="95" w:lineRule="exact"/>
              <w:rPr>
                <w:sz w:val="20"/>
                <w:szCs w:val="20"/>
                <w:color w:val="auto"/>
              </w:rPr>
            </w:pPr>
            <w:r>
              <w:rPr>
                <w:rFonts w:ascii="Times New Roman" w:cs="Times New Roman" w:eastAsia="Times New Roman" w:hAnsi="Times New Roman"/>
                <w:sz w:val="10"/>
                <w:szCs w:val="10"/>
                <w:color w:val="auto"/>
              </w:rPr>
              <w:t>Retained</w:t>
            </w:r>
          </w:p>
        </w:tc>
        <w:tc>
          <w:tcPr>
            <w:tcW w:w="180" w:type="dxa"/>
            <w:vAlign w:val="bottom"/>
          </w:tcPr>
          <w:p>
            <w:pPr>
              <w:spacing w:after="0"/>
              <w:rPr>
                <w:sz w:val="4"/>
                <w:szCs w:val="4"/>
                <w:color w:val="auto"/>
              </w:rPr>
            </w:pPr>
          </w:p>
        </w:tc>
        <w:tc>
          <w:tcPr>
            <w:tcW w:w="1040" w:type="dxa"/>
            <w:vAlign w:val="bottom"/>
            <w:vMerge w:val="restart"/>
          </w:tcPr>
          <w:p>
            <w:pPr>
              <w:jc w:val="center"/>
              <w:ind w:right="99"/>
              <w:spacing w:after="0" w:line="95" w:lineRule="exact"/>
              <w:rPr>
                <w:sz w:val="20"/>
                <w:szCs w:val="20"/>
                <w:color w:val="auto"/>
              </w:rPr>
            </w:pPr>
            <w:r>
              <w:rPr>
                <w:rFonts w:ascii="Times New Roman" w:cs="Times New Roman" w:eastAsia="Times New Roman" w:hAnsi="Times New Roman"/>
                <w:sz w:val="10"/>
                <w:szCs w:val="10"/>
                <w:color w:val="auto"/>
              </w:rPr>
              <w:t>Comprehensive</w:t>
            </w:r>
          </w:p>
        </w:tc>
        <w:tc>
          <w:tcPr>
            <w:tcW w:w="200" w:type="dxa"/>
            <w:vAlign w:val="bottom"/>
          </w:tcPr>
          <w:p>
            <w:pPr>
              <w:spacing w:after="0"/>
              <w:rPr>
                <w:sz w:val="4"/>
                <w:szCs w:val="4"/>
                <w:color w:val="auto"/>
              </w:rPr>
            </w:pPr>
          </w:p>
        </w:tc>
        <w:tc>
          <w:tcPr>
            <w:tcW w:w="960" w:type="dxa"/>
            <w:vAlign w:val="bottom"/>
            <w:vMerge w:val="restart"/>
          </w:tcPr>
          <w:p>
            <w:pPr>
              <w:jc w:val="center"/>
              <w:ind w:right="78"/>
              <w:spacing w:after="0" w:line="95" w:lineRule="exact"/>
              <w:rPr>
                <w:sz w:val="20"/>
                <w:szCs w:val="20"/>
                <w:color w:val="auto"/>
              </w:rPr>
            </w:pPr>
            <w:r>
              <w:rPr>
                <w:rFonts w:ascii="Times New Roman" w:cs="Times New Roman" w:eastAsia="Times New Roman" w:hAnsi="Times New Roman"/>
                <w:sz w:val="10"/>
                <w:szCs w:val="10"/>
                <w:color w:val="auto"/>
              </w:rPr>
              <w:t>Stockholders’</w:t>
            </w:r>
          </w:p>
        </w:tc>
        <w:tc>
          <w:tcPr>
            <w:tcW w:w="0" w:type="dxa"/>
            <w:vAlign w:val="bottom"/>
          </w:tcPr>
          <w:p>
            <w:pPr>
              <w:spacing w:after="0"/>
              <w:rPr>
                <w:sz w:val="1"/>
                <w:szCs w:val="1"/>
                <w:color w:val="auto"/>
              </w:rPr>
            </w:pPr>
          </w:p>
        </w:tc>
      </w:tr>
      <w:tr>
        <w:trPr>
          <w:trHeight w:val="20"/>
        </w:trPr>
        <w:tc>
          <w:tcPr>
            <w:tcW w:w="2520" w:type="dxa"/>
            <w:vAlign w:val="bottom"/>
            <w:vMerge w:val="continue"/>
          </w:tcPr>
          <w:p>
            <w:pPr>
              <w:spacing w:after="0" w:line="20" w:lineRule="exact"/>
              <w:rPr>
                <w:sz w:val="1"/>
                <w:szCs w:val="1"/>
                <w:color w:val="auto"/>
              </w:rPr>
            </w:pPr>
          </w:p>
        </w:tc>
        <w:tc>
          <w:tcPr>
            <w:tcW w:w="100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Pr>
          <w:p>
            <w:pPr>
              <w:spacing w:after="0" w:line="20" w:lineRule="exact"/>
              <w:rPr>
                <w:sz w:val="1"/>
                <w:szCs w:val="1"/>
                <w:color w:val="auto"/>
              </w:rPr>
            </w:pPr>
          </w:p>
        </w:tc>
        <w:tc>
          <w:tcPr>
            <w:tcW w:w="9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1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tcPr>
          <w:p>
            <w:pPr>
              <w:spacing w:after="0" w:line="20" w:lineRule="exact"/>
              <w:rPr>
                <w:sz w:val="1"/>
                <w:szCs w:val="1"/>
                <w:color w:val="auto"/>
              </w:rPr>
            </w:pPr>
          </w:p>
        </w:tc>
        <w:tc>
          <w:tcPr>
            <w:tcW w:w="900" w:type="dxa"/>
            <w:vAlign w:val="bottom"/>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Amount</w:t>
            </w: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5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3"/>
                <w:szCs w:val="13"/>
                <w:color w:val="auto"/>
              </w:rPr>
              <w:t>Capital</w:t>
            </w:r>
          </w:p>
        </w:tc>
        <w:tc>
          <w:tcPr>
            <w:tcW w:w="11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3"/>
                <w:szCs w:val="13"/>
                <w:color w:val="auto"/>
                <w:w w:val="9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November 30, 2021</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41,372,890</w:t>
            </w:r>
          </w:p>
        </w:tc>
        <w:tc>
          <w:tcPr>
            <w:tcW w:w="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1,094,467</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3,600,720</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(927,505)</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989,189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(57,670)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1,098,895</w:t>
            </w:r>
          </w:p>
        </w:tc>
        <w:tc>
          <w:tcPr>
            <w:tcW w:w="0" w:type="dxa"/>
            <w:vAlign w:val="bottom"/>
          </w:tcPr>
          <w:p>
            <w:pPr>
              <w:spacing w:after="0"/>
              <w:rPr>
                <w:sz w:val="1"/>
                <w:szCs w:val="1"/>
                <w:color w:val="auto"/>
              </w:rPr>
            </w:pPr>
          </w:p>
        </w:tc>
      </w:tr>
      <w:tr>
        <w:trPr>
          <w:trHeight w:val="170"/>
        </w:trPr>
        <w:tc>
          <w:tcPr>
            <w:tcW w:w="2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109,938</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109,938</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1,822</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0" w:type="dxa"/>
            <w:vAlign w:val="bottom"/>
          </w:tcPr>
          <w:p>
            <w:pPr>
              <w:spacing w:after="0"/>
              <w:rPr>
                <w:sz w:val="1"/>
                <w:szCs w:val="1"/>
                <w:color w:val="auto"/>
              </w:rPr>
            </w:pPr>
          </w:p>
        </w:tc>
      </w:tr>
      <w:tr>
        <w:trPr>
          <w:trHeight w:val="122"/>
        </w:trPr>
        <w:tc>
          <w:tcPr>
            <w:tcW w:w="25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Common stock issued for employee stock</w:t>
            </w:r>
          </w:p>
        </w:tc>
        <w:tc>
          <w:tcPr>
            <w:tcW w:w="10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111,360</w:t>
            </w:r>
          </w:p>
        </w:tc>
        <w:tc>
          <w:tcPr>
            <w:tcW w:w="220" w:type="dxa"/>
            <w:vAlign w:val="bottom"/>
          </w:tcPr>
          <w:p>
            <w:pPr>
              <w:spacing w:after="0"/>
              <w:rPr>
                <w:sz w:val="10"/>
                <w:szCs w:val="10"/>
                <w:color w:val="auto"/>
              </w:rPr>
            </w:pPr>
          </w:p>
        </w:tc>
        <w:tc>
          <w:tcPr>
            <w:tcW w:w="9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21,163</w:t>
            </w:r>
          </w:p>
        </w:tc>
        <w:tc>
          <w:tcPr>
            <w:tcW w:w="11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260</w:t>
            </w:r>
          </w:p>
        </w:tc>
        <w:tc>
          <w:tcPr>
            <w:tcW w:w="240" w:type="dxa"/>
            <w:vAlign w:val="bottom"/>
          </w:tcPr>
          <w:p>
            <w:pPr>
              <w:spacing w:after="0"/>
              <w:rPr>
                <w:sz w:val="10"/>
                <w:szCs w:val="10"/>
                <w:color w:val="auto"/>
              </w:rPr>
            </w:pPr>
          </w:p>
        </w:tc>
        <w:tc>
          <w:tcPr>
            <w:tcW w:w="90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(128)</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21,036</w:t>
            </w:r>
          </w:p>
        </w:tc>
        <w:tc>
          <w:tcPr>
            <w:tcW w:w="0" w:type="dxa"/>
            <w:vAlign w:val="bottom"/>
          </w:tcPr>
          <w:p>
            <w:pPr>
              <w:spacing w:after="0"/>
              <w:rPr>
                <w:sz w:val="1"/>
                <w:szCs w:val="1"/>
                <w:color w:val="auto"/>
              </w:rPr>
            </w:pPr>
          </w:p>
        </w:tc>
      </w:tr>
      <w:tr>
        <w:trPr>
          <w:trHeight w:val="92"/>
        </w:trPr>
        <w:tc>
          <w:tcPr>
            <w:tcW w:w="25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plans</w:t>
            </w: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5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1,011</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415</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(181)</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0" w:type="dxa"/>
            <w:vAlign w:val="bottom"/>
          </w:tcPr>
          <w:p>
            <w:pPr>
              <w:spacing w:after="0"/>
              <w:rPr>
                <w:sz w:val="1"/>
                <w:szCs w:val="1"/>
                <w:color w:val="auto"/>
              </w:rPr>
            </w:pPr>
          </w:p>
        </w:tc>
      </w:tr>
      <w:tr>
        <w:trPr>
          <w:trHeight w:val="170"/>
        </w:trPr>
        <w:tc>
          <w:tcPr>
            <w:tcW w:w="2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15,536</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15,536</w:t>
            </w:r>
          </w:p>
        </w:tc>
        <w:tc>
          <w:tcPr>
            <w:tcW w:w="0" w:type="dxa"/>
            <w:vAlign w:val="bottom"/>
          </w:tcPr>
          <w:p>
            <w:pPr>
              <w:spacing w:after="0"/>
              <w:rPr>
                <w:sz w:val="1"/>
                <w:szCs w:val="1"/>
                <w:color w:val="auto"/>
              </w:rPr>
            </w:pPr>
          </w:p>
        </w:tc>
      </w:tr>
      <w:tr>
        <w:trPr>
          <w:trHeight w:val="170"/>
        </w:trPr>
        <w:tc>
          <w:tcPr>
            <w:tcW w:w="2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3"/>
                <w:szCs w:val="13"/>
                <w:color w:val="auto"/>
              </w:rPr>
              <w:t>(31,065)</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(31,065)</w:t>
            </w:r>
          </w:p>
        </w:tc>
        <w:tc>
          <w:tcPr>
            <w:tcW w:w="0" w:type="dxa"/>
            <w:vAlign w:val="bottom"/>
          </w:tcPr>
          <w:p>
            <w:pPr>
              <w:spacing w:after="0"/>
              <w:rPr>
                <w:sz w:val="1"/>
                <w:szCs w:val="1"/>
                <w:color w:val="auto"/>
              </w:rPr>
            </w:pPr>
          </w:p>
        </w:tc>
      </w:tr>
      <w:tr>
        <w:trPr>
          <w:trHeight w:val="19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February 28, 2022</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41,485,261</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1,131,166</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3,601,395</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(927,814)</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1,068,062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(55,848)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1,215,981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For the Six Months Ended February 28, 2022</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2120" w:type="dxa"/>
            <w:vAlign w:val="bottom"/>
            <w:gridSpan w:val="3"/>
            <w:vMerge w:val="restart"/>
          </w:tcPr>
          <w:p>
            <w:pPr>
              <w:jc w:val="right"/>
              <w:ind w:right="657"/>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2"/>
                <w:szCs w:val="12"/>
                <w:color w:val="auto"/>
              </w:rPr>
            </w:pPr>
          </w:p>
        </w:tc>
        <w:tc>
          <w:tcPr>
            <w:tcW w:w="82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auto"/>
              </w:rPr>
              <w:t>Additional</w:t>
            </w:r>
          </w:p>
        </w:tc>
        <w:tc>
          <w:tcPr>
            <w:tcW w:w="2240" w:type="dxa"/>
            <w:vAlign w:val="bottom"/>
            <w:gridSpan w:val="3"/>
            <w:vMerge w:val="restart"/>
          </w:tcPr>
          <w:p>
            <w:pPr>
              <w:jc w:val="right"/>
              <w:ind w:right="677"/>
              <w:spacing w:after="0"/>
              <w:rPr>
                <w:sz w:val="20"/>
                <w:szCs w:val="20"/>
                <w:color w:val="auto"/>
              </w:rPr>
            </w:pPr>
            <w:r>
              <w:rPr>
                <w:rFonts w:ascii="Times New Roman" w:cs="Times New Roman" w:eastAsia="Times New Roman" w:hAnsi="Times New Roman"/>
                <w:sz w:val="13"/>
                <w:szCs w:val="13"/>
                <w:color w:val="auto"/>
              </w:rPr>
              <w:t>Treasury Stock</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w w:val="98"/>
              </w:rPr>
              <w:t>Accumulated</w:t>
            </w:r>
          </w:p>
        </w:tc>
        <w:tc>
          <w:tcPr>
            <w:tcW w:w="200" w:type="dxa"/>
            <w:vAlign w:val="bottom"/>
          </w:tcPr>
          <w:p>
            <w:pPr>
              <w:spacing w:after="0"/>
              <w:rPr>
                <w:sz w:val="12"/>
                <w:szCs w:val="12"/>
                <w:color w:val="auto"/>
              </w:rPr>
            </w:pPr>
          </w:p>
        </w:tc>
        <w:tc>
          <w:tcPr>
            <w:tcW w:w="96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97"/>
              <w:spacing w:after="0" w:line="122" w:lineRule="exact"/>
              <w:rPr>
                <w:sz w:val="20"/>
                <w:szCs w:val="20"/>
                <w:color w:val="auto"/>
              </w:rPr>
            </w:pPr>
            <w:r>
              <w:rPr>
                <w:rFonts w:ascii="Times New Roman" w:cs="Times New Roman" w:eastAsia="Times New Roman" w:hAnsi="Times New Roman"/>
                <w:sz w:val="13"/>
                <w:szCs w:val="13"/>
                <w:color w:val="auto"/>
                <w:w w:val="94"/>
              </w:rPr>
              <w:t>Other</w:t>
            </w: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right"/>
              <w:ind w:right="237"/>
              <w:spacing w:after="0" w:line="122" w:lineRule="exact"/>
              <w:rPr>
                <w:sz w:val="20"/>
                <w:szCs w:val="20"/>
                <w:color w:val="auto"/>
              </w:rPr>
            </w:pPr>
            <w:r>
              <w:rPr>
                <w:rFonts w:ascii="Times New Roman" w:cs="Times New Roman" w:eastAsia="Times New Roman" w:hAnsi="Times New Roman"/>
                <w:sz w:val="13"/>
                <w:szCs w:val="13"/>
                <w:color w:val="auto"/>
              </w:rPr>
              <w:t>Paid-in</w:t>
            </w: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restart"/>
          </w:tcPr>
          <w:p>
            <w:pPr>
              <w:jc w:val="right"/>
              <w:ind w:right="237"/>
              <w:spacing w:after="0" w:line="122" w:lineRule="exact"/>
              <w:rPr>
                <w:sz w:val="20"/>
                <w:szCs w:val="20"/>
                <w:color w:val="auto"/>
              </w:rPr>
            </w:pPr>
            <w:r>
              <w:rPr>
                <w:rFonts w:ascii="Times New Roman" w:cs="Times New Roman" w:eastAsia="Times New Roman" w:hAnsi="Times New Roman"/>
                <w:sz w:val="13"/>
                <w:szCs w:val="13"/>
                <w:color w:val="auto"/>
              </w:rPr>
              <w:t>Retained</w:t>
            </w:r>
          </w:p>
        </w:tc>
        <w:tc>
          <w:tcPr>
            <w:tcW w:w="180" w:type="dxa"/>
            <w:vAlign w:val="bottom"/>
          </w:tcPr>
          <w:p>
            <w:pPr>
              <w:spacing w:after="0"/>
              <w:rPr>
                <w:sz w:val="2"/>
                <w:szCs w:val="2"/>
                <w:color w:val="auto"/>
              </w:rPr>
            </w:pPr>
          </w:p>
        </w:tc>
        <w:tc>
          <w:tcPr>
            <w:tcW w:w="1040" w:type="dxa"/>
            <w:vAlign w:val="bottom"/>
            <w:vMerge w:val="restart"/>
          </w:tcPr>
          <w:p>
            <w:pPr>
              <w:jc w:val="center"/>
              <w:ind w:right="97"/>
              <w:spacing w:after="0" w:line="122" w:lineRule="exact"/>
              <w:rPr>
                <w:sz w:val="20"/>
                <w:szCs w:val="20"/>
                <w:color w:val="auto"/>
              </w:rPr>
            </w:pPr>
            <w:r>
              <w:rPr>
                <w:rFonts w:ascii="Times New Roman" w:cs="Times New Roman" w:eastAsia="Times New Roman" w:hAnsi="Times New Roman"/>
                <w:sz w:val="13"/>
                <w:szCs w:val="13"/>
                <w:color w:val="auto"/>
                <w:w w:val="97"/>
              </w:rPr>
              <w:t>Comprehensive</w:t>
            </w:r>
          </w:p>
        </w:tc>
        <w:tc>
          <w:tcPr>
            <w:tcW w:w="200" w:type="dxa"/>
            <w:vAlign w:val="bottom"/>
          </w:tcPr>
          <w:p>
            <w:pPr>
              <w:spacing w:after="0"/>
              <w:rPr>
                <w:sz w:val="2"/>
                <w:szCs w:val="2"/>
                <w:color w:val="auto"/>
              </w:rPr>
            </w:pPr>
          </w:p>
        </w:tc>
        <w:tc>
          <w:tcPr>
            <w:tcW w:w="960" w:type="dxa"/>
            <w:vAlign w:val="bottom"/>
            <w:vMerge w:val="restart"/>
          </w:tcPr>
          <w:p>
            <w:pPr>
              <w:jc w:val="center"/>
              <w:ind w:right="77"/>
              <w:spacing w:after="0" w:line="122" w:lineRule="exact"/>
              <w:rPr>
                <w:sz w:val="20"/>
                <w:szCs w:val="20"/>
                <w:color w:val="auto"/>
              </w:rPr>
            </w:pPr>
            <w:r>
              <w:rPr>
                <w:rFonts w:ascii="Times New Roman" w:cs="Times New Roman" w:eastAsia="Times New Roman" w:hAnsi="Times New Roman"/>
                <w:sz w:val="13"/>
                <w:szCs w:val="13"/>
                <w:color w:val="auto"/>
                <w:w w:val="96"/>
              </w:rPr>
              <w:t>Stockholders’</w:t>
            </w:r>
          </w:p>
        </w:tc>
        <w:tc>
          <w:tcPr>
            <w:tcW w:w="0" w:type="dxa"/>
            <w:vAlign w:val="bottom"/>
          </w:tcPr>
          <w:p>
            <w:pPr>
              <w:spacing w:after="0"/>
              <w:rPr>
                <w:sz w:val="1"/>
                <w:szCs w:val="1"/>
                <w:color w:val="auto"/>
              </w:rPr>
            </w:pPr>
          </w:p>
        </w:tc>
      </w:tr>
      <w:tr>
        <w:trPr>
          <w:trHeight w:val="75"/>
        </w:trPr>
        <w:tc>
          <w:tcPr>
            <w:tcW w:w="2520" w:type="dxa"/>
            <w:vAlign w:val="bottom"/>
            <w:vMerge w:val="continue"/>
          </w:tcPr>
          <w:p>
            <w:pPr>
              <w:spacing w:after="0"/>
              <w:rPr>
                <w:sz w:val="6"/>
                <w:szCs w:val="6"/>
                <w:color w:val="auto"/>
              </w:rPr>
            </w:pPr>
          </w:p>
        </w:tc>
        <w:tc>
          <w:tcPr>
            <w:tcW w:w="100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Pr>
          <w:p>
            <w:pPr>
              <w:spacing w:after="0"/>
              <w:rPr>
                <w:sz w:val="6"/>
                <w:szCs w:val="6"/>
                <w:color w:val="auto"/>
              </w:rPr>
            </w:pPr>
          </w:p>
        </w:tc>
        <w:tc>
          <w:tcPr>
            <w:tcW w:w="9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1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tcPr>
          <w:p>
            <w:pPr>
              <w:spacing w:after="0"/>
              <w:rPr>
                <w:sz w:val="6"/>
                <w:szCs w:val="6"/>
                <w:color w:val="auto"/>
              </w:rPr>
            </w:pPr>
          </w:p>
        </w:tc>
        <w:tc>
          <w:tcPr>
            <w:tcW w:w="900" w:type="dxa"/>
            <w:vAlign w:val="bottom"/>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Amount</w:t>
            </w: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5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Capital</w:t>
            </w:r>
          </w:p>
        </w:tc>
        <w:tc>
          <w:tcPr>
            <w:tcW w:w="11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color w:val="auto"/>
                <w:w w:val="9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August 31, 2021</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41,163,192</w:t>
            </w:r>
          </w:p>
        </w:tc>
        <w:tc>
          <w:tcPr>
            <w:tcW w:w="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1,048,305</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3,547,773</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(905,917)</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912,515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(38,962)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1,016,353</w:t>
            </w:r>
          </w:p>
        </w:tc>
        <w:tc>
          <w:tcPr>
            <w:tcW w:w="0" w:type="dxa"/>
            <w:vAlign w:val="bottom"/>
          </w:tcPr>
          <w:p>
            <w:pPr>
              <w:spacing w:after="0"/>
              <w:rPr>
                <w:sz w:val="1"/>
                <w:szCs w:val="1"/>
                <w:color w:val="auto"/>
              </w:rPr>
            </w:pPr>
          </w:p>
        </w:tc>
      </w:tr>
      <w:tr>
        <w:trPr>
          <w:trHeight w:val="170"/>
        </w:trPr>
        <w:tc>
          <w:tcPr>
            <w:tcW w:w="2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217,585</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217,585</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(16,886)</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(16,886)</w:t>
            </w:r>
          </w:p>
        </w:tc>
        <w:tc>
          <w:tcPr>
            <w:tcW w:w="0" w:type="dxa"/>
            <w:vAlign w:val="bottom"/>
          </w:tcPr>
          <w:p>
            <w:pPr>
              <w:spacing w:after="0"/>
              <w:rPr>
                <w:sz w:val="1"/>
                <w:szCs w:val="1"/>
                <w:color w:val="auto"/>
              </w:rPr>
            </w:pPr>
          </w:p>
        </w:tc>
      </w:tr>
      <w:tr>
        <w:trPr>
          <w:trHeight w:val="122"/>
        </w:trPr>
        <w:tc>
          <w:tcPr>
            <w:tcW w:w="25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Common stock issued for employee stock</w:t>
            </w:r>
          </w:p>
        </w:tc>
        <w:tc>
          <w:tcPr>
            <w:tcW w:w="10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303,709</w:t>
            </w:r>
          </w:p>
        </w:tc>
        <w:tc>
          <w:tcPr>
            <w:tcW w:w="220" w:type="dxa"/>
            <w:vAlign w:val="bottom"/>
          </w:tcPr>
          <w:p>
            <w:pPr>
              <w:spacing w:after="0"/>
              <w:rPr>
                <w:sz w:val="10"/>
                <w:szCs w:val="10"/>
                <w:color w:val="auto"/>
              </w:rPr>
            </w:pPr>
          </w:p>
        </w:tc>
        <w:tc>
          <w:tcPr>
            <w:tcW w:w="9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56,924</w:t>
            </w:r>
          </w:p>
        </w:tc>
        <w:tc>
          <w:tcPr>
            <w:tcW w:w="11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260</w:t>
            </w:r>
          </w:p>
        </w:tc>
        <w:tc>
          <w:tcPr>
            <w:tcW w:w="240" w:type="dxa"/>
            <w:vAlign w:val="bottom"/>
          </w:tcPr>
          <w:p>
            <w:pPr>
              <w:spacing w:after="0"/>
              <w:rPr>
                <w:sz w:val="10"/>
                <w:szCs w:val="10"/>
                <w:color w:val="auto"/>
              </w:rPr>
            </w:pPr>
          </w:p>
        </w:tc>
        <w:tc>
          <w:tcPr>
            <w:tcW w:w="90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(128)</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56,799</w:t>
            </w:r>
          </w:p>
        </w:tc>
        <w:tc>
          <w:tcPr>
            <w:tcW w:w="0" w:type="dxa"/>
            <w:vAlign w:val="bottom"/>
          </w:tcPr>
          <w:p>
            <w:pPr>
              <w:spacing w:after="0"/>
              <w:rPr>
                <w:sz w:val="1"/>
                <w:szCs w:val="1"/>
                <w:color w:val="auto"/>
              </w:rPr>
            </w:pPr>
          </w:p>
        </w:tc>
      </w:tr>
      <w:tr>
        <w:trPr>
          <w:trHeight w:val="92"/>
        </w:trPr>
        <w:tc>
          <w:tcPr>
            <w:tcW w:w="25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plans</w:t>
            </w: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5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18,360</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7,162</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(3,130)</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(3,130)</w:t>
            </w:r>
          </w:p>
        </w:tc>
        <w:tc>
          <w:tcPr>
            <w:tcW w:w="0" w:type="dxa"/>
            <w:vAlign w:val="bottom"/>
          </w:tcPr>
          <w:p>
            <w:pPr>
              <w:spacing w:after="0"/>
              <w:rPr>
                <w:sz w:val="1"/>
                <w:szCs w:val="1"/>
                <w:color w:val="auto"/>
              </w:rPr>
            </w:pPr>
          </w:p>
        </w:tc>
      </w:tr>
      <w:tr>
        <w:trPr>
          <w:trHeight w:val="170"/>
        </w:trPr>
        <w:tc>
          <w:tcPr>
            <w:tcW w:w="2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46,200</w:t>
            </w:r>
          </w:p>
        </w:tc>
        <w:tc>
          <w:tcPr>
            <w:tcW w:w="24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(18,639)</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(18,639)</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25,937</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25,937</w:t>
            </w:r>
          </w:p>
        </w:tc>
        <w:tc>
          <w:tcPr>
            <w:tcW w:w="0" w:type="dxa"/>
            <w:vAlign w:val="bottom"/>
          </w:tcPr>
          <w:p>
            <w:pPr>
              <w:spacing w:after="0"/>
              <w:rPr>
                <w:sz w:val="1"/>
                <w:szCs w:val="1"/>
                <w:color w:val="auto"/>
              </w:rPr>
            </w:pPr>
          </w:p>
        </w:tc>
      </w:tr>
      <w:tr>
        <w:trPr>
          <w:trHeight w:val="170"/>
        </w:trPr>
        <w:tc>
          <w:tcPr>
            <w:tcW w:w="2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(62,038)</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(62,038)</w:t>
            </w:r>
          </w:p>
        </w:tc>
        <w:tc>
          <w:tcPr>
            <w:tcW w:w="0" w:type="dxa"/>
            <w:vAlign w:val="bottom"/>
          </w:tcPr>
          <w:p>
            <w:pPr>
              <w:spacing w:after="0"/>
              <w:rPr>
                <w:sz w:val="1"/>
                <w:szCs w:val="1"/>
                <w:color w:val="auto"/>
              </w:rPr>
            </w:pPr>
          </w:p>
        </w:tc>
      </w:tr>
      <w:tr>
        <w:trPr>
          <w:trHeight w:val="19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February 28, 2022</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41,485,261</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1,131,166</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3,601,395</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(927,814)</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1,068,062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(55,848)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1,215,981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February 28, 2021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8"/>
              <w:spacing w:after="0"/>
              <w:rPr>
                <w:sz w:val="20"/>
                <w:szCs w:val="20"/>
                <w:color w:val="auto"/>
              </w:rPr>
            </w:pPr>
            <w:r>
              <w:rPr>
                <w:rFonts w:ascii="Times New Roman" w:cs="Times New Roman" w:eastAsia="Times New Roman" w:hAnsi="Times New Roman"/>
                <w:sz w:val="13"/>
                <w:szCs w:val="13"/>
                <w:color w:val="auto"/>
                <w:w w:val="98"/>
              </w:rPr>
              <w:t>Accumulated</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120" w:type="dxa"/>
            <w:vAlign w:val="bottom"/>
            <w:gridSpan w:val="4"/>
          </w:tcPr>
          <w:p>
            <w:pPr>
              <w:jc w:val="right"/>
              <w:ind w:right="657"/>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2"/>
                <w:szCs w:val="12"/>
                <w:color w:val="auto"/>
              </w:rPr>
            </w:pPr>
          </w:p>
        </w:tc>
        <w:tc>
          <w:tcPr>
            <w:tcW w:w="820" w:type="dxa"/>
            <w:vAlign w:val="bottom"/>
          </w:tcPr>
          <w:p>
            <w:pPr>
              <w:jc w:val="center"/>
              <w:ind w:right="98"/>
              <w:spacing w:after="0"/>
              <w:rPr>
                <w:sz w:val="20"/>
                <w:szCs w:val="20"/>
                <w:color w:val="auto"/>
              </w:rPr>
            </w:pPr>
            <w:r>
              <w:rPr>
                <w:rFonts w:ascii="Times New Roman" w:cs="Times New Roman" w:eastAsia="Times New Roman" w:hAnsi="Times New Roman"/>
                <w:sz w:val="13"/>
                <w:szCs w:val="13"/>
                <w:color w:val="auto"/>
                <w:w w:val="97"/>
              </w:rPr>
              <w:t>Additional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Treasury Stock</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8"/>
              <w:spacing w:after="0"/>
              <w:rPr>
                <w:sz w:val="20"/>
                <w:szCs w:val="20"/>
                <w:color w:val="auto"/>
              </w:rPr>
            </w:pPr>
            <w:r>
              <w:rPr>
                <w:rFonts w:ascii="Times New Roman" w:cs="Times New Roman" w:eastAsia="Times New Roman" w:hAnsi="Times New Roman"/>
                <w:sz w:val="13"/>
                <w:szCs w:val="13"/>
                <w:color w:val="auto"/>
                <w:w w:val="94"/>
              </w:rPr>
              <w:t>Other</w:t>
            </w:r>
          </w:p>
        </w:tc>
        <w:tc>
          <w:tcPr>
            <w:tcW w:w="200" w:type="dxa"/>
            <w:vAlign w:val="bottom"/>
          </w:tcPr>
          <w:p>
            <w:pPr>
              <w:spacing w:after="0"/>
              <w:rPr>
                <w:sz w:val="12"/>
                <w:szCs w:val="12"/>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0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center"/>
              <w:ind w:right="78"/>
              <w:spacing w:after="0" w:line="95" w:lineRule="exact"/>
              <w:rPr>
                <w:sz w:val="20"/>
                <w:szCs w:val="20"/>
                <w:color w:val="auto"/>
              </w:rPr>
            </w:pPr>
            <w:r>
              <w:rPr>
                <w:rFonts w:ascii="Times New Roman" w:cs="Times New Roman" w:eastAsia="Times New Roman" w:hAnsi="Times New Roman"/>
                <w:sz w:val="10"/>
                <w:szCs w:val="10"/>
                <w:color w:val="auto"/>
              </w:rPr>
              <w:t>Paid-in</w:t>
            </w:r>
          </w:p>
        </w:tc>
        <w:tc>
          <w:tcPr>
            <w:tcW w:w="1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restart"/>
          </w:tcPr>
          <w:p>
            <w:pPr>
              <w:jc w:val="right"/>
              <w:ind w:right="238"/>
              <w:spacing w:after="0" w:line="95" w:lineRule="exact"/>
              <w:rPr>
                <w:sz w:val="20"/>
                <w:szCs w:val="20"/>
                <w:color w:val="auto"/>
              </w:rPr>
            </w:pPr>
            <w:r>
              <w:rPr>
                <w:rFonts w:ascii="Times New Roman" w:cs="Times New Roman" w:eastAsia="Times New Roman" w:hAnsi="Times New Roman"/>
                <w:sz w:val="10"/>
                <w:szCs w:val="10"/>
                <w:color w:val="auto"/>
              </w:rPr>
              <w:t>Retained</w:t>
            </w:r>
          </w:p>
        </w:tc>
        <w:tc>
          <w:tcPr>
            <w:tcW w:w="180" w:type="dxa"/>
            <w:vAlign w:val="bottom"/>
          </w:tcPr>
          <w:p>
            <w:pPr>
              <w:spacing w:after="0"/>
              <w:rPr>
                <w:sz w:val="4"/>
                <w:szCs w:val="4"/>
                <w:color w:val="auto"/>
              </w:rPr>
            </w:pPr>
          </w:p>
        </w:tc>
        <w:tc>
          <w:tcPr>
            <w:tcW w:w="1040" w:type="dxa"/>
            <w:vAlign w:val="bottom"/>
            <w:vMerge w:val="restart"/>
          </w:tcPr>
          <w:p>
            <w:pPr>
              <w:jc w:val="center"/>
              <w:ind w:right="98"/>
              <w:spacing w:after="0" w:line="95" w:lineRule="exact"/>
              <w:rPr>
                <w:sz w:val="20"/>
                <w:szCs w:val="20"/>
                <w:color w:val="auto"/>
              </w:rPr>
            </w:pPr>
            <w:r>
              <w:rPr>
                <w:rFonts w:ascii="Times New Roman" w:cs="Times New Roman" w:eastAsia="Times New Roman" w:hAnsi="Times New Roman"/>
                <w:sz w:val="10"/>
                <w:szCs w:val="10"/>
                <w:color w:val="auto"/>
              </w:rPr>
              <w:t>Comprehensive</w:t>
            </w:r>
          </w:p>
        </w:tc>
        <w:tc>
          <w:tcPr>
            <w:tcW w:w="200" w:type="dxa"/>
            <w:vAlign w:val="bottom"/>
          </w:tcPr>
          <w:p>
            <w:pPr>
              <w:spacing w:after="0"/>
              <w:rPr>
                <w:sz w:val="4"/>
                <w:szCs w:val="4"/>
                <w:color w:val="auto"/>
              </w:rPr>
            </w:pPr>
          </w:p>
        </w:tc>
        <w:tc>
          <w:tcPr>
            <w:tcW w:w="960" w:type="dxa"/>
            <w:vAlign w:val="bottom"/>
            <w:vMerge w:val="restart"/>
          </w:tcPr>
          <w:p>
            <w:pPr>
              <w:jc w:val="center"/>
              <w:ind w:right="77"/>
              <w:spacing w:after="0" w:line="95" w:lineRule="exact"/>
              <w:rPr>
                <w:sz w:val="20"/>
                <w:szCs w:val="20"/>
                <w:color w:val="auto"/>
              </w:rPr>
            </w:pPr>
            <w:r>
              <w:rPr>
                <w:rFonts w:ascii="Times New Roman" w:cs="Times New Roman" w:eastAsia="Times New Roman" w:hAnsi="Times New Roman"/>
                <w:sz w:val="10"/>
                <w:szCs w:val="10"/>
                <w:color w:val="auto"/>
              </w:rPr>
              <w:t>Stockholders’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vMerge w:val="continue"/>
          </w:tcPr>
          <w:p>
            <w:pPr>
              <w:spacing w:after="0" w:line="20" w:lineRule="exact"/>
              <w:rPr>
                <w:sz w:val="1"/>
                <w:szCs w:val="1"/>
                <w:color w:val="auto"/>
              </w:rPr>
            </w:pPr>
          </w:p>
        </w:tc>
        <w:tc>
          <w:tcPr>
            <w:tcW w:w="10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Pr>
          <w:p>
            <w:pPr>
              <w:spacing w:after="0" w:line="20" w:lineRule="exact"/>
              <w:rPr>
                <w:sz w:val="1"/>
                <w:szCs w:val="1"/>
                <w:color w:val="auto"/>
              </w:rPr>
            </w:pPr>
          </w:p>
        </w:tc>
        <w:tc>
          <w:tcPr>
            <w:tcW w:w="9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1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Shares</w:t>
            </w:r>
          </w:p>
        </w:tc>
        <w:tc>
          <w:tcPr>
            <w:tcW w:w="114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Amount</w:t>
            </w: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color w:val="auto"/>
                <w:w w:val="95"/>
              </w:rPr>
              <w:t>Capital</w:t>
            </w:r>
          </w:p>
        </w:tc>
        <w:tc>
          <w:tcPr>
            <w:tcW w:w="110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3"/>
                <w:szCs w:val="13"/>
                <w:color w:val="auto"/>
                <w:w w:val="9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November 30, 2020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40,884,113</w:t>
            </w:r>
          </w:p>
        </w:tc>
        <w:tc>
          <w:tcPr>
            <w:tcW w:w="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968,375</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2,875,984</w:t>
            </w:r>
          </w:p>
        </w:tc>
        <w:tc>
          <w:tcPr>
            <w:tcW w:w="4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(682,224)</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705,089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center"/>
              <w:ind w:left="398"/>
              <w:spacing w:after="0"/>
              <w:rPr>
                <w:sz w:val="20"/>
                <w:szCs w:val="20"/>
                <w:color w:val="auto"/>
              </w:rPr>
            </w:pPr>
            <w:r>
              <w:rPr>
                <w:rFonts w:ascii="Times New Roman" w:cs="Times New Roman" w:eastAsia="Times New Roman" w:hAnsi="Times New Roman"/>
                <w:sz w:val="13"/>
                <w:szCs w:val="13"/>
                <w:color w:val="auto"/>
                <w:w w:val="94"/>
              </w:rPr>
              <w:t>(39,076)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952,573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96,643</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96,643</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left="418"/>
              <w:spacing w:after="0"/>
              <w:rPr>
                <w:sz w:val="20"/>
                <w:szCs w:val="20"/>
                <w:color w:val="auto"/>
              </w:rPr>
            </w:pPr>
            <w:r>
              <w:rPr>
                <w:rFonts w:ascii="Times New Roman" w:cs="Times New Roman" w:eastAsia="Times New Roman" w:hAnsi="Times New Roman"/>
                <w:sz w:val="13"/>
                <w:szCs w:val="13"/>
                <w:color w:val="auto"/>
              </w:rPr>
              <w:t>10,580</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Common stock issued for employee stock</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58,550</w:t>
            </w:r>
          </w:p>
        </w:tc>
        <w:tc>
          <w:tcPr>
            <w:tcW w:w="220" w:type="dxa"/>
            <w:vAlign w:val="bottom"/>
          </w:tcPr>
          <w:p>
            <w:pPr>
              <w:spacing w:after="0"/>
              <w:rPr>
                <w:sz w:val="10"/>
                <w:szCs w:val="10"/>
                <w:color w:val="auto"/>
              </w:rPr>
            </w:pPr>
          </w:p>
        </w:tc>
        <w:tc>
          <w:tcPr>
            <w:tcW w:w="9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10,533</w:t>
            </w:r>
          </w:p>
        </w:tc>
        <w:tc>
          <w:tcPr>
            <w:tcW w:w="11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318</w:t>
            </w:r>
          </w:p>
        </w:tc>
        <w:tc>
          <w:tcPr>
            <w:tcW w:w="460" w:type="dxa"/>
            <w:vAlign w:val="bottom"/>
          </w:tcPr>
          <w:p>
            <w:pPr>
              <w:spacing w:after="0"/>
              <w:rPr>
                <w:sz w:val="10"/>
                <w:szCs w:val="10"/>
                <w:color w:val="auto"/>
              </w:rPr>
            </w:pPr>
          </w:p>
        </w:tc>
        <w:tc>
          <w:tcPr>
            <w:tcW w:w="6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(104)</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10,429</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plans</w:t>
            </w:r>
          </w:p>
        </w:tc>
        <w:tc>
          <w:tcPr>
            <w:tcW w:w="10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5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997</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401</w:t>
            </w: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(131)</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221,959</w:t>
            </w:r>
          </w:p>
        </w:tc>
        <w:tc>
          <w:tcPr>
            <w:tcW w:w="46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(71,495)</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(71,495)</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11,010</w:t>
            </w: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11,010</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Dividends declared</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(29,141)</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(29,141)</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February 28, 2021</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40,943,660</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409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989,918</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3,098,662</w:t>
            </w:r>
          </w:p>
        </w:tc>
        <w:tc>
          <w:tcPr>
            <w:tcW w:w="46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(753,954)</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772,591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center"/>
              <w:ind w:left="398"/>
              <w:spacing w:after="0"/>
              <w:rPr>
                <w:sz w:val="20"/>
                <w:szCs w:val="20"/>
                <w:color w:val="auto"/>
              </w:rPr>
            </w:pPr>
            <w:r>
              <w:rPr>
                <w:rFonts w:ascii="Times New Roman" w:cs="Times New Roman" w:eastAsia="Times New Roman" w:hAnsi="Times New Roman"/>
                <w:sz w:val="13"/>
                <w:szCs w:val="13"/>
                <w:color w:val="auto"/>
                <w:w w:val="94"/>
              </w:rPr>
              <w:t>(28,496)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980,468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3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For the Six Months Ended February 28, 2021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120" w:type="dxa"/>
            <w:vAlign w:val="bottom"/>
            <w:gridSpan w:val="4"/>
            <w:vMerge w:val="restart"/>
          </w:tcPr>
          <w:p>
            <w:pPr>
              <w:jc w:val="right"/>
              <w:ind w:right="657"/>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24"/>
                <w:szCs w:val="24"/>
                <w:color w:val="auto"/>
              </w:rPr>
            </w:pPr>
          </w:p>
        </w:tc>
        <w:tc>
          <w:tcPr>
            <w:tcW w:w="820" w:type="dxa"/>
            <w:vAlign w:val="bottom"/>
            <w:vMerge w:val="restart"/>
          </w:tcPr>
          <w:p>
            <w:pPr>
              <w:jc w:val="center"/>
              <w:ind w:right="98"/>
              <w:spacing w:after="0"/>
              <w:rPr>
                <w:sz w:val="20"/>
                <w:szCs w:val="20"/>
                <w:color w:val="auto"/>
              </w:rPr>
            </w:pPr>
            <w:r>
              <w:rPr>
                <w:rFonts w:ascii="Times New Roman" w:cs="Times New Roman" w:eastAsia="Times New Roman" w:hAnsi="Times New Roman"/>
                <w:sz w:val="13"/>
                <w:szCs w:val="13"/>
                <w:color w:val="auto"/>
                <w:w w:val="97"/>
              </w:rPr>
              <w:t>Additional</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Treasury Stock</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center"/>
              <w:ind w:right="98"/>
              <w:spacing w:after="0"/>
              <w:rPr>
                <w:sz w:val="20"/>
                <w:szCs w:val="20"/>
                <w:color w:val="auto"/>
              </w:rPr>
            </w:pPr>
            <w:r>
              <w:rPr>
                <w:rFonts w:ascii="Times New Roman" w:cs="Times New Roman" w:eastAsia="Times New Roman" w:hAnsi="Times New Roman"/>
                <w:sz w:val="13"/>
                <w:szCs w:val="13"/>
                <w:color w:val="auto"/>
                <w:w w:val="98"/>
              </w:rPr>
              <w:t>Accumulated</w:t>
            </w:r>
          </w:p>
        </w:tc>
        <w:tc>
          <w:tcPr>
            <w:tcW w:w="200" w:type="dxa"/>
            <w:vAlign w:val="bottom"/>
          </w:tcPr>
          <w:p>
            <w:pPr>
              <w:spacing w:after="0"/>
              <w:rPr>
                <w:sz w:val="24"/>
                <w:szCs w:val="24"/>
                <w:color w:val="auto"/>
              </w:rPr>
            </w:pPr>
          </w:p>
        </w:tc>
        <w:tc>
          <w:tcPr>
            <w:tcW w:w="96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12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98"/>
              <w:spacing w:after="0" w:line="122" w:lineRule="exact"/>
              <w:rPr>
                <w:sz w:val="20"/>
                <w:szCs w:val="20"/>
                <w:color w:val="auto"/>
              </w:rPr>
            </w:pPr>
            <w:r>
              <w:rPr>
                <w:rFonts w:ascii="Times New Roman" w:cs="Times New Roman" w:eastAsia="Times New Roman" w:hAnsi="Times New Roman"/>
                <w:sz w:val="13"/>
                <w:szCs w:val="13"/>
                <w:color w:val="auto"/>
                <w:w w:val="94"/>
              </w:rPr>
              <w:t>Other</w:t>
            </w: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0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center"/>
              <w:ind w:right="78"/>
              <w:spacing w:after="0" w:line="122" w:lineRule="exact"/>
              <w:rPr>
                <w:sz w:val="20"/>
                <w:szCs w:val="20"/>
                <w:color w:val="auto"/>
              </w:rPr>
            </w:pPr>
            <w:r>
              <w:rPr>
                <w:rFonts w:ascii="Times New Roman" w:cs="Times New Roman" w:eastAsia="Times New Roman" w:hAnsi="Times New Roman"/>
                <w:sz w:val="13"/>
                <w:szCs w:val="13"/>
                <w:color w:val="auto"/>
                <w:w w:val="95"/>
              </w:rPr>
              <w:t>Paid-in</w:t>
            </w: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restart"/>
          </w:tcPr>
          <w:p>
            <w:pPr>
              <w:jc w:val="right"/>
              <w:ind w:right="238"/>
              <w:spacing w:after="0" w:line="122" w:lineRule="exact"/>
              <w:rPr>
                <w:sz w:val="20"/>
                <w:szCs w:val="20"/>
                <w:color w:val="auto"/>
              </w:rPr>
            </w:pPr>
            <w:r>
              <w:rPr>
                <w:rFonts w:ascii="Times New Roman" w:cs="Times New Roman" w:eastAsia="Times New Roman" w:hAnsi="Times New Roman"/>
                <w:sz w:val="13"/>
                <w:szCs w:val="13"/>
                <w:color w:val="auto"/>
              </w:rPr>
              <w:t>Retained</w:t>
            </w:r>
          </w:p>
        </w:tc>
        <w:tc>
          <w:tcPr>
            <w:tcW w:w="180" w:type="dxa"/>
            <w:vAlign w:val="bottom"/>
          </w:tcPr>
          <w:p>
            <w:pPr>
              <w:spacing w:after="0"/>
              <w:rPr>
                <w:sz w:val="2"/>
                <w:szCs w:val="2"/>
                <w:color w:val="auto"/>
              </w:rPr>
            </w:pPr>
          </w:p>
        </w:tc>
        <w:tc>
          <w:tcPr>
            <w:tcW w:w="1040" w:type="dxa"/>
            <w:vAlign w:val="bottom"/>
            <w:vMerge w:val="restart"/>
          </w:tcPr>
          <w:p>
            <w:pPr>
              <w:jc w:val="center"/>
              <w:ind w:right="98"/>
              <w:spacing w:after="0" w:line="122" w:lineRule="exact"/>
              <w:rPr>
                <w:sz w:val="20"/>
                <w:szCs w:val="20"/>
                <w:color w:val="auto"/>
              </w:rPr>
            </w:pPr>
            <w:r>
              <w:rPr>
                <w:rFonts w:ascii="Times New Roman" w:cs="Times New Roman" w:eastAsia="Times New Roman" w:hAnsi="Times New Roman"/>
                <w:sz w:val="13"/>
                <w:szCs w:val="13"/>
                <w:color w:val="auto"/>
                <w:w w:val="97"/>
              </w:rPr>
              <w:t>Comprehensive</w:t>
            </w:r>
          </w:p>
        </w:tc>
        <w:tc>
          <w:tcPr>
            <w:tcW w:w="200" w:type="dxa"/>
            <w:vAlign w:val="bottom"/>
          </w:tcPr>
          <w:p>
            <w:pPr>
              <w:spacing w:after="0"/>
              <w:rPr>
                <w:sz w:val="2"/>
                <w:szCs w:val="2"/>
                <w:color w:val="auto"/>
              </w:rPr>
            </w:pPr>
          </w:p>
        </w:tc>
        <w:tc>
          <w:tcPr>
            <w:tcW w:w="960" w:type="dxa"/>
            <w:vAlign w:val="bottom"/>
            <w:vMerge w:val="restart"/>
          </w:tcPr>
          <w:p>
            <w:pPr>
              <w:jc w:val="center"/>
              <w:ind w:right="77"/>
              <w:spacing w:after="0" w:line="122" w:lineRule="exact"/>
              <w:rPr>
                <w:sz w:val="20"/>
                <w:szCs w:val="20"/>
                <w:color w:val="auto"/>
              </w:rPr>
            </w:pPr>
            <w:r>
              <w:rPr>
                <w:rFonts w:ascii="Times New Roman" w:cs="Times New Roman" w:eastAsia="Times New Roman" w:hAnsi="Times New Roman"/>
                <w:sz w:val="13"/>
                <w:szCs w:val="13"/>
                <w:color w:val="auto"/>
                <w:w w:val="96"/>
              </w:rPr>
              <w:t>Stockholders’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vMerge w:val="continue"/>
          </w:tcPr>
          <w:p>
            <w:pPr>
              <w:spacing w:after="0"/>
              <w:rPr>
                <w:sz w:val="6"/>
                <w:szCs w:val="6"/>
                <w:color w:val="auto"/>
              </w:rPr>
            </w:pPr>
          </w:p>
        </w:tc>
        <w:tc>
          <w:tcPr>
            <w:tcW w:w="10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Pr>
          <w:p>
            <w:pPr>
              <w:spacing w:after="0"/>
              <w:rPr>
                <w:sz w:val="6"/>
                <w:szCs w:val="6"/>
                <w:color w:val="auto"/>
              </w:rPr>
            </w:pPr>
          </w:p>
        </w:tc>
        <w:tc>
          <w:tcPr>
            <w:tcW w:w="9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1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Shares</w:t>
            </w:r>
          </w:p>
        </w:tc>
        <w:tc>
          <w:tcPr>
            <w:tcW w:w="114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Amount</w:t>
            </w: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color w:val="auto"/>
                <w:w w:val="95"/>
              </w:rPr>
              <w:t>Capital</w:t>
            </w:r>
          </w:p>
        </w:tc>
        <w:tc>
          <w:tcPr>
            <w:tcW w:w="110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3"/>
                <w:szCs w:val="13"/>
                <w:color w:val="auto"/>
                <w:w w:val="9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August 31, 2020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40,767,708</w:t>
            </w:r>
          </w:p>
        </w:tc>
        <w:tc>
          <w:tcPr>
            <w:tcW w:w="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939,067</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2,737,456</w:t>
            </w:r>
          </w:p>
        </w:tc>
        <w:tc>
          <w:tcPr>
            <w:tcW w:w="4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(636,956)</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633,149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center"/>
              <w:ind w:left="398"/>
              <w:spacing w:after="0"/>
              <w:rPr>
                <w:sz w:val="20"/>
                <w:szCs w:val="20"/>
                <w:color w:val="auto"/>
              </w:rPr>
            </w:pPr>
            <w:r>
              <w:rPr>
                <w:rFonts w:ascii="Times New Roman" w:cs="Times New Roman" w:eastAsia="Times New Roman" w:hAnsi="Times New Roman"/>
                <w:sz w:val="13"/>
                <w:szCs w:val="13"/>
                <w:color w:val="auto"/>
                <w:w w:val="94"/>
              </w:rPr>
              <w:t>(39,293)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896,375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197,849</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197,849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left="418"/>
              <w:spacing w:after="0"/>
              <w:rPr>
                <w:sz w:val="20"/>
                <w:szCs w:val="20"/>
                <w:color w:val="auto"/>
              </w:rPr>
            </w:pPr>
            <w:r>
              <w:rPr>
                <w:rFonts w:ascii="Times New Roman" w:cs="Times New Roman" w:eastAsia="Times New Roman" w:hAnsi="Times New Roman"/>
                <w:sz w:val="13"/>
                <w:szCs w:val="13"/>
                <w:color w:val="auto"/>
              </w:rPr>
              <w:t>10,797</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Common stock issued for employee stock</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157,009</w:t>
            </w:r>
          </w:p>
        </w:tc>
        <w:tc>
          <w:tcPr>
            <w:tcW w:w="220" w:type="dxa"/>
            <w:vAlign w:val="bottom"/>
          </w:tcPr>
          <w:p>
            <w:pPr>
              <w:spacing w:after="0"/>
              <w:rPr>
                <w:sz w:val="10"/>
                <w:szCs w:val="10"/>
                <w:color w:val="auto"/>
              </w:rPr>
            </w:pPr>
          </w:p>
        </w:tc>
        <w:tc>
          <w:tcPr>
            <w:tcW w:w="9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28,524</w:t>
            </w:r>
          </w:p>
        </w:tc>
        <w:tc>
          <w:tcPr>
            <w:tcW w:w="11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318</w:t>
            </w:r>
          </w:p>
        </w:tc>
        <w:tc>
          <w:tcPr>
            <w:tcW w:w="460" w:type="dxa"/>
            <w:vAlign w:val="bottom"/>
          </w:tcPr>
          <w:p>
            <w:pPr>
              <w:spacing w:after="0"/>
              <w:rPr>
                <w:sz w:val="10"/>
                <w:szCs w:val="10"/>
                <w:color w:val="auto"/>
              </w:rPr>
            </w:pPr>
          </w:p>
        </w:tc>
        <w:tc>
          <w:tcPr>
            <w:tcW w:w="6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(104)</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28,421</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plans</w:t>
            </w:r>
          </w:p>
        </w:tc>
        <w:tc>
          <w:tcPr>
            <w:tcW w:w="10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5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18,943</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7,129</w:t>
            </w: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(2,254)</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353,759</w:t>
            </w:r>
          </w:p>
        </w:tc>
        <w:tc>
          <w:tcPr>
            <w:tcW w:w="46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(114,640)</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(114,640)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22,327</w:t>
            </w: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22,327</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Dividends declared</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(58,407)</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(58,407)</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February 28, 2021</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40,943,660</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409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989,918</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3,098,662</w:t>
            </w:r>
          </w:p>
        </w:tc>
        <w:tc>
          <w:tcPr>
            <w:tcW w:w="46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(753,954)</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772,591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center"/>
              <w:ind w:left="398"/>
              <w:spacing w:after="0"/>
              <w:rPr>
                <w:sz w:val="20"/>
                <w:szCs w:val="20"/>
                <w:color w:val="auto"/>
              </w:rPr>
            </w:pPr>
            <w:r>
              <w:rPr>
                <w:rFonts w:ascii="Times New Roman" w:cs="Times New Roman" w:eastAsia="Times New Roman" w:hAnsi="Times New Roman"/>
                <w:sz w:val="13"/>
                <w:szCs w:val="13"/>
                <w:color w:val="auto"/>
                <w:w w:val="94"/>
              </w:rPr>
              <w:t>(28,496)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980,468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FactSet Research Systems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1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Note 1</w:t>
            </w:r>
          </w:p>
        </w:tc>
        <w:tc>
          <w:tcPr>
            <w:tcW w:w="6440" w:type="dxa"/>
            <w:vAlign w:val="bottom"/>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auto"/>
              </w:rPr>
              <w:t>Description of Business</w:t>
            </w:r>
          </w:p>
        </w:tc>
        <w:tc>
          <w:tcPr>
            <w:tcW w:w="27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89" w:lineRule="exact"/>
              <w:rPr>
                <w:rFonts w:ascii="Times New Roman" w:cs="Times New Roman" w:eastAsia="Times New Roman" w:hAnsi="Times New Roman"/>
                <w:sz w:val="18"/>
                <w:szCs w:val="18"/>
                <w:color w:val="0000FF"/>
                <w:w w:val="88"/>
              </w:rPr>
            </w:pPr>
            <w:hyperlink w:anchor="page11">
              <w:r>
                <w:rPr>
                  <w:rFonts w:ascii="Times New Roman" w:cs="Times New Roman" w:eastAsia="Times New Roman" w:hAnsi="Times New Roman"/>
                  <w:sz w:val="18"/>
                  <w:szCs w:val="18"/>
                  <w:color w:val="0000FF"/>
                  <w:w w:val="88"/>
                </w:rPr>
                <w:t>11</w:t>
              </w:r>
            </w:hyperlink>
          </w:p>
        </w:tc>
      </w:tr>
      <w:tr>
        <w:trPr>
          <w:trHeight w:val="20"/>
        </w:trPr>
        <w:tc>
          <w:tcPr>
            <w:tcW w:w="1860" w:type="dxa"/>
            <w:vAlign w:val="bottom"/>
            <w:tcBorders>
              <w:top w:val="single" w:sz="8" w:color="CCEEFF"/>
            </w:tcBorders>
            <w:shd w:val="clear" w:color="auto" w:fill="CCEEFF"/>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Note 2</w:t>
            </w:r>
          </w:p>
        </w:tc>
        <w:tc>
          <w:tcPr>
            <w:tcW w:w="6440" w:type="dxa"/>
            <w:vAlign w:val="bottom"/>
          </w:tcPr>
          <w:p>
            <w:pPr>
              <w:ind w:left="1260"/>
              <w:spacing w:after="0" w:line="189" w:lineRule="exact"/>
              <w:rPr>
                <w:sz w:val="20"/>
                <w:szCs w:val="20"/>
                <w:color w:val="auto"/>
              </w:rPr>
            </w:pPr>
            <w:r>
              <w:rPr>
                <w:rFonts w:ascii="Times New Roman" w:cs="Times New Roman" w:eastAsia="Times New Roman" w:hAnsi="Times New Roman"/>
                <w:sz w:val="18"/>
                <w:szCs w:val="18"/>
                <w:color w:val="auto"/>
              </w:rPr>
              <w:t>Basis of Presentation</w:t>
            </w:r>
          </w:p>
        </w:tc>
        <w:tc>
          <w:tcPr>
            <w:tcW w:w="2740" w:type="dxa"/>
            <w:vAlign w:val="bottom"/>
          </w:tcPr>
          <w:p>
            <w:pPr>
              <w:spacing w:after="0"/>
              <w:rPr>
                <w:sz w:val="16"/>
                <w:szCs w:val="16"/>
                <w:color w:val="auto"/>
              </w:rPr>
            </w:pPr>
          </w:p>
        </w:tc>
        <w:tc>
          <w:tcPr>
            <w:tcW w:w="200" w:type="dxa"/>
            <w:vAlign w:val="bottom"/>
            <w:gridSpan w:val="2"/>
          </w:tcPr>
          <w:p>
            <w:pPr>
              <w:jc w:val="right"/>
              <w:ind w:right="20"/>
              <w:spacing w:after="0" w:line="189" w:lineRule="exact"/>
              <w:rPr>
                <w:rFonts w:ascii="Times New Roman" w:cs="Times New Roman" w:eastAsia="Times New Roman" w:hAnsi="Times New Roman"/>
                <w:sz w:val="18"/>
                <w:szCs w:val="18"/>
                <w:color w:val="0000FF"/>
                <w:w w:val="88"/>
              </w:rPr>
            </w:pPr>
            <w:hyperlink w:anchor="page11">
              <w:r>
                <w:rPr>
                  <w:rFonts w:ascii="Times New Roman" w:cs="Times New Roman" w:eastAsia="Times New Roman" w:hAnsi="Times New Roman"/>
                  <w:sz w:val="18"/>
                  <w:szCs w:val="18"/>
                  <w:color w:val="0000FF"/>
                  <w:w w:val="88"/>
                </w:rPr>
                <w:t>11</w:t>
              </w:r>
            </w:hyperlink>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Note 3</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auto"/>
              </w:rPr>
              <w:t>Recent Accounting Pronouncements</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Times New Roman" w:cs="Times New Roman" w:eastAsia="Times New Roman" w:hAnsi="Times New Roman"/>
                <w:sz w:val="18"/>
                <w:szCs w:val="18"/>
                <w:color w:val="0000FF"/>
                <w:w w:val="88"/>
              </w:rPr>
            </w:pPr>
            <w:hyperlink w:anchor="page12">
              <w:r>
                <w:rPr>
                  <w:rFonts w:ascii="Times New Roman" w:cs="Times New Roman" w:eastAsia="Times New Roman" w:hAnsi="Times New Roman"/>
                  <w:sz w:val="18"/>
                  <w:szCs w:val="18"/>
                  <w:color w:val="0000FF"/>
                  <w:w w:val="88"/>
                </w:rPr>
                <w:t>12</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Note 4</w:t>
            </w:r>
          </w:p>
        </w:tc>
        <w:tc>
          <w:tcPr>
            <w:tcW w:w="6440" w:type="dxa"/>
            <w:vAlign w:val="bottom"/>
          </w:tcPr>
          <w:p>
            <w:pPr>
              <w:ind w:left="1260"/>
              <w:spacing w:after="0" w:line="189" w:lineRule="exact"/>
              <w:rPr>
                <w:sz w:val="20"/>
                <w:szCs w:val="20"/>
                <w:color w:val="auto"/>
              </w:rPr>
            </w:pPr>
            <w:r>
              <w:rPr>
                <w:rFonts w:ascii="Times New Roman" w:cs="Times New Roman" w:eastAsia="Times New Roman" w:hAnsi="Times New Roman"/>
                <w:sz w:val="18"/>
                <w:szCs w:val="18"/>
                <w:color w:val="auto"/>
              </w:rPr>
              <w:t>Revenue Recognition</w:t>
            </w:r>
          </w:p>
        </w:tc>
        <w:tc>
          <w:tcPr>
            <w:tcW w:w="2920" w:type="dxa"/>
            <w:vAlign w:val="bottom"/>
            <w:gridSpan w:val="2"/>
          </w:tcPr>
          <w:p>
            <w:pPr>
              <w:jc w:val="right"/>
              <w:spacing w:after="0" w:line="189" w:lineRule="exact"/>
              <w:rPr>
                <w:rFonts w:ascii="Times New Roman" w:cs="Times New Roman" w:eastAsia="Times New Roman" w:hAnsi="Times New Roman"/>
                <w:sz w:val="18"/>
                <w:szCs w:val="18"/>
                <w:color w:val="0000FF"/>
              </w:rPr>
            </w:pPr>
            <w:hyperlink w:anchor="page12">
              <w:r>
                <w:rPr>
                  <w:rFonts w:ascii="Times New Roman" w:cs="Times New Roman" w:eastAsia="Times New Roman" w:hAnsi="Times New Roman"/>
                  <w:sz w:val="18"/>
                  <w:szCs w:val="18"/>
                  <w:color w:val="0000FF"/>
                </w:rPr>
                <w:t>12</w:t>
              </w:r>
            </w:hyperlink>
          </w:p>
        </w:tc>
        <w:tc>
          <w:tcPr>
            <w:tcW w:w="20" w:type="dxa"/>
            <w:vAlign w:val="bottom"/>
          </w:tcPr>
          <w:p>
            <w:pPr>
              <w:spacing w:after="0"/>
              <w:rPr>
                <w:sz w:val="16"/>
                <w:szCs w:val="16"/>
                <w:color w:val="auto"/>
              </w:rPr>
            </w:pPr>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Note 5</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auto"/>
              </w:rPr>
              <w:t>Fair Value Measures</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Times New Roman" w:cs="Times New Roman" w:eastAsia="Times New Roman" w:hAnsi="Times New Roman"/>
                <w:sz w:val="18"/>
                <w:szCs w:val="18"/>
                <w:color w:val="0000FF"/>
                <w:w w:val="88"/>
              </w:rPr>
            </w:pPr>
            <w:hyperlink w:anchor="page13">
              <w:r>
                <w:rPr>
                  <w:rFonts w:ascii="Times New Roman" w:cs="Times New Roman" w:eastAsia="Times New Roman" w:hAnsi="Times New Roman"/>
                  <w:sz w:val="18"/>
                  <w:szCs w:val="18"/>
                  <w:color w:val="0000FF"/>
                  <w:w w:val="88"/>
                </w:rPr>
                <w:t>13</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Note 6</w:t>
            </w:r>
          </w:p>
        </w:tc>
        <w:tc>
          <w:tcPr>
            <w:tcW w:w="6440" w:type="dxa"/>
            <w:vAlign w:val="bottom"/>
          </w:tcPr>
          <w:p>
            <w:pPr>
              <w:ind w:left="1260"/>
              <w:spacing w:after="0" w:line="189" w:lineRule="exact"/>
              <w:rPr>
                <w:sz w:val="20"/>
                <w:szCs w:val="20"/>
                <w:color w:val="auto"/>
              </w:rPr>
            </w:pPr>
            <w:r>
              <w:rPr>
                <w:rFonts w:ascii="Times New Roman" w:cs="Times New Roman" w:eastAsia="Times New Roman" w:hAnsi="Times New Roman"/>
                <w:sz w:val="18"/>
                <w:szCs w:val="18"/>
                <w:color w:val="auto"/>
              </w:rPr>
              <w:t>Derivative Instruments</w:t>
            </w:r>
          </w:p>
        </w:tc>
        <w:tc>
          <w:tcPr>
            <w:tcW w:w="2920" w:type="dxa"/>
            <w:vAlign w:val="bottom"/>
            <w:gridSpan w:val="2"/>
          </w:tcPr>
          <w:p>
            <w:pPr>
              <w:jc w:val="right"/>
              <w:spacing w:after="0" w:line="189" w:lineRule="exact"/>
              <w:rPr>
                <w:rFonts w:ascii="Times New Roman" w:cs="Times New Roman" w:eastAsia="Times New Roman" w:hAnsi="Times New Roman"/>
                <w:sz w:val="18"/>
                <w:szCs w:val="18"/>
                <w:color w:val="0000FF"/>
              </w:rPr>
            </w:pPr>
            <w:hyperlink w:anchor="page15">
              <w:r>
                <w:rPr>
                  <w:rFonts w:ascii="Times New Roman" w:cs="Times New Roman" w:eastAsia="Times New Roman" w:hAnsi="Times New Roman"/>
                  <w:sz w:val="18"/>
                  <w:szCs w:val="18"/>
                  <w:color w:val="0000FF"/>
                </w:rPr>
                <w:t>15</w:t>
              </w:r>
            </w:hyperlink>
          </w:p>
        </w:tc>
        <w:tc>
          <w:tcPr>
            <w:tcW w:w="20" w:type="dxa"/>
            <w:vAlign w:val="bottom"/>
          </w:tcPr>
          <w:p>
            <w:pPr>
              <w:spacing w:after="0"/>
              <w:rPr>
                <w:sz w:val="16"/>
                <w:szCs w:val="16"/>
                <w:color w:val="auto"/>
              </w:rPr>
            </w:pPr>
          </w:p>
        </w:tc>
      </w:tr>
      <w:tr>
        <w:trPr>
          <w:trHeight w:val="20"/>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Note 7</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auto"/>
              </w:rPr>
              <w:t>Acquisition</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Times New Roman" w:cs="Times New Roman" w:eastAsia="Times New Roman" w:hAnsi="Times New Roman"/>
                <w:sz w:val="18"/>
                <w:szCs w:val="18"/>
                <w:color w:val="0000FF"/>
                <w:w w:val="88"/>
              </w:rPr>
            </w:pPr>
            <w:hyperlink w:anchor="page17">
              <w:r>
                <w:rPr>
                  <w:rFonts w:ascii="Times New Roman" w:cs="Times New Roman" w:eastAsia="Times New Roman" w:hAnsi="Times New Roman"/>
                  <w:sz w:val="18"/>
                  <w:szCs w:val="18"/>
                  <w:color w:val="0000FF"/>
                  <w:w w:val="88"/>
                </w:rPr>
                <w:t>17</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Note 8</w:t>
            </w:r>
          </w:p>
        </w:tc>
        <w:tc>
          <w:tcPr>
            <w:tcW w:w="6440" w:type="dxa"/>
            <w:vAlign w:val="bottom"/>
          </w:tcPr>
          <w:p>
            <w:pPr>
              <w:ind w:left="1260"/>
              <w:spacing w:after="0" w:line="189" w:lineRule="exact"/>
              <w:rPr>
                <w:sz w:val="20"/>
                <w:szCs w:val="20"/>
                <w:color w:val="auto"/>
              </w:rPr>
            </w:pPr>
            <w:r>
              <w:rPr>
                <w:rFonts w:ascii="Times New Roman" w:cs="Times New Roman" w:eastAsia="Times New Roman" w:hAnsi="Times New Roman"/>
                <w:sz w:val="18"/>
                <w:szCs w:val="18"/>
                <w:color w:val="auto"/>
              </w:rPr>
              <w:t>Goodwill</w:t>
            </w:r>
          </w:p>
        </w:tc>
        <w:tc>
          <w:tcPr>
            <w:tcW w:w="2920" w:type="dxa"/>
            <w:vAlign w:val="bottom"/>
            <w:gridSpan w:val="2"/>
          </w:tcPr>
          <w:p>
            <w:pPr>
              <w:jc w:val="right"/>
              <w:spacing w:after="0" w:line="189" w:lineRule="exact"/>
              <w:rPr>
                <w:rFonts w:ascii="Times New Roman" w:cs="Times New Roman" w:eastAsia="Times New Roman" w:hAnsi="Times New Roman"/>
                <w:sz w:val="18"/>
                <w:szCs w:val="18"/>
                <w:color w:val="0000FF"/>
              </w:rPr>
            </w:pPr>
            <w:hyperlink w:anchor="page19">
              <w:r>
                <w:rPr>
                  <w:rFonts w:ascii="Times New Roman" w:cs="Times New Roman" w:eastAsia="Times New Roman" w:hAnsi="Times New Roman"/>
                  <w:sz w:val="18"/>
                  <w:szCs w:val="18"/>
                  <w:color w:val="0000FF"/>
                </w:rPr>
                <w:t>19</w:t>
              </w:r>
            </w:hyperlink>
          </w:p>
        </w:tc>
        <w:tc>
          <w:tcPr>
            <w:tcW w:w="20" w:type="dxa"/>
            <w:vAlign w:val="bottom"/>
          </w:tcPr>
          <w:p>
            <w:pPr>
              <w:spacing w:after="0"/>
              <w:rPr>
                <w:sz w:val="16"/>
                <w:szCs w:val="16"/>
                <w:color w:val="auto"/>
              </w:rPr>
            </w:pPr>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Note 9</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auto"/>
              </w:rPr>
              <w:t>Income Taxes</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Times New Roman" w:cs="Times New Roman" w:eastAsia="Times New Roman" w:hAnsi="Times New Roman"/>
                <w:sz w:val="18"/>
                <w:szCs w:val="18"/>
                <w:color w:val="0000FF"/>
                <w:w w:val="88"/>
              </w:rPr>
            </w:pPr>
            <w:hyperlink w:anchor="page19">
              <w:r>
                <w:rPr>
                  <w:rFonts w:ascii="Times New Roman" w:cs="Times New Roman" w:eastAsia="Times New Roman" w:hAnsi="Times New Roman"/>
                  <w:sz w:val="18"/>
                  <w:szCs w:val="18"/>
                  <w:color w:val="0000FF"/>
                  <w:w w:val="88"/>
                </w:rPr>
                <w:t>19</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Note 10</w:t>
            </w:r>
          </w:p>
        </w:tc>
        <w:tc>
          <w:tcPr>
            <w:tcW w:w="6440" w:type="dxa"/>
            <w:vAlign w:val="bottom"/>
          </w:tcPr>
          <w:p>
            <w:pPr>
              <w:ind w:left="1260"/>
              <w:spacing w:after="0" w:line="189" w:lineRule="exact"/>
              <w:rPr>
                <w:sz w:val="20"/>
                <w:szCs w:val="20"/>
                <w:color w:val="auto"/>
              </w:rPr>
            </w:pPr>
            <w:r>
              <w:rPr>
                <w:rFonts w:ascii="Times New Roman" w:cs="Times New Roman" w:eastAsia="Times New Roman" w:hAnsi="Times New Roman"/>
                <w:sz w:val="18"/>
                <w:szCs w:val="18"/>
                <w:color w:val="auto"/>
              </w:rPr>
              <w:t>Leases</w:t>
            </w:r>
          </w:p>
        </w:tc>
        <w:tc>
          <w:tcPr>
            <w:tcW w:w="2920" w:type="dxa"/>
            <w:vAlign w:val="bottom"/>
            <w:gridSpan w:val="2"/>
          </w:tcPr>
          <w:p>
            <w:pPr>
              <w:jc w:val="right"/>
              <w:spacing w:after="0" w:line="189" w:lineRule="exact"/>
              <w:rPr>
                <w:rFonts w:ascii="Times New Roman" w:cs="Times New Roman" w:eastAsia="Times New Roman" w:hAnsi="Times New Roman"/>
                <w:sz w:val="18"/>
                <w:szCs w:val="18"/>
                <w:color w:val="0000FF"/>
              </w:rPr>
            </w:pPr>
            <w:hyperlink w:anchor="page20">
              <w:r>
                <w:rPr>
                  <w:rFonts w:ascii="Times New Roman" w:cs="Times New Roman" w:eastAsia="Times New Roman" w:hAnsi="Times New Roman"/>
                  <w:sz w:val="18"/>
                  <w:szCs w:val="18"/>
                  <w:color w:val="0000FF"/>
                </w:rPr>
                <w:t>20</w:t>
              </w:r>
            </w:hyperlink>
          </w:p>
        </w:tc>
        <w:tc>
          <w:tcPr>
            <w:tcW w:w="20" w:type="dxa"/>
            <w:vAlign w:val="bottom"/>
          </w:tcPr>
          <w:p>
            <w:pPr>
              <w:spacing w:after="0"/>
              <w:rPr>
                <w:sz w:val="16"/>
                <w:szCs w:val="16"/>
                <w:color w:val="auto"/>
              </w:rPr>
            </w:pPr>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Note 11</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auto"/>
              </w:rPr>
              <w:t>Debt</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Times New Roman" w:cs="Times New Roman" w:eastAsia="Times New Roman" w:hAnsi="Times New Roman"/>
                <w:sz w:val="18"/>
                <w:szCs w:val="18"/>
                <w:color w:val="0000FF"/>
                <w:w w:val="88"/>
              </w:rPr>
            </w:pPr>
            <w:hyperlink w:anchor="page21">
              <w:r>
                <w:rPr>
                  <w:rFonts w:ascii="Times New Roman" w:cs="Times New Roman" w:eastAsia="Times New Roman" w:hAnsi="Times New Roman"/>
                  <w:sz w:val="18"/>
                  <w:szCs w:val="18"/>
                  <w:color w:val="0000FF"/>
                  <w:w w:val="88"/>
                </w:rPr>
                <w:t>22</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Note 12</w:t>
            </w:r>
          </w:p>
        </w:tc>
        <w:tc>
          <w:tcPr>
            <w:tcW w:w="6440" w:type="dxa"/>
            <w:vAlign w:val="bottom"/>
          </w:tcPr>
          <w:p>
            <w:pPr>
              <w:ind w:left="1260"/>
              <w:spacing w:after="0" w:line="189"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2920" w:type="dxa"/>
            <w:vAlign w:val="bottom"/>
            <w:gridSpan w:val="2"/>
          </w:tcPr>
          <w:p>
            <w:pPr>
              <w:jc w:val="right"/>
              <w:spacing w:after="0" w:line="189" w:lineRule="exact"/>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23</w:t>
              </w:r>
            </w:hyperlink>
          </w:p>
        </w:tc>
        <w:tc>
          <w:tcPr>
            <w:tcW w:w="20" w:type="dxa"/>
            <w:vAlign w:val="bottom"/>
          </w:tcPr>
          <w:p>
            <w:pPr>
              <w:spacing w:after="0"/>
              <w:rPr>
                <w:sz w:val="16"/>
                <w:szCs w:val="16"/>
                <w:color w:val="auto"/>
              </w:rPr>
            </w:pPr>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Note 13</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auto"/>
              </w:rPr>
              <w:t>Stockholders' Equity</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Times New Roman" w:cs="Times New Roman" w:eastAsia="Times New Roman" w:hAnsi="Times New Roman"/>
                <w:sz w:val="18"/>
                <w:szCs w:val="18"/>
                <w:color w:val="0000FF"/>
                <w:w w:val="88"/>
              </w:rPr>
            </w:pPr>
            <w:hyperlink w:anchor="page24">
              <w:r>
                <w:rPr>
                  <w:rFonts w:ascii="Times New Roman" w:cs="Times New Roman" w:eastAsia="Times New Roman" w:hAnsi="Times New Roman"/>
                  <w:sz w:val="18"/>
                  <w:szCs w:val="18"/>
                  <w:color w:val="0000FF"/>
                  <w:w w:val="88"/>
                </w:rPr>
                <w:t>25</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Note 14</w:t>
            </w:r>
          </w:p>
        </w:tc>
        <w:tc>
          <w:tcPr>
            <w:tcW w:w="6440" w:type="dxa"/>
            <w:vAlign w:val="bottom"/>
          </w:tcPr>
          <w:p>
            <w:pPr>
              <w:ind w:left="1260"/>
              <w:spacing w:after="0" w:line="189" w:lineRule="exact"/>
              <w:rPr>
                <w:sz w:val="20"/>
                <w:szCs w:val="20"/>
                <w:color w:val="auto"/>
              </w:rPr>
            </w:pPr>
            <w:r>
              <w:rPr>
                <w:rFonts w:ascii="Times New Roman" w:cs="Times New Roman" w:eastAsia="Times New Roman" w:hAnsi="Times New Roman"/>
                <w:sz w:val="18"/>
                <w:szCs w:val="18"/>
                <w:color w:val="auto"/>
              </w:rPr>
              <w:t>Earnings Per Share</w:t>
            </w:r>
          </w:p>
        </w:tc>
        <w:tc>
          <w:tcPr>
            <w:tcW w:w="2920" w:type="dxa"/>
            <w:vAlign w:val="bottom"/>
            <w:gridSpan w:val="2"/>
          </w:tcPr>
          <w:p>
            <w:pPr>
              <w:jc w:val="right"/>
              <w:spacing w:after="0" w:line="189" w:lineRule="exact"/>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27</w:t>
              </w:r>
            </w:hyperlink>
          </w:p>
        </w:tc>
        <w:tc>
          <w:tcPr>
            <w:tcW w:w="20" w:type="dxa"/>
            <w:vAlign w:val="bottom"/>
          </w:tcPr>
          <w:p>
            <w:pPr>
              <w:spacing w:after="0"/>
              <w:rPr>
                <w:sz w:val="16"/>
                <w:szCs w:val="16"/>
                <w:color w:val="auto"/>
              </w:rPr>
            </w:pPr>
          </w:p>
        </w:tc>
      </w:tr>
      <w:tr>
        <w:trPr>
          <w:trHeight w:val="20"/>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Note 15</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Times New Roman" w:cs="Times New Roman" w:eastAsia="Times New Roman" w:hAnsi="Times New Roman"/>
                <w:sz w:val="18"/>
                <w:szCs w:val="18"/>
                <w:color w:val="0000FF"/>
                <w:w w:val="88"/>
              </w:rPr>
            </w:pPr>
            <w:hyperlink w:anchor="page27">
              <w:r>
                <w:rPr>
                  <w:rFonts w:ascii="Times New Roman" w:cs="Times New Roman" w:eastAsia="Times New Roman" w:hAnsi="Times New Roman"/>
                  <w:sz w:val="18"/>
                  <w:szCs w:val="18"/>
                  <w:color w:val="0000FF"/>
                  <w:w w:val="88"/>
                </w:rPr>
                <w:t>27</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Note 16</w:t>
            </w:r>
          </w:p>
        </w:tc>
        <w:tc>
          <w:tcPr>
            <w:tcW w:w="6440" w:type="dxa"/>
            <w:vAlign w:val="bottom"/>
          </w:tcPr>
          <w:p>
            <w:pPr>
              <w:ind w:left="1260"/>
              <w:spacing w:after="0" w:line="189" w:lineRule="exact"/>
              <w:rPr>
                <w:sz w:val="20"/>
                <w:szCs w:val="20"/>
                <w:color w:val="auto"/>
              </w:rPr>
            </w:pPr>
            <w:r>
              <w:rPr>
                <w:rFonts w:ascii="Times New Roman" w:cs="Times New Roman" w:eastAsia="Times New Roman" w:hAnsi="Times New Roman"/>
                <w:sz w:val="18"/>
                <w:szCs w:val="18"/>
                <w:color w:val="auto"/>
              </w:rPr>
              <w:t>Segment Information</w:t>
            </w:r>
          </w:p>
        </w:tc>
        <w:tc>
          <w:tcPr>
            <w:tcW w:w="2920" w:type="dxa"/>
            <w:vAlign w:val="bottom"/>
            <w:gridSpan w:val="2"/>
          </w:tcPr>
          <w:p>
            <w:pPr>
              <w:jc w:val="right"/>
              <w:spacing w:after="0" w:line="189" w:lineRule="exact"/>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29</w:t>
              </w:r>
            </w:hyperlink>
          </w:p>
        </w:tc>
        <w:tc>
          <w:tcPr>
            <w:tcW w:w="20" w:type="dxa"/>
            <w:vAlign w:val="bottom"/>
          </w:tcPr>
          <w:p>
            <w:pPr>
              <w:spacing w:after="0"/>
              <w:rPr>
                <w:sz w:val="16"/>
                <w:szCs w:val="16"/>
                <w:color w:val="auto"/>
              </w:rPr>
            </w:pPr>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Note 17</w:t>
            </w:r>
          </w:p>
        </w:tc>
        <w:tc>
          <w:tcPr>
            <w:tcW w:w="6440" w:type="dxa"/>
            <w:vAlign w:val="bottom"/>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auto"/>
              </w:rPr>
              <w:t>Subsequent Event</w:t>
            </w:r>
          </w:p>
        </w:tc>
        <w:tc>
          <w:tcPr>
            <w:tcW w:w="2920" w:type="dxa"/>
            <w:vAlign w:val="bottom"/>
            <w:gridSpan w:val="2"/>
            <w:shd w:val="clear" w:color="auto" w:fill="CCEEFF"/>
          </w:tcPr>
          <w:p>
            <w:pPr>
              <w:jc w:val="right"/>
              <w:spacing w:after="0" w:line="189" w:lineRule="exact"/>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30</w:t>
              </w:r>
            </w:hyperlink>
          </w:p>
        </w:tc>
        <w:tc>
          <w:tcPr>
            <w:tcW w:w="20" w:type="dxa"/>
            <w:vAlign w:val="bottom"/>
            <w:shd w:val="clear" w:color="auto" w:fill="CCEEFF"/>
          </w:tcPr>
          <w:p>
            <w:pPr>
              <w:spacing w:after="0"/>
              <w:rPr>
                <w:sz w:val="16"/>
                <w:szCs w:val="16"/>
                <w:color w:val="auto"/>
              </w:rPr>
            </w:pPr>
          </w:p>
        </w:tc>
      </w:tr>
      <w:tr>
        <w:trPr>
          <w:trHeight w:val="20"/>
        </w:trPr>
        <w:tc>
          <w:tcPr>
            <w:tcW w:w="1860" w:type="dxa"/>
            <w:vAlign w:val="bottom"/>
            <w:tcBorders>
              <w:top w:val="single" w:sz="8" w:color="CCEEFF"/>
            </w:tcBorders>
            <w:shd w:val="clear" w:color="auto" w:fill="CCEEFF"/>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DESCRIPTION OF BUSINESS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data and analytics company with an open and flexible digital platform which focuses on driving the investment community to see more, think bigger, and do its best work. Our strategy is to build the leading open content and analytics platform that delivers a differentiated advantage for our clients’ success.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over 40 years, the FactSet platform has delivered expansive data, sophisticated analytics, and flexible technology that global financial professionals need to power their critical investment workflows. More than 171,000 investment professionals including asset managers, asset owners, bankers, wealth managers, corporate users, private equity and venture capital professionals, and others use our personalized solutions to identify opportunities, explore ideas, and gain a competitive advantage. Our solutions span investment research, portfolio construction and analysis, trade execution, performance measurement, risk management, and reporting across the investment lifecycle.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financial data and market intelligence on securities, companies, industries and people to enable our clients to research investment ideas, as well as offering them the capabilities to analyze, monitor and manage their portfolios. We combine dedicated client service with open and flexible technology offerings, such as a configurable desktop and mobile platform, comprehensive data feeds, cloud-based digital solutions, and application programming interfaces ("APIs"). Our revenues are primarily derived from subscriptions to our products and services such as workstations, portfolio analytics, and market data.</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advance our industry by comprehensively understanding our clients’ workflows, solving their most complex challenges, and helping them achieve their goals. By providing them with the leading open content and analytics platform, an expansive universe of concorded data they can trust, next-generation workflow support designed to help them grow and see their next best action, and the industry’s most committed service specialists, we put our clients in a position to outperform.</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focused on growing our business through three reportable segments ("segments"): the Americas, EMEA and Asia Pacific.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 Within each of our segments, we deliver insight and information through our three workflows: Research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Solutions; Analytics &amp; Trading Solutions; and Content &amp; Technology Solutions ("CTS").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BASIS OF PRESENTATION</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 business globally and manage our business on a geographic basis. The accompanying unaudited Consolidated Financial Statements and Notes to the Consolidated Financial Statements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as such, the information in this Quarterly Report on Form 10-Q should be read in conjunction with the audited Consolidated Financial Statements and notes thereto included in our Annual Report on Form 10-K for the fiscal year ended August 31, 2021. The accompanying Consolidated Financial Statements include our accounts and those of our wholly-owned subsidiaries; all intercompany activity and balances have been eliminated.</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include all normal recurring adjustments, transactions or events discretely impacting the interim periods considered necessary to present fairly our results of operations, financial position, cash flows and equity.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have evaluated subsequent events through the date of issuance of the financial statements included in this Quarterly Report on Form 10-Q, refer to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more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disclosures, in conformity with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Significant estimates may have been made in areas that include income taxes, stock-based compensation, the valuation of goodwill and allocation of purchase price to acquired assets and liabilities, useful lives and impairments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long-lived tangible and intangible assets and reserves for litigation and other contingencies. We base our estimates on historical experience and on various other assumptions that are believed to be reasonable, the results of which form the basis for making judgments about the carrying values of assets and liabilities. Actual results could differ from those estimates.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RECENT ACCOUNTING PRONOUNCEMENTS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2022, we implemented all applicable new accounting standards and updates issued by the Financial Accounting Standards Board ("FASB") that were in effect. There were no new standards or updates adopted during the six months ended February 28, 2022 that had a material impact on our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or Updates Recently Adopted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Simplification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to simplify various aspects related to accounting for income taxes, eliminating certain exceptions to the general principles in accounting for income taxes related to intraperiod tax allocation, simplifying when companies recognize deferred taxes in an interim period, and clarifying certain aspects of the current guidance to promote consistent application. We have adopted this standard effective September 1, 2021. The adoption of this standard did not have an impact on our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(“ASU 2021-08”), which requires an acquirer to recognize and measure contract assets and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combination in accordance with Revenue from Contracts with Customers (“Topic 606”) rather than adjust them to fair value at the acquisition date. We elected to early adopt this accounting standard in the second quarter of fiscal 2022, with retrospective application to business combinations that occurred in the current fiscal year. Results of operations for quarterly periods prior to September 1, 2021 remain unchanged as a result of the adoption of ASU No. 2021-08. The acquisition of Cobalt Software, Inc (“Cobalt”), and all future acquisitions, will be accounted for in accordance with ASU 2021-08. Refer to Note 7.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xml:space="preserve"> for further information. The adoption of this standard did not have a material impact on our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 or Updates Not Yet Effective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Facilitation of the Effects of Reference Rate Reform on Financial Reporting</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w:t>
      </w:r>
      <w:r>
        <w:rPr>
          <w:rFonts w:ascii="Times New Roman" w:cs="Times New Roman" w:eastAsia="Times New Roman" w:hAnsi="Times New Roman"/>
          <w:sz w:val="18"/>
          <w:szCs w:val="18"/>
          <w:color w:val="auto"/>
        </w:rPr>
        <w:t>g, to provide optional expedients and exceptions for applying GAAP to contract modifications, hedging relationships, and other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by the anticipated transition from LIBOR. As a result of the reference rate reform initiative, certain widely used reference rates such as LIBOR are expected to be discontinued. The guidance is designed to simplify how entities account for contracts, such as receivables, debt, leases, derivative instruments and hedging, that are modified to replace LIBOR or other benchmark interest rates with new rates. The guidance is effective upon issuance and may be applied through December 31, 2022.</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1, 2022, we repaid in full and terminated the 2019 Credit Agreement, which bore interest based on the LIBOR rate. Concurrently, on March 1, 2022, FactSet Research Systems Inc. entered into the 2022 Credit Agreement, which bears interest based on the Secured Overnight Financing Rate ("SOFR") rate. The adoption of this standard will not have an impact on our Consolidated Financial Statements.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17, </w:t>
      </w:r>
      <w:r>
        <w:rPr>
          <w:rFonts w:ascii="Times New Roman" w:cs="Times New Roman" w:eastAsia="Times New Roman" w:hAnsi="Times New Roman"/>
          <w:sz w:val="18"/>
          <w:szCs w:val="18"/>
          <w:i w:val="1"/>
          <w:iCs w:val="1"/>
          <w:color w:val="auto"/>
        </w:rPr>
        <w:t xml:space="preserve">Subsequent Events </w:t>
      </w:r>
      <w:r>
        <w:rPr>
          <w:rFonts w:ascii="Times New Roman" w:cs="Times New Roman" w:eastAsia="Times New Roman" w:hAnsi="Times New Roman"/>
          <w:sz w:val="18"/>
          <w:szCs w:val="18"/>
          <w:color w:val="auto"/>
        </w:rPr>
        <w:t>for definitions of these terms and more information on the 2019 Credit Agreement and 2022 Credit Agreement.</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as of February 28, 2022 have had, or are expected to have, a material impact on our Consolidated Financial Statements.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REVENUE RECOGNITION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most of our revenues by providing client access to our hosted proprietary data and analytics platform which can include various combinations of products and services available over the contractual term. The hosted platform is a subscription-based service that consists primarily of providing access to products and services including workstations, portfolio analytics and market data. We determined that the majority of our subscription-based service represents a single performance obligation covering a series of distinct products and services that are substantially the same and that have the same pattern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transfer to the client. We also determined the primary nature of the promise to the client is to provide daily access to one overall data and analytics platform. This platform provides integrated financial information, analytical applications and industry-leading service for the investment community. Based on the nature of the services and products offered by us, we apply an output time-based measure of progress as the client is simultaneously receiving and consuming the benefits of the platform. We record revenues for our contracts using the over-time revenue recognition model as a client is invoiced or performance is satisfied. We do not consider payment terms as a performance obligation for clients with contractual terms that are one year or less and we have elected the practical expedient.</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Contracts with clients can include certain fulfillment costs, comprised of up-front costs to allow for the delivery of services and products, which are recoverable. In connection with the adoption of the revenue recognition standard, fulfillment costs are recognized as an asset, with the current portion recorded in the Prepaid expenses and other current assets and the non-current portion recorded in Other assets, based on the term of the license period. The fulfillment costs are amortized consistent with the associated revenues for providing the services. There are no significant judgments that would impact the timing of revenue recognition. The majority of client contracts have a duration of one year or less, or the amount we are entitled to receive corresponds directly with the value of performance obligations completed to date, and therefore, we do not disclose the value of the remaining unsatisfied performance obligations.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disaggregate revenues from contracts with clients by our reportable segments ("segments") which consist of the Americas, EMEA and Asia Pacific. We believe these segments are reflective of how we manage our business and the markets in which we serve and best depict the nature, amount, timing and uncertainty of revenues and cash flows related to contracts with clients.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this disaggregation by segment:</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92"/>
        </w:trPr>
        <w:tc>
          <w:tcPr>
            <w:tcW w:w="4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24"/>
                <w:szCs w:val="24"/>
                <w:color w:val="auto"/>
              </w:rPr>
            </w:pPr>
          </w:p>
        </w:tc>
        <w:tc>
          <w:tcPr>
            <w:tcW w:w="278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4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1020" w:type="dxa"/>
            <w:vAlign w:val="bottom"/>
          </w:tcPr>
          <w:p>
            <w:pPr>
              <w:spacing w:after="0"/>
              <w:rPr>
                <w:sz w:val="20"/>
                <w:szCs w:val="20"/>
                <w:color w:val="auto"/>
              </w:rPr>
            </w:pPr>
          </w:p>
        </w:tc>
      </w:tr>
      <w:tr>
        <w:trPr>
          <w:trHeight w:val="270"/>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273,659</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247,991</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540,572</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492,327</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114,591</w:t>
            </w:r>
          </w:p>
        </w:tc>
        <w:tc>
          <w:tcPr>
            <w:tcW w:w="5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105,493</w:t>
            </w:r>
          </w:p>
        </w:tc>
        <w:tc>
          <w:tcPr>
            <w:tcW w:w="4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229,594</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211,270</w:t>
            </w:r>
          </w:p>
        </w:tc>
      </w:tr>
      <w:tr>
        <w:trPr>
          <w:trHeight w:val="27"/>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42,869</w:t>
            </w:r>
          </w:p>
        </w:tc>
        <w:tc>
          <w:tcPr>
            <w:tcW w:w="5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38,304</w:t>
            </w:r>
          </w:p>
        </w:tc>
        <w:tc>
          <w:tcPr>
            <w:tcW w:w="4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85,678</w:t>
            </w: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76,396</w:t>
            </w:r>
          </w:p>
        </w:tc>
      </w:tr>
      <w:tr>
        <w:trPr>
          <w:trHeight w:val="22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431,119</w:t>
            </w:r>
          </w:p>
        </w:tc>
        <w:tc>
          <w:tcPr>
            <w:tcW w:w="5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391,788</w:t>
            </w:r>
          </w:p>
        </w:tc>
        <w:tc>
          <w:tcPr>
            <w:tcW w:w="4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855,844</w:t>
            </w:r>
          </w:p>
        </w:tc>
        <w:tc>
          <w:tcPr>
            <w:tcW w:w="5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779,993</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FAIR VALUE MEASURES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We consider the principal or most advantageous market in which we would transact and consider assumptions that market participants would use when pricing the asset or liability.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Our assessment of the significance of a particular input to the fair value measurement requires judgment and may affect its placement within the fair value hierarchy levels. We have categorized our cash equivalents, investments and derivatives within the fair value hierarchy as follows: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quoted prices in active markets for identical assets or liabilities. These Level 1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include our corporate money market funds that are classified as cash equivalents.</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Level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inputs other than quoted prices that are observable for the asset or liability such as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similar assets or liabilities in active markets; quoted prices for identical assets or liabilities in markets with insufficient volume or infrequent transactions (less active markets); or model-derived valuations in which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significant inputs are observable or can be derived principally from, or corroborated by, observable market data. Our mutual funds and derivative instruments are classified as Level 2.</w:t>
      </w:r>
    </w:p>
    <w:p>
      <w:pPr>
        <w:spacing w:after="0" w:line="13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unobservable inputs to the valuation methodology that are significant to the measurement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assets or liabilities. We held no Level 3 assets or liabilities as of February 28, 2022 or August 31, 2021.</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Assets and Liabilities Measured at Fair Value on a Recurring Basis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show, by level within the fair value hierarchy, our assets and liabilities that are measured at fair value on a recurring basis at February 28, 2022 and August 31, 2021. We did not have any transfers between levels of fair value measurements during the periods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4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color w:val="auto"/>
              </w:rPr>
              <w:t>Fair Value Measurements at February 28, 2022</w:t>
            </w:r>
          </w:p>
        </w:tc>
      </w:tr>
      <w:tr>
        <w:trPr>
          <w:trHeight w:val="270"/>
        </w:trPr>
        <w:tc>
          <w:tcPr>
            <w:tcW w:w="20" w:type="dxa"/>
            <w:vAlign w:val="bottom"/>
            <w:tcBorders>
              <w:bottom w:val="single" w:sz="8" w:color="auto"/>
            </w:tcBorders>
          </w:tcPr>
          <w:p>
            <w:pPr>
              <w:spacing w:after="0"/>
              <w:rPr>
                <w:sz w:val="23"/>
                <w:szCs w:val="23"/>
                <w:color w:val="auto"/>
              </w:rPr>
            </w:pPr>
          </w:p>
        </w:tc>
        <w:tc>
          <w:tcPr>
            <w:tcW w:w="6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Level 2</w:t>
            </w:r>
          </w:p>
        </w:tc>
        <w:tc>
          <w:tcPr>
            <w:tcW w:w="4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Assets</w:t>
            </w:r>
          </w:p>
        </w:tc>
        <w:tc>
          <w:tcPr>
            <w:tcW w:w="6120" w:type="dxa"/>
            <w:vAlign w:val="bottom"/>
            <w:tcBorders>
              <w:bottom w:val="single" w:sz="8" w:color="CCEEFF"/>
            </w:tcBorders>
            <w:gridSpan w:val="2"/>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Corporate money market funds </w:t>
            </w:r>
            <w:r>
              <w:rPr>
                <w:rFonts w:ascii="Times New Roman" w:cs="Times New Roman" w:eastAsia="Times New Roman" w:hAnsi="Times New Roman"/>
                <w:sz w:val="23"/>
                <w:szCs w:val="23"/>
                <w:color w:val="auto"/>
                <w:vertAlign w:val="superscript"/>
              </w:rPr>
              <w:t>(1)</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167,562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167,562</w:t>
            </w:r>
          </w:p>
        </w:tc>
      </w:tr>
      <w:tr>
        <w:trPr>
          <w:trHeight w:val="270"/>
        </w:trPr>
        <w:tc>
          <w:tcPr>
            <w:tcW w:w="20" w:type="dxa"/>
            <w:vAlign w:val="bottom"/>
            <w:shd w:val="clear" w:color="auto" w:fill="CCEEFF"/>
          </w:tcPr>
          <w:p>
            <w:pPr>
              <w:spacing w:after="0"/>
              <w:rPr>
                <w:sz w:val="23"/>
                <w:szCs w:val="23"/>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34,984</w:t>
            </w:r>
          </w:p>
        </w:tc>
        <w:tc>
          <w:tcPr>
            <w:tcW w:w="4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34,984</w:t>
            </w:r>
          </w:p>
        </w:tc>
      </w:tr>
      <w:tr>
        <w:trPr>
          <w:trHeight w:val="270"/>
        </w:trPr>
        <w:tc>
          <w:tcPr>
            <w:tcW w:w="20" w:type="dxa"/>
            <w:vAlign w:val="bottom"/>
            <w:tcBorders>
              <w:bottom w:val="single" w:sz="8" w:color="CCEEFF"/>
            </w:tcBorders>
          </w:tcPr>
          <w:p>
            <w:pPr>
              <w:spacing w:after="0"/>
              <w:rPr>
                <w:sz w:val="23"/>
                <w:szCs w:val="23"/>
                <w:color w:val="auto"/>
              </w:rPr>
            </w:pPr>
          </w:p>
        </w:tc>
        <w:tc>
          <w:tcPr>
            <w:tcW w:w="6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 xml:space="preserve">Derivative instruments </w:t>
            </w:r>
            <w:r>
              <w:rPr>
                <w:rFonts w:ascii="Times New Roman" w:cs="Times New Roman" w:eastAsia="Times New Roman" w:hAnsi="Times New Roman"/>
                <w:sz w:val="23"/>
                <w:szCs w:val="23"/>
                <w:color w:val="auto"/>
                <w:vertAlign w:val="superscript"/>
              </w:rPr>
              <w:t>(3)</w:t>
            </w: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4,592</w:t>
            </w:r>
          </w:p>
        </w:tc>
        <w:tc>
          <w:tcPr>
            <w:tcW w:w="4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167,562</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39,576</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207,138</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58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6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 xml:space="preserve">Derivative instruments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2,110</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2,110</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33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40" w:type="dxa"/>
            <w:vAlign w:val="bottom"/>
            <w:gridSpan w:val="5"/>
          </w:tcPr>
          <w:p>
            <w:pPr>
              <w:jc w:val="right"/>
              <w:ind w:right="590"/>
              <w:spacing w:after="0"/>
              <w:rPr>
                <w:sz w:val="20"/>
                <w:szCs w:val="20"/>
                <w:color w:val="auto"/>
              </w:rPr>
            </w:pPr>
            <w:r>
              <w:rPr>
                <w:rFonts w:ascii="Times New Roman" w:cs="Times New Roman" w:eastAsia="Times New Roman" w:hAnsi="Times New Roman"/>
                <w:sz w:val="18"/>
                <w:szCs w:val="18"/>
                <w:color w:val="auto"/>
              </w:rPr>
              <w:t>Fair Value Measurements at August 31, 2021</w:t>
            </w:r>
          </w:p>
        </w:tc>
      </w:tr>
      <w:tr>
        <w:trPr>
          <w:trHeight w:val="270"/>
        </w:trPr>
        <w:tc>
          <w:tcPr>
            <w:tcW w:w="20" w:type="dxa"/>
            <w:vAlign w:val="bottom"/>
            <w:tcBorders>
              <w:bottom w:val="single" w:sz="8" w:color="auto"/>
            </w:tcBorders>
          </w:tcPr>
          <w:p>
            <w:pPr>
              <w:spacing w:after="0"/>
              <w:rPr>
                <w:sz w:val="23"/>
                <w:szCs w:val="23"/>
                <w:color w:val="auto"/>
              </w:rPr>
            </w:pPr>
          </w:p>
        </w:tc>
        <w:tc>
          <w:tcPr>
            <w:tcW w:w="6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2</w:t>
            </w:r>
          </w:p>
        </w:tc>
        <w:tc>
          <w:tcPr>
            <w:tcW w:w="4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Assets</w:t>
            </w:r>
          </w:p>
        </w:tc>
        <w:tc>
          <w:tcPr>
            <w:tcW w:w="6120" w:type="dxa"/>
            <w:vAlign w:val="bottom"/>
            <w:tcBorders>
              <w:bottom w:val="single" w:sz="8" w:color="CCEEFF"/>
            </w:tcBorders>
            <w:gridSpan w:val="2"/>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Corporate money market funds </w:t>
            </w:r>
            <w:r>
              <w:rPr>
                <w:rFonts w:ascii="Times New Roman" w:cs="Times New Roman" w:eastAsia="Times New Roman" w:hAnsi="Times New Roman"/>
                <w:sz w:val="23"/>
                <w:szCs w:val="23"/>
                <w:color w:val="auto"/>
                <w:vertAlign w:val="superscript"/>
              </w:rPr>
              <w:t>(1)</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232,519</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232,519</w:t>
            </w:r>
          </w:p>
        </w:tc>
      </w:tr>
      <w:tr>
        <w:trPr>
          <w:trHeight w:val="270"/>
        </w:trPr>
        <w:tc>
          <w:tcPr>
            <w:tcW w:w="20" w:type="dxa"/>
            <w:vAlign w:val="bottom"/>
            <w:shd w:val="clear" w:color="auto" w:fill="CCEEFF"/>
          </w:tcPr>
          <w:p>
            <w:pPr>
              <w:spacing w:after="0"/>
              <w:rPr>
                <w:sz w:val="23"/>
                <w:szCs w:val="23"/>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35,984</w:t>
            </w:r>
          </w:p>
        </w:tc>
        <w:tc>
          <w:tcPr>
            <w:tcW w:w="4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35,984</w:t>
            </w:r>
          </w:p>
        </w:tc>
      </w:tr>
      <w:tr>
        <w:trPr>
          <w:trHeight w:val="270"/>
        </w:trPr>
        <w:tc>
          <w:tcPr>
            <w:tcW w:w="20" w:type="dxa"/>
            <w:vAlign w:val="bottom"/>
            <w:tcBorders>
              <w:bottom w:val="single" w:sz="8" w:color="CCEEFF"/>
            </w:tcBorders>
          </w:tcPr>
          <w:p>
            <w:pPr>
              <w:spacing w:after="0"/>
              <w:rPr>
                <w:sz w:val="23"/>
                <w:szCs w:val="23"/>
                <w:color w:val="auto"/>
              </w:rPr>
            </w:pPr>
          </w:p>
        </w:tc>
        <w:tc>
          <w:tcPr>
            <w:tcW w:w="6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 xml:space="preserve">Derivative instruments </w:t>
            </w:r>
            <w:r>
              <w:rPr>
                <w:rFonts w:ascii="Times New Roman" w:cs="Times New Roman" w:eastAsia="Times New Roman" w:hAnsi="Times New Roman"/>
                <w:sz w:val="23"/>
                <w:szCs w:val="23"/>
                <w:color w:val="auto"/>
                <w:vertAlign w:val="superscript"/>
              </w:rPr>
              <w:t>(3)</w:t>
            </w:r>
          </w:p>
        </w:tc>
        <w:tc>
          <w:tcPr>
            <w:tcW w:w="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1,384</w:t>
            </w:r>
          </w:p>
        </w:tc>
        <w:tc>
          <w:tcPr>
            <w:tcW w:w="4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232,519</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37,368</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269,887</w:t>
            </w: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Derivative instruments </w:t>
            </w:r>
            <w:r>
              <w:rPr>
                <w:rFonts w:ascii="Times New Roman" w:cs="Times New Roman" w:eastAsia="Times New Roman" w:hAnsi="Times New Roman"/>
                <w:sz w:val="23"/>
                <w:szCs w:val="23"/>
                <w:color w:val="auto"/>
                <w:vertAlign w:val="superscript"/>
              </w:rPr>
              <w:t>(3)</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4,181</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61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4,181</w:t>
            </w:r>
          </w:p>
        </w:tc>
        <w:tc>
          <w:tcPr>
            <w:tcW w:w="4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r>
    </w:tbl>
    <w:p>
      <w:pPr>
        <w:spacing w:after="0" w:line="200" w:lineRule="exact"/>
        <w:rPr>
          <w:sz w:val="20"/>
          <w:szCs w:val="20"/>
          <w:color w:val="auto"/>
        </w:rPr>
      </w:pPr>
    </w:p>
    <w:p>
      <w:pPr>
        <w:spacing w:after="0" w:line="216" w:lineRule="exact"/>
        <w:rPr>
          <w:sz w:val="20"/>
          <w:szCs w:val="20"/>
          <w:color w:val="auto"/>
        </w:rPr>
      </w:pPr>
    </w:p>
    <w:p>
      <w:pPr>
        <w:ind w:left="500" w:hanging="330"/>
        <w:spacing w:after="0" w:line="283" w:lineRule="auto"/>
        <w:tabs>
          <w:tab w:leader="none" w:pos="50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corporate money market funds are readily convertible into cash and the net asset value of each fund on the last day of the quarter is used to determine its fair value. Our corporate money market funds are classified as Level 1 assets and are included in Cash and cash equivalents within the Consolidated Balance Sheets.</w:t>
      </w:r>
    </w:p>
    <w:p>
      <w:pPr>
        <w:spacing w:after="0" w:line="119" w:lineRule="exact"/>
        <w:rPr>
          <w:rFonts w:ascii="Times New Roman" w:cs="Times New Roman" w:eastAsia="Times New Roman" w:hAnsi="Times New Roman"/>
          <w:sz w:val="16"/>
          <w:szCs w:val="16"/>
          <w:i w:val="1"/>
          <w:iCs w:val="1"/>
          <w:color w:val="auto"/>
        </w:rPr>
      </w:pPr>
    </w:p>
    <w:p>
      <w:pPr>
        <w:jc w:val="both"/>
        <w:ind w:left="500" w:hanging="330"/>
        <w:spacing w:after="0" w:line="265" w:lineRule="auto"/>
        <w:tabs>
          <w:tab w:leader="none" w:pos="50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mutual funds have a fair value based on the fair value of the underlying investments held by the mutual funds, allocated to each share of the mutual fund using a net asset value approach. The fair value of the underlying investments is based on observable inputs. Our mutual funds are classified as Level 2 and are included in Investments (short-term) within the Consolidated Balance Sheets.</w:t>
      </w:r>
    </w:p>
    <w:p>
      <w:pPr>
        <w:spacing w:after="0" w:line="52" w:lineRule="exact"/>
        <w:rPr>
          <w:rFonts w:ascii="Times New Roman" w:cs="Times New Roman" w:eastAsia="Times New Roman" w:hAnsi="Times New Roman"/>
          <w:sz w:val="16"/>
          <w:szCs w:val="16"/>
          <w:i w:val="1"/>
          <w:iCs w:val="1"/>
          <w:color w:val="auto"/>
        </w:rPr>
      </w:pPr>
    </w:p>
    <w:p>
      <w:pPr>
        <w:jc w:val="both"/>
        <w:ind w:left="500" w:hanging="330"/>
        <w:spacing w:after="0" w:line="255" w:lineRule="auto"/>
        <w:tabs>
          <w:tab w:leader="none" w:pos="50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derivative instruments include our foreign exchange forward contracts and interest rate swap agreements. We utilize the income approach to measure fair value for our foreign exchange forward contracts. The income approach uses pricing models that rely on market observable inputs such as spot, forward and interest rates, as well as credit default swap spreads, and are classified as Level 2 assets. To estimate fair value for the interest rate swap agreement, we utilize a present value of future cash flows, leveraging a model-derived valuation that uses Level 2 observable inputs such as interest rate yield curves. Refer to Note 6</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Derivative Instruments, for more information on our derivative instruments designed as cash flow hedges and their classification within the Consolidated Balance Sheets.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Assets and Liabilities Measured at Fair Value on a Non-Recurring Basis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that are measured at fair value on a non-recurring basis relate primarily to our tangible fixed assets, lease right-of-use ("ROU") assets, goodwill and intangible assets. The fair values of these non-financial assets and liabilities are determined based on valuation techniques using the best information available, and may include quoted market prices, market comparable information, and discounted cash flow projections. These non-financial assets are required to be assessed for impairment whenever events or circumstances indicate that their carrying value may not be fully recoverable, and at least annually for goodwill.</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February 28, 2022, we incurred an impairment charge of $9.7 million and $13.4 million, respectively, related to our lease ROU assets and Property, equipment and leasehold improvements associated with vacating certain leased office space. For those locations we anticipate subleasing, we estimated the fair value of the lease ROU assets as of the cease use date, using a market approach, based on expected future cash flows from sublease income. To complete this assessment we relied on certain assumptions, which included estimates of the rental rate, period of vacancy, incentives and annual rent increases. We fully impaired both the lease ROU assets for locations we will not sublease and the Property, equipment and leasehold improvements balances associated with the related vacated leased office space as there are no expected cash flows related to these items. As a result of the subjective nature of unobservable inputs used, these assets are classified within Level 3 of the fair value hierarchy.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 Assets and Liabilities Measured at Fair Value for Disclosure Purposes </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i w:val="1"/>
          <w:iCs w:val="1"/>
          <w:color w:val="auto"/>
        </w:rPr>
        <w:t>nly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February 28, 2022 and August 31, 2021, the fair value of our 2019 Revolving Credit Facility (as defined below in Note 11, Debt), included in Long-term debt within the Consolidated Balance Sheets, was $575.0 million, which approximated its carrying amount given the application of a floating interest rate equal to LIBOR plus a spread using a debt leverage pricing grid. As the interest rate is a variable rate, adjusted based on market conditions, it approximates the current market-rate for similar instruments available to companies with comparable credit quality and maturity, and therefore, the long-term debt is categorized as Level 2 in the fair value hierarchy.</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March 1, 2022, we repaid in full and terminated the 2019 Credit Agreement and concurrently, FactSet Research Systems Inc. entered into the 2022 Credit Agreement. Refer to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definition of these terms and more information on the 2022 Credit Agreement.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DERIVATIVE INSTRUMENTS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Forward Contracts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conduct business outside the U.S. in several currencies including the British Pound Sterling, Euro, Indian Rupee, and Philippine Peso. As such, we are exposed to movements in foreign currency exchange rates. We utilize derivative instruments (foreign currency forward contracts) to manage the exposures related to the effects of foreign exchange rate fluctuations and reduce the volatility of earnings and cash flows associated with changes in foreign currency. Factors considered in the decision to hedge an underlying market exposure include the materiality of the risk, the volatility of the market, the duration of the hedge, the degree to which the underlying exposure is committed to, and the availability, effectiveness, and cost of derivative instruments. Derivative instruments are only utilized for risk management purposes and are not used for speculative or trading purposes. We limit counterparties to credit-worthy financial institutions. Refer to Note 12, </w:t>
      </w:r>
      <w:r>
        <w:rPr>
          <w:rFonts w:ascii="Times New Roman" w:cs="Times New Roman" w:eastAsia="Times New Roman" w:hAnsi="Times New Roman"/>
          <w:sz w:val="18"/>
          <w:szCs w:val="18"/>
          <w:i w:val="1"/>
          <w:iCs w:val="1"/>
          <w:color w:val="auto"/>
        </w:rPr>
        <w:t>Commitments and Contingencies – Concentrations of Credit Ris</w:t>
      </w:r>
      <w:r>
        <w:rPr>
          <w:rFonts w:ascii="Times New Roman" w:cs="Times New Roman" w:eastAsia="Times New Roman" w:hAnsi="Times New Roman"/>
          <w:sz w:val="18"/>
          <w:szCs w:val="18"/>
          <w:color w:val="auto"/>
        </w:rPr>
        <w:t>k, for further discussion on counterparty credit risk.</w:t>
      </w:r>
    </w:p>
    <w:p>
      <w:pPr>
        <w:spacing w:after="0" w:line="3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designing a specific hedging approach, we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Accumulated other comprehensive loss ("AOCL") and subsequently reclassified into Operating expenses when the hedge is settled. There was no discontinuance of cash flow hedges during the six months ended February 28, 2022 or February 28, 2021, and as such, no corresponding gains or losses related to changes in the value of our contracts were reclassified into earnings prior to settlement.</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28, 2022, we maintained foreign currency forward contracts to hedge a portion of our British Pound Sterling, Euro, Indian Rupee and Philippine Peso exposures. We entered into a series of forward contracts to mitigate our currency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exposure ranging from 25% to 50% over their respective hedged periods. The current foreign currency forward contracts are set to mature at various points between the third quarter of fiscal 2022 through the first quarter of fiscal 2023.</w:t>
      </w:r>
    </w:p>
    <w:p>
      <w:pPr>
        <w:spacing w:after="0" w:line="13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As of February 28, 2022, the gross notional value of foreign currency forward contracts to purchase Philippine Pesos and Indian Rupees with U.S. dollars was </w:t>
      </w:r>
      <w:r>
        <w:rPr>
          <w:rFonts w:ascii="Arial" w:cs="Arial" w:eastAsia="Arial" w:hAnsi="Arial"/>
          <w:sz w:val="18"/>
          <w:szCs w:val="18"/>
          <w:color w:val="auto"/>
        </w:rPr>
        <w:t>₱</w:t>
      </w:r>
      <w:r>
        <w:rPr>
          <w:rFonts w:ascii="Times New Roman" w:cs="Times New Roman" w:eastAsia="Times New Roman" w:hAnsi="Times New Roman"/>
          <w:sz w:val="18"/>
          <w:szCs w:val="18"/>
          <w:color w:val="auto"/>
        </w:rPr>
        <w:t>0.9 billion and Rs1.7 billion, respectively. The gross notional value of foreign currency forward contracts to purchase Euros and British Pound Sterling with U.S. dollars was €23.0 million and £24.3 million,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Swap Agreement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March 5, 2020, we entered into an interest rate swap agreement (the "2020 Swap Agreement") with a notional amount of $287.5 million to hedge the variable interest rate obligation on a portion of our outstanding debt under our 2019 Revolving Credit Facility (as defined below in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 of February 28, 2022, we have borrowed $575.0 million of the available $750.0 million under the 2019 Revolving Credit Facility, which bears interest on the outstanding principal amount at a rate equal to contractual one-month LIBOR plus a spread using a debt leverage pricing grid, which was 0.875% as of February 28, 2022.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further discussion on the 2019 Revolving Credit Facility. Under the terms of the 2020 Swap Agreement, we will pay interest at a fixed rate of 0.7995% and receive variable interest payments based on the same one-month LIBOR utilized to calculate the interest expense from the 2019 Revolving Credit Facility. The 2020 Swap Agreement matures on March 29, 2024.</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xml:space="preserve"> in Part I, Item 3 of this Quarterly Report on Form 10-Q for further discussion on our exposure to interest rate risk on our long-term debt outstanding.</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terms for the 2020 Swap Agreement align with the 2019 Revolving Credit Facility, we do not expect any hedge ineffectiveness. We have designated and accounted for this instrument as a cash flow hedge with the unrealized gains or losses on the interest rate swap agreement recorded in AOCL in the Consolidated Balance Sheets. Realized gains or losses are subsequently reclassified into Interest expense, net in the Consolidated Statement of Income when settled.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gross notional values of the derivative instruments: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Gross Notional Value</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120" w:type="dxa"/>
            <w:vAlign w:val="bottom"/>
            <w:tcBorders>
              <w:bottom w:val="single" w:sz="8" w:color="auto"/>
            </w:tcBorders>
            <w:vMerge w:val="continue"/>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February 28, 2022</w:t>
            </w:r>
          </w:p>
        </w:tc>
        <w:tc>
          <w:tcPr>
            <w:tcW w:w="17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color w:val="auto"/>
              </w:rPr>
              <w:t>August 31, 2021</w:t>
            </w: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99,609</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6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50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50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287,500</w:t>
            </w:r>
          </w:p>
        </w:tc>
        <w:tc>
          <w:tcPr>
            <w:tcW w:w="5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6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387,109</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442,228</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is a summary of the fair values of the derivative instruments: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20" w:type="dxa"/>
            <w:vAlign w:val="bottom"/>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color w:val="auto"/>
                <w:w w:val="98"/>
              </w:rPr>
              <w:t>Fair Value of Derivative Instruments</w:t>
            </w: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Derivative Assets</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Derivatives designated as</w:t>
            </w:r>
          </w:p>
        </w:tc>
        <w:tc>
          <w:tcPr>
            <w:tcW w:w="16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Balance Sheet</w:t>
            </w:r>
          </w:p>
        </w:tc>
        <w:tc>
          <w:tcPr>
            <w:tcW w:w="280" w:type="dxa"/>
            <w:vAlign w:val="bottom"/>
          </w:tcPr>
          <w:p>
            <w:pPr>
              <w:spacing w:after="0"/>
              <w:rPr>
                <w:sz w:val="14"/>
                <w:szCs w:val="14"/>
                <w:color w:val="auto"/>
              </w:rPr>
            </w:pPr>
          </w:p>
        </w:tc>
        <w:tc>
          <w:tcPr>
            <w:tcW w:w="266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February 28, 2022 August 31, 2021</w:t>
            </w:r>
          </w:p>
        </w:tc>
        <w:tc>
          <w:tcPr>
            <w:tcW w:w="100" w:type="dxa"/>
            <w:vAlign w:val="bottom"/>
          </w:tcPr>
          <w:p>
            <w:pPr>
              <w:spacing w:after="0"/>
              <w:rPr>
                <w:sz w:val="14"/>
                <w:szCs w:val="14"/>
                <w:color w:val="auto"/>
              </w:rPr>
            </w:pPr>
          </w:p>
        </w:tc>
        <w:tc>
          <w:tcPr>
            <w:tcW w:w="13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Balance Sheet</w:t>
            </w:r>
          </w:p>
        </w:tc>
        <w:tc>
          <w:tcPr>
            <w:tcW w:w="500" w:type="dxa"/>
            <w:vAlign w:val="bottom"/>
          </w:tcPr>
          <w:p>
            <w:pPr>
              <w:spacing w:after="0"/>
              <w:rPr>
                <w:sz w:val="14"/>
                <w:szCs w:val="14"/>
                <w:color w:val="auto"/>
              </w:rPr>
            </w:pP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February 28, 2022</w:t>
            </w:r>
          </w:p>
        </w:tc>
        <w:tc>
          <w:tcPr>
            <w:tcW w:w="160" w:type="dxa"/>
            <w:vAlign w:val="bottom"/>
          </w:tcPr>
          <w:p>
            <w:pPr>
              <w:spacing w:after="0"/>
              <w:rPr>
                <w:sz w:val="14"/>
                <w:szCs w:val="14"/>
                <w:color w:val="auto"/>
              </w:rPr>
            </w:pPr>
          </w:p>
        </w:tc>
        <w:tc>
          <w:tcPr>
            <w:tcW w:w="100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August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c>
          <w:tcPr>
            <w:tcW w:w="2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c>
          <w:tcPr>
            <w:tcW w:w="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Foreign currency forward</w:t>
            </w:r>
          </w:p>
        </w:tc>
        <w:tc>
          <w:tcPr>
            <w:tcW w:w="16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Prepaid expenses and</w:t>
            </w:r>
          </w:p>
        </w:tc>
        <w:tc>
          <w:tcPr>
            <w:tcW w:w="7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50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CEEFF"/>
          </w:tcPr>
          <w:p>
            <w:pPr>
              <w:spacing w:after="0"/>
              <w:rPr>
                <w:sz w:val="14"/>
                <w:szCs w:val="14"/>
                <w:color w:val="auto"/>
              </w:rPr>
            </w:pPr>
          </w:p>
        </w:tc>
        <w:tc>
          <w:tcPr>
            <w:tcW w:w="2780" w:type="dxa"/>
            <w:vAlign w:val="bottom"/>
            <w:gridSpan w:val="4"/>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Accounts payable and</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78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42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12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Accounts payable and</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agreement other current assets</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21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derivatives were designated as hedging instruments as of February 28, 2022 and August 31,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pre-tax effect of derivative instruments in cash flow hedging relationships for the three months ended February 28, 2022 and February 28, 2021, respectively:</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Gain (Loss) Reclassified in</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Gain (Loss) Reclassified from</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AOCL on Derivatives</w:t>
            </w: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0" w:type="dxa"/>
            <w:vAlign w:val="bottom"/>
          </w:tcPr>
          <w:p>
            <w:pPr>
              <w:spacing w:after="0"/>
              <w:rPr>
                <w:sz w:val="1"/>
                <w:szCs w:val="1"/>
                <w:color w:val="auto"/>
              </w:rPr>
            </w:pPr>
          </w:p>
        </w:tc>
      </w:tr>
      <w:tr>
        <w:trPr>
          <w:trHeight w:val="27"/>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February 28,</w:t>
            </w:r>
          </w:p>
        </w:tc>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Location of Gain (Loss)</w:t>
            </w:r>
          </w:p>
        </w:tc>
        <w:tc>
          <w:tcPr>
            <w:tcW w:w="140" w:type="dxa"/>
            <w:vAlign w:val="bottom"/>
          </w:tcPr>
          <w:p>
            <w:pPr>
              <w:spacing w:after="0"/>
              <w:rPr>
                <w:sz w:val="19"/>
                <w:szCs w:val="19"/>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28,</w:t>
            </w:r>
          </w:p>
        </w:tc>
        <w:tc>
          <w:tcPr>
            <w:tcW w:w="0" w:type="dxa"/>
            <w:vAlign w:val="bottom"/>
          </w:tcPr>
          <w:p>
            <w:pPr>
              <w:spacing w:after="0"/>
              <w:rPr>
                <w:sz w:val="1"/>
                <w:szCs w:val="1"/>
                <w:color w:val="auto"/>
              </w:rPr>
            </w:pPr>
          </w:p>
        </w:tc>
      </w:tr>
      <w:tr>
        <w:trPr>
          <w:trHeight w:val="176"/>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180" w:type="dxa"/>
            <w:vAlign w:val="bottom"/>
          </w:tcPr>
          <w:p>
            <w:pPr>
              <w:spacing w:after="0"/>
              <w:rPr>
                <w:sz w:val="15"/>
                <w:szCs w:val="15"/>
                <w:color w:val="auto"/>
              </w:rPr>
            </w:pP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15"/>
                <w:szCs w:val="15"/>
                <w:color w:val="auto"/>
              </w:rPr>
            </w:pP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2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Reclassified from AOCL into</w:t>
            </w:r>
          </w:p>
        </w:tc>
        <w:tc>
          <w:tcPr>
            <w:tcW w:w="140" w:type="dxa"/>
            <w:vAlign w:val="bottom"/>
          </w:tcPr>
          <w:p>
            <w:pPr>
              <w:spacing w:after="0"/>
              <w:rPr>
                <w:sz w:val="15"/>
                <w:szCs w:val="15"/>
                <w:color w:val="auto"/>
              </w:rPr>
            </w:pPr>
          </w:p>
        </w:tc>
        <w:tc>
          <w:tcPr>
            <w:tcW w:w="11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15"/>
                <w:szCs w:val="15"/>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9"/>
              </w:rPr>
              <w:t>(34)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SG&amp;A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3,795</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3,761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20" w:right="300"/>
        <w:spacing w:after="0" w:line="237" w:lineRule="auto"/>
        <w:rPr>
          <w:sz w:val="20"/>
          <w:szCs w:val="20"/>
          <w:color w:val="auto"/>
        </w:rPr>
      </w:pPr>
      <w:r>
        <w:rPr>
          <w:rFonts w:ascii="Times New Roman" w:cs="Times New Roman" w:eastAsia="Times New Roman" w:hAnsi="Times New Roman"/>
          <w:sz w:val="18"/>
          <w:szCs w:val="18"/>
          <w:color w:val="auto"/>
        </w:rPr>
        <w:t>The following table provides the pre-tax effect of derivative instruments in cash flow hedging relationships for the six months ended February 28, 2022 and February 28, 2021,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Gain (Loss) Recognized in</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Gain (Loss) Reclassified from</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AOCL on Derivatives</w:t>
            </w: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0" w:type="dxa"/>
            <w:vAlign w:val="bottom"/>
          </w:tcPr>
          <w:p>
            <w:pPr>
              <w:spacing w:after="0"/>
              <w:rPr>
                <w:sz w:val="1"/>
                <w:szCs w:val="1"/>
                <w:color w:val="auto"/>
              </w:rPr>
            </w:pPr>
          </w:p>
        </w:tc>
      </w:tr>
      <w:tr>
        <w:trPr>
          <w:trHeight w:val="27"/>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February 28,</w:t>
            </w:r>
          </w:p>
        </w:tc>
        <w:tc>
          <w:tcPr>
            <w:tcW w:w="24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Location of Gain (Loss)</w:t>
            </w:r>
          </w:p>
        </w:tc>
        <w:tc>
          <w:tcPr>
            <w:tcW w:w="140" w:type="dxa"/>
            <w:vAlign w:val="bottom"/>
          </w:tcPr>
          <w:p>
            <w:pPr>
              <w:spacing w:after="0"/>
              <w:rPr>
                <w:sz w:val="21"/>
                <w:szCs w:val="21"/>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180" w:type="dxa"/>
            <w:vAlign w:val="bottom"/>
          </w:tcPr>
          <w:p>
            <w:pPr>
              <w:spacing w:after="0"/>
              <w:rPr>
                <w:sz w:val="15"/>
                <w:szCs w:val="15"/>
                <w:color w:val="auto"/>
              </w:rPr>
            </w:pP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15"/>
                <w:szCs w:val="15"/>
                <w:color w:val="auto"/>
              </w:rPr>
            </w:pP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2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Reclassified from AOCL into</w:t>
            </w:r>
          </w:p>
        </w:tc>
        <w:tc>
          <w:tcPr>
            <w:tcW w:w="140" w:type="dxa"/>
            <w:vAlign w:val="bottom"/>
          </w:tcPr>
          <w:p>
            <w:pPr>
              <w:spacing w:after="0"/>
              <w:rPr>
                <w:sz w:val="15"/>
                <w:szCs w:val="15"/>
                <w:color w:val="auto"/>
              </w:rPr>
            </w:pPr>
          </w:p>
        </w:tc>
        <w:tc>
          <w:tcPr>
            <w:tcW w:w="11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15"/>
                <w:szCs w:val="15"/>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rPr>
              <w:t>(3,576)</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SG&amp;A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6,378</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2,802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28, 2022, our cash flow hedges were effective, with no amount of ineffectiveness recorded in the Consolidated Statements of Income for these designated cash flow hedges, and all components of each derivative’s gain or loss were included in the assessment of hedge effectiveness.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February 28, 2022, we estimate that net pre-tax derivative losses of $1.9 million related to the foreign currency forward contracts included in AOCL will be reclassified into earnings within the next 12 months. As of March 1, 2022, we terminated the 2020 Swap Agreement. Refer to Note 17, </w:t>
      </w:r>
      <w:r>
        <w:rPr>
          <w:rFonts w:ascii="Times New Roman" w:cs="Times New Roman" w:eastAsia="Times New Roman" w:hAnsi="Times New Roman"/>
          <w:sz w:val="18"/>
          <w:szCs w:val="18"/>
          <w:i w:val="1"/>
          <w:iCs w:val="1"/>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Events </w:t>
      </w:r>
      <w:r>
        <w:rPr>
          <w:rFonts w:ascii="Times New Roman" w:cs="Times New Roman" w:eastAsia="Times New Roman" w:hAnsi="Times New Roman"/>
          <w:sz w:val="18"/>
          <w:szCs w:val="18"/>
          <w:color w:val="auto"/>
        </w:rPr>
        <w:t>for more information on the termination and the expected impact reclassified into earnings.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Offsetting of Derivative Instruments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master netting arrangements designed to permit net settlement of derivative transactions among the respective counterparties, settled on the same date and in the same currency. As of February 28, 2022 and August 31, 2021, there were no material amounts recorded net on the Consolidated Balance Sheets.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Swap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we desire to maintain a fixed to floating interest rate ratio of 80% on our outstanding debt portfolio, we entered into the 2022 Swap Agreement with a notional amount $800.0 million on March 1, 2022. The 2022 Swap Agreement will hedge our floating Term SOFR rate outstanding debt with a fixed rate of 1.162%. Refer to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the definition and more information on the 2022 Swap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ACQUISITIONS</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2022 and 2021, we completed acquisitions of several businesses, with the most significant cash flows related to the acquisitions of Cobalt Software, Inc. ("Cobalt") and Truvalue Labs, Inc. ("TVL").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 2022, we completed the acquisition of CUSIP Global Services (“CGS"), previously operated by S&amp;P Global Inc., on behalf of the American Bankers Association, for $1.925 billion in cash, subject to a working capital adjustment. Refer to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more information on our acquisition of CGS.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Cobalt Software, Inc.</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12, 2021, we acquired all of the outstanding shares of Cobalt for a purchase price of $50.0 million, net of cash acquired. Cobalt is a leading portfolio monitoring solutions provider for the private capital industry. This acquisition advances our strategy to scale our data and workflow solutions through targeted investments as part of our multi-year investment plan and expands our private markets offering. The Cobalt purchase price was in excess of the fair value of net assets acquired, resulting in the recognition of goodwill. We expect to finalize the allocation of the purchase price for Cobalt as soon as possible, but in any event, no later than one year from the acquisition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2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Acquisition Date Fair Value</w:t>
            </w:r>
          </w:p>
        </w:tc>
        <w:tc>
          <w:tcPr>
            <w:tcW w:w="2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Acquisition Date Useful Life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 Method</w:t>
            </w:r>
          </w:p>
        </w:tc>
      </w:tr>
      <w:tr>
        <w:trPr>
          <w:trHeight w:val="236"/>
        </w:trPr>
        <w:tc>
          <w:tcPr>
            <w:tcW w:w="47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i w:val="1"/>
                <w:iCs w:val="1"/>
                <w:color w:val="auto"/>
                <w:w w:val="97"/>
              </w:rPr>
              <w:t>(in years)</w:t>
            </w:r>
          </w:p>
        </w:tc>
        <w:tc>
          <w:tcPr>
            <w:tcW w:w="1660" w:type="dxa"/>
            <w:vAlign w:val="bottom"/>
            <w:tcBorders>
              <w:bottom w:val="single" w:sz="8" w:color="auto"/>
            </w:tcBorders>
          </w:tcPr>
          <w:p>
            <w:pPr>
              <w:spacing w:after="0"/>
              <w:rPr>
                <w:sz w:val="20"/>
                <w:szCs w:val="20"/>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6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technology</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25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5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2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11 years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43,554</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5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(6,653)</w:t>
            </w:r>
          </w:p>
        </w:tc>
        <w:tc>
          <w:tcPr>
            <w:tcW w:w="2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56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660" w:type="dxa"/>
            <w:vAlign w:val="bottom"/>
            <w:tcBorders>
              <w:bottom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50,018</w:t>
            </w:r>
          </w:p>
        </w:tc>
        <w:tc>
          <w:tcPr>
            <w:tcW w:w="25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Goodwill totaling $43.6 million represents the excess of the Cobalt purchase price over the fair value of net assets acquired and is included in the Americas and EMEA segments. Goodwill generated from the Cobalt acquisition is not deductible for income tax purposes. The results of Cobalt's operations have been included in our Consolidated Financial Statements, within the Americas and EMEA segments, beginning with its acquisition on October 12, 2021. Pro forma information has not been presented because the effect of the Cobalt acquisition is not material to our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Truvalue Labs, Inc.</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 2020, we acquired all of the outstanding shares of TVL for a purchase price of $41.9 million, net of cash acquired. TVL is a leading provider of environmental, social, and governance ("ESG") information. TVL applies artificial intelligence driven technology to over 100,000 unstructured text sources in multiple languages, including news, trade journals, and non-governmental organizations and industry reports, to provide daily signals that identify positive and negative ESG behavior. The acquisition of TVL further enhances our commitment to providing industry leading access to ESG data across our platforms. The TVL purchase price was in excess of the fair value of net assets acquired, resulting in the recognition of goodwill. We finalized the purchase accounting for the TVL acquisition during the third quarter of fiscal 2021.</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42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Acquisition Date Fair Value</w:t>
            </w:r>
          </w:p>
        </w:tc>
        <w:tc>
          <w:tcPr>
            <w:tcW w:w="18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Acquisition Date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2420" w:type="dxa"/>
            <w:vAlign w:val="bottom"/>
            <w:gridSpan w:val="2"/>
            <w:vMerge w:val="continue"/>
          </w:tcPr>
          <w:p>
            <w:pPr>
              <w:spacing w:after="0"/>
              <w:rPr>
                <w:sz w:val="19"/>
                <w:szCs w:val="19"/>
                <w:color w:val="auto"/>
              </w:rPr>
            </w:pPr>
          </w:p>
        </w:tc>
        <w:tc>
          <w:tcPr>
            <w:tcW w:w="18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Useful Life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Method</w:t>
            </w:r>
          </w:p>
        </w:tc>
        <w:tc>
          <w:tcPr>
            <w:tcW w:w="0" w:type="dxa"/>
            <w:vAlign w:val="bottom"/>
          </w:tcPr>
          <w:p>
            <w:pPr>
              <w:spacing w:after="0"/>
              <w:rPr>
                <w:sz w:val="1"/>
                <w:szCs w:val="1"/>
                <w:color w:val="auto"/>
              </w:rPr>
            </w:pPr>
          </w:p>
        </w:tc>
      </w:tr>
      <w:tr>
        <w:trPr>
          <w:trHeight w:val="236"/>
        </w:trPr>
        <w:tc>
          <w:tcPr>
            <w:tcW w:w="57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780" w:type="dxa"/>
            <w:vAlign w:val="bottom"/>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technology</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8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7 years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0" w:type="dxa"/>
            <w:vAlign w:val="bottom"/>
          </w:tcPr>
          <w:p>
            <w:pPr>
              <w:spacing w:after="0"/>
              <w:rPr>
                <w:sz w:val="1"/>
                <w:szCs w:val="1"/>
                <w:color w:val="auto"/>
              </w:rPr>
            </w:pPr>
          </w:p>
        </w:tc>
      </w:tr>
      <w:tr>
        <w:trPr>
          <w:trHeight w:val="230"/>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12 years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8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15 years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30,058</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780" w:type="dxa"/>
            <w:vAlign w:val="bottom"/>
            <w:tcBorders>
              <w:bottom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41,916</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Goodwill totaling $30.1 million represents the excess of the TVL purchase price over the fair value of net assets acquired and is included in the Americas segment. Goodwill generated from the TVL acquisition is not deductible for income tax purposes. The results of TVL's operations have been included in our Consolidated Financial Statements, within the Americas segment, beginning with its acquisition on November 2, 2020. Pro forma information has not been presented because the effect of the TVL acquisition is not material to our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GOODWILL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for the six months ended February 28, 2022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Asia Pacific</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430,088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321,150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2,967</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754,205</w:t>
            </w: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43,769</w:t>
            </w: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44,197</w:t>
            </w:r>
          </w:p>
        </w:tc>
      </w:tr>
      <w:tr>
        <w:trPr>
          <w:trHeight w:val="23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w:t>
            </w:r>
          </w:p>
        </w:tc>
      </w:tr>
      <w:tr>
        <w:trPr>
          <w:trHeight w:val="22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February 28, 2022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473,857</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309,477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786,172</w:t>
            </w:r>
          </w:p>
        </w:tc>
      </w:tr>
    </w:tbl>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is not amortized as it is estimated to have an indefinite life. At least annually, we are required to test goodwill at the reporting unit level, which is consistent with our segments, for potential impairment, and, if impaired, we write down our goodwill to fair value based on the present value of discounted cash flows. We performed our annual goodwill impairment test during the fourth quarter of fiscal 2021 utilizing a qualitative analysis, consistent with the timing of previous years. We concluded it was more likely than not that the fair value of each of our segments was greater than its respective carrying value and no impairment charge was required.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INCOME TAXES</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is based on taxable income determined in accordance with current enacted laws and tax rates. Deferred income taxes are recorded for the temporary differences between the financial statement and the tax bases of assets and liabilities using currently enacted tax rates.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2680" w:type="dxa"/>
            <w:vAlign w:val="bottom"/>
            <w:gridSpan w:val="2"/>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highlight w:val="white"/>
                </w:rPr>
                <w:t>Contents</w:t>
              </w:r>
            </w:hyperlink>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provision for income taxes is as follows:</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0" w:type="dxa"/>
            <w:vAlign w:val="bottom"/>
          </w:tcPr>
          <w:p>
            <w:pPr>
              <w:spacing w:after="0"/>
              <w:rPr>
                <w:sz w:val="19"/>
                <w:szCs w:val="19"/>
                <w:color w:val="auto"/>
              </w:rPr>
            </w:pPr>
          </w:p>
        </w:tc>
        <w:tc>
          <w:tcPr>
            <w:tcW w:w="23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February 28,</w:t>
            </w: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February 28,</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80" w:type="dxa"/>
            <w:vAlign w:val="bottom"/>
            <w:tcBorders>
              <w:bottom w:val="single" w:sz="8" w:color="auto"/>
            </w:tcBorders>
            <w:gridSpan w:val="2"/>
            <w:vMerge w:val="continue"/>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2021</w:t>
            </w:r>
          </w:p>
        </w:tc>
        <w:tc>
          <w:tcPr>
            <w:tcW w:w="5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121,956</w:t>
            </w:r>
          </w:p>
        </w:tc>
        <w:tc>
          <w:tcPr>
            <w:tcW w:w="8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114,666</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241,886</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234,898</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12,018</w:t>
            </w:r>
          </w:p>
        </w:tc>
        <w:tc>
          <w:tcPr>
            <w:tcW w:w="8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18,023</w:t>
            </w:r>
          </w:p>
        </w:tc>
        <w:tc>
          <w:tcPr>
            <w:tcW w:w="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24,301</w:t>
            </w: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37,049</w:t>
            </w:r>
          </w:p>
        </w:tc>
        <w:tc>
          <w:tcPr>
            <w:tcW w:w="0" w:type="dxa"/>
            <w:vAlign w:val="bottom"/>
          </w:tcPr>
          <w:p>
            <w:pPr>
              <w:spacing w:after="0"/>
              <w:rPr>
                <w:sz w:val="1"/>
                <w:szCs w:val="1"/>
                <w:color w:val="auto"/>
              </w:rPr>
            </w:pPr>
          </w:p>
        </w:tc>
      </w:tr>
      <w:tr>
        <w:trPr>
          <w:trHeight w:val="223"/>
        </w:trPr>
        <w:tc>
          <w:tcPr>
            <w:tcW w:w="2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Effective tax rate</w:t>
            </w:r>
          </w:p>
        </w:tc>
        <w:tc>
          <w:tcPr>
            <w:tcW w:w="10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5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7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effective tax rate is based on recurring factors and non-recurring events, including the taxation of foreign income. Our effective tax rate will vary based on, among other things, changes in levels of foreign income, as well as discrete and other non-recurring events that may not be predictable. Our effective tax rate is lower than the applicable U.S. corporate income tax rate for the three and six months ended February 28, 2022, driven mainly by research and development ("R&amp;D") tax credits and a foreign derived intangible income ("FDII") deduction. The effective tax rate for the three and six months ended February 28, 2022 is further reduced by windfall tax benefits associated with the employee exercise of stock options.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February 28, 2022, the provision for income taxes was $12.0 million, compared with $18.0 million for the same period a year ago. The provision decreased mainly due to lower projected levels of income before income taxes, a lower effective tax rate compared to the prior year period and a $4.2 million reduction from higher windfall tax benefits, partially offset by higher income before income taxes during the three months ended February 28, 2022, compared with the prior year period.</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February 28, 2022, the provision for income taxes was $24.3 million, compared with $37.0 million for the same period a year ago. The provision decreased mainly due to lower projected levels of income before income taxes, a lower effective tax rate compared to the prior year period and a $11.2 million in higher windfall tax benefits, partially offset by higher income before income taxes during the six months ended February 28, 2022, compared with the prior year period.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LEASES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On September 1, 2019, we adopted ASC 842, </w:t>
      </w:r>
      <w:r>
        <w:rPr>
          <w:rFonts w:ascii="Times New Roman" w:cs="Times New Roman" w:eastAsia="Times New Roman" w:hAnsi="Times New Roman"/>
          <w:sz w:val="18"/>
          <w:szCs w:val="18"/>
          <w:i w:val="1"/>
          <w:iCs w:val="1"/>
          <w:color w:val="212529"/>
        </w:rPr>
        <w:t>Leases</w:t>
      </w:r>
      <w:r>
        <w:rPr>
          <w:rFonts w:ascii="Times New Roman" w:cs="Times New Roman" w:eastAsia="Times New Roman" w:hAnsi="Times New Roman"/>
          <w:sz w:val="18"/>
          <w:szCs w:val="18"/>
          <w:color w:val="212529"/>
        </w:rPr>
        <w:t xml:space="preserve"> ("ASC 842"). As part of this adoption, w</w:t>
      </w:r>
      <w:r>
        <w:rPr>
          <w:rFonts w:ascii="Times New Roman" w:cs="Times New Roman" w:eastAsia="Times New Roman" w:hAnsi="Times New Roman"/>
          <w:sz w:val="18"/>
          <w:szCs w:val="18"/>
          <w:color w:val="000000"/>
        </w:rPr>
        <w:t>e elected not to record operating lease ROU assets 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operating lease liabilities for leases with an initial term of 12 months or less. We elected the practical expedient not to separate lease components from non-lease components but, rather, to combine them into one single lease component, which we recognize over the expected term on a straight-line expense basis in occupancy costs (a component of SG&amp;A expense). We review new arrangements at inception to evaluate whether we obtain substantially all the economic benefits of and have the right to control the use of an asset.</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lease portfolio is primarily related to our office space, </w:t>
      </w:r>
      <w:r>
        <w:rPr>
          <w:rFonts w:ascii="Times New Roman" w:cs="Times New Roman" w:eastAsia="Times New Roman" w:hAnsi="Times New Roman"/>
          <w:sz w:val="18"/>
          <w:szCs w:val="18"/>
          <w:color w:val="212529"/>
        </w:rPr>
        <w:t>under various operating lease agreements. Our</w:t>
      </w:r>
      <w:r>
        <w:rPr>
          <w:rFonts w:ascii="Times New Roman" w:cs="Times New Roman" w:eastAsia="Times New Roman" w:hAnsi="Times New Roman"/>
          <w:sz w:val="18"/>
          <w:szCs w:val="18"/>
          <w:color w:val="auto"/>
        </w:rPr>
        <w:t xml:space="preserve"> lease ROU assets and lease liabilities are recognized based on </w:t>
      </w:r>
      <w:r>
        <w:rPr>
          <w:rFonts w:ascii="Times New Roman" w:cs="Times New Roman" w:eastAsia="Times New Roman" w:hAnsi="Times New Roman"/>
          <w:sz w:val="18"/>
          <w:szCs w:val="18"/>
          <w:color w:val="212529"/>
        </w:rPr>
        <w:t>the present value of future minimum lease payments at lease commencement (which includes fixed lease payments and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qualifying index-based variable payments) </w:t>
      </w:r>
      <w:r>
        <w:rPr>
          <w:rFonts w:ascii="Times New Roman" w:cs="Times New Roman" w:eastAsia="Times New Roman" w:hAnsi="Times New Roman"/>
          <w:sz w:val="18"/>
          <w:szCs w:val="18"/>
          <w:color w:val="000000"/>
        </w:rPr>
        <w:t>over the reasonably certain lease term, leveraging</w:t>
      </w:r>
      <w:r>
        <w:rPr>
          <w:rFonts w:ascii="Times New Roman" w:cs="Times New Roman" w:eastAsia="Times New Roman" w:hAnsi="Times New Roman"/>
          <w:sz w:val="18"/>
          <w:szCs w:val="18"/>
          <w:color w:val="212529"/>
        </w:rPr>
        <w:t xml:space="preserve"> an estimated incremental borrowing rate ("IBR"). </w:t>
      </w:r>
      <w:r>
        <w:rPr>
          <w:rFonts w:ascii="Times New Roman" w:cs="Times New Roman" w:eastAsia="Times New Roman" w:hAnsi="Times New Roman"/>
          <w:sz w:val="18"/>
          <w:szCs w:val="18"/>
          <w:color w:val="000000"/>
        </w:rPr>
        <w:t>Certain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adjustments to our lease ROU assets may be required for items such as the payment of initial direct costs or incentives received.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As of </w:t>
      </w:r>
      <w:r>
        <w:rPr>
          <w:rFonts w:ascii="Times New Roman" w:cs="Times New Roman" w:eastAsia="Times New Roman" w:hAnsi="Times New Roman"/>
          <w:sz w:val="18"/>
          <w:szCs w:val="18"/>
          <w:color w:val="000000"/>
        </w:rPr>
        <w:t xml:space="preserve">February 28, 2022, we recognized $206.2 million of Lease right-of-use assets, net and $264.3 million of combined Current lease liabilities and Long-term lease liabilities in the Consolidated Balance Sheets. Such leases </w:t>
      </w:r>
      <w:r>
        <w:rPr>
          <w:rFonts w:ascii="Times New Roman" w:cs="Times New Roman" w:eastAsia="Times New Roman" w:hAnsi="Times New Roman"/>
          <w:sz w:val="18"/>
          <w:szCs w:val="18"/>
          <w:color w:val="212529"/>
        </w:rPr>
        <w:t>have a remaining lease term ranging from less than</w:t>
      </w:r>
      <w:r>
        <w:rPr>
          <w:rFonts w:ascii="Times New Roman" w:cs="Times New Roman" w:eastAsia="Times New Roman" w:hAnsi="Times New Roman"/>
          <w:sz w:val="18"/>
          <w:szCs w:val="18"/>
          <w:color w:val="000000"/>
        </w:rPr>
        <w:t xml:space="preserve"> one year </w:t>
      </w:r>
      <w:r>
        <w:rPr>
          <w:rFonts w:ascii="Times New Roman" w:cs="Times New Roman" w:eastAsia="Times New Roman" w:hAnsi="Times New Roman"/>
          <w:sz w:val="18"/>
          <w:szCs w:val="18"/>
          <w:color w:val="212529"/>
        </w:rPr>
        <w:t>to just under</w:t>
      </w:r>
      <w:r>
        <w:rPr>
          <w:rFonts w:ascii="Times New Roman" w:cs="Times New Roman" w:eastAsia="Times New Roman" w:hAnsi="Times New Roman"/>
          <w:sz w:val="18"/>
          <w:szCs w:val="18"/>
          <w:color w:val="000000"/>
        </w:rPr>
        <w:t xml:space="preserve"> 14 years </w:t>
      </w:r>
      <w:r>
        <w:rPr>
          <w:rFonts w:ascii="Times New Roman" w:cs="Times New Roman" w:eastAsia="Times New Roman" w:hAnsi="Times New Roman"/>
          <w:sz w:val="18"/>
          <w:szCs w:val="18"/>
          <w:color w:val="212529"/>
        </w:rPr>
        <w:t xml:space="preserve">and </w:t>
      </w:r>
      <w:r>
        <w:rPr>
          <w:rFonts w:ascii="Times New Roman" w:cs="Times New Roman" w:eastAsia="Times New Roman" w:hAnsi="Times New Roman"/>
          <w:sz w:val="18"/>
          <w:szCs w:val="18"/>
          <w:color w:val="000000"/>
        </w:rPr>
        <w:t>did not include any renewal or termination options that were not yet reasonably certain to be exercised.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212529"/>
        </w:rPr>
        <w:t xml:space="preserve">The following table reconciles our future undiscounted cash flows related to our operating leases and the reconciliation to the combined </w:t>
      </w:r>
      <w:r>
        <w:rPr>
          <w:rFonts w:ascii="Times New Roman" w:cs="Times New Roman" w:eastAsia="Times New Roman" w:hAnsi="Times New Roman"/>
          <w:sz w:val="18"/>
          <w:szCs w:val="18"/>
          <w:color w:val="000000"/>
        </w:rPr>
        <w:t>Current lease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liabilities and Long-term lease liabilities in the Consolidated Balance Sheets </w:t>
      </w:r>
      <w:r>
        <w:rPr>
          <w:rFonts w:ascii="Times New Roman" w:cs="Times New Roman" w:eastAsia="Times New Roman" w:hAnsi="Times New Roman"/>
          <w:sz w:val="18"/>
          <w:szCs w:val="18"/>
          <w:color w:val="212529"/>
        </w:rPr>
        <w:t>as of</w:t>
      </w:r>
      <w:r>
        <w:rPr>
          <w:rFonts w:ascii="Times New Roman" w:cs="Times New Roman" w:eastAsia="Times New Roman" w:hAnsi="Times New Roman"/>
          <w:sz w:val="18"/>
          <w:szCs w:val="18"/>
          <w:color w:val="000000"/>
        </w:rPr>
        <w:t xml:space="preserve"> February 28, 2022</w:t>
      </w:r>
      <w:r>
        <w:rPr>
          <w:rFonts w:ascii="Times New Roman" w:cs="Times New Roman" w:eastAsia="Times New Roman" w:hAnsi="Times New Roman"/>
          <w:sz w:val="18"/>
          <w:szCs w:val="18"/>
          <w:color w:val="212529"/>
        </w:rPr>
        <w: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20" w:type="dxa"/>
            <w:vAlign w:val="bottom"/>
            <w:gridSpan w:val="3"/>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Minimum Lease</w:t>
            </w:r>
          </w:p>
        </w:tc>
        <w:tc>
          <w:tcPr>
            <w:tcW w:w="0" w:type="dxa"/>
            <w:vAlign w:val="bottom"/>
          </w:tcPr>
          <w:p>
            <w:pPr>
              <w:spacing w:after="0"/>
              <w:rPr>
                <w:sz w:val="1"/>
                <w:szCs w:val="1"/>
                <w:color w:val="auto"/>
              </w:rPr>
            </w:pPr>
          </w:p>
        </w:tc>
      </w:tr>
      <w:tr>
        <w:trPr>
          <w:trHeight w:val="40"/>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8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68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Payments</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six months)</w:t>
            </w:r>
          </w:p>
        </w:tc>
        <w:tc>
          <w:tcPr>
            <w:tcW w:w="8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21,408</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39,965</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35,671</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34,075</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150,583</w:t>
            </w: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319,114</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54,829</w:t>
            </w:r>
          </w:p>
        </w:tc>
        <w:tc>
          <w:tcPr>
            <w:tcW w:w="0" w:type="dxa"/>
            <w:vAlign w:val="bottom"/>
          </w:tcPr>
          <w:p>
            <w:pPr>
              <w:spacing w:after="0"/>
              <w:rPr>
                <w:sz w:val="1"/>
                <w:szCs w:val="1"/>
                <w:color w:val="auto"/>
              </w:rPr>
            </w:pPr>
          </w:p>
        </w:tc>
      </w:tr>
      <w:tr>
        <w:trPr>
          <w:trHeight w:val="248"/>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w:t>
            </w:r>
          </w:p>
        </w:tc>
        <w:tc>
          <w:tcPr>
            <w:tcW w:w="8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264,285</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The components of lease cost related to our operating leases were as follows:</w:t>
            </w:r>
          </w:p>
        </w:tc>
        <w:tc>
          <w:tcPr>
            <w:tcW w:w="1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880" w:type="dxa"/>
            <w:vAlign w:val="bottom"/>
            <w:gridSpan w:val="4"/>
            <w:vMerge w:val="continue"/>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80" w:type="dxa"/>
            <w:vAlign w:val="bottom"/>
          </w:tcPr>
          <w:p>
            <w:pPr>
              <w:spacing w:after="0"/>
              <w:rPr>
                <w:sz w:val="19"/>
                <w:szCs w:val="19"/>
                <w:color w:val="auto"/>
              </w:rPr>
            </w:pPr>
          </w:p>
        </w:tc>
        <w:tc>
          <w:tcPr>
            <w:tcW w:w="23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February 28,</w:t>
            </w: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February 28,</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8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2022</w:t>
            </w:r>
          </w:p>
        </w:tc>
        <w:tc>
          <w:tcPr>
            <w:tcW w:w="8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99"/>
              </w:rPr>
              <w:t>2021</w:t>
            </w:r>
          </w:p>
        </w:tc>
        <w:tc>
          <w:tcPr>
            <w:tcW w:w="9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21252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10.2</w:t>
            </w:r>
          </w:p>
        </w:tc>
        <w:tc>
          <w:tcPr>
            <w:tcW w:w="8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9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312"/>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2</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9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660" w:hanging="328"/>
        <w:spacing w:after="0" w:line="281" w:lineRule="auto"/>
        <w:tabs>
          <w:tab w:leader="none" w:pos="66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Operating lease costs include costs associated with fixed lease payments and index-based variable payments that qualified for lease accounting under ASC 842, Leases and complied with the practical expedients and exceptions elected by us.</w:t>
      </w:r>
    </w:p>
    <w:p>
      <w:pPr>
        <w:spacing w:after="0" w:line="1" w:lineRule="exact"/>
        <w:rPr>
          <w:rFonts w:ascii="Times New Roman" w:cs="Times New Roman" w:eastAsia="Times New Roman" w:hAnsi="Times New Roman"/>
          <w:sz w:val="16"/>
          <w:szCs w:val="16"/>
          <w:i w:val="1"/>
          <w:iCs w:val="1"/>
          <w:color w:val="auto"/>
        </w:rPr>
      </w:pPr>
    </w:p>
    <w:p>
      <w:pPr>
        <w:jc w:val="both"/>
        <w:ind w:left="660" w:hanging="328"/>
        <w:spacing w:after="0" w:line="265" w:lineRule="auto"/>
        <w:tabs>
          <w:tab w:leader="none" w:pos="66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Variable lease costs were not included in the measurement of lease liabilities. These costs primarily include variable non-lease costs and leases that qualified for the short-term lease exception. Our variable non-lease costs include costs that were not fixed at the lease commencement date and are not dependent on an index or rate. These costs relate to utilities, real estate taxes, insurance and maintenance.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lease term and discount rate assumptions related to the operating leases recorded on the Consolidated Balance Sheets: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February 28, 2022</w:t>
            </w:r>
          </w:p>
        </w:tc>
        <w:tc>
          <w:tcPr>
            <w:tcW w:w="1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August 31, 2021</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remaining lease term </w:t>
            </w:r>
            <w:r>
              <w:rPr>
                <w:rFonts w:ascii="Times New Roman" w:cs="Times New Roman" w:eastAsia="Times New Roman" w:hAnsi="Times New Roman"/>
                <w:sz w:val="18"/>
                <w:szCs w:val="18"/>
                <w:i w:val="1"/>
                <w:iCs w:val="1"/>
                <w:color w:val="auto"/>
              </w:rPr>
              <w:t>(in years)</w:t>
            </w:r>
          </w:p>
        </w:tc>
        <w:tc>
          <w:tcPr>
            <w:tcW w:w="3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discount rate </w:t>
            </w:r>
            <w:r>
              <w:rPr>
                <w:rFonts w:ascii="Times New Roman" w:cs="Times New Roman" w:eastAsia="Times New Roman" w:hAnsi="Times New Roman"/>
                <w:sz w:val="18"/>
                <w:szCs w:val="18"/>
                <w:i w:val="1"/>
                <w:iCs w:val="1"/>
                <w:color w:val="auto"/>
              </w:rPr>
              <w:t>(IBR)</w:t>
            </w:r>
          </w:p>
        </w:tc>
        <w:tc>
          <w:tcPr>
            <w:tcW w:w="3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4.3 %</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our operating leases: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February 28,</w:t>
            </w:r>
          </w:p>
        </w:tc>
        <w:tc>
          <w:tcPr>
            <w:tcW w:w="126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auto"/>
            </w:tcBorders>
            <w:vMerge w:val="continue"/>
          </w:tcPr>
          <w:p>
            <w:pPr>
              <w:spacing w:after="0"/>
              <w:rPr>
                <w:sz w:val="19"/>
                <w:szCs w:val="19"/>
                <w:color w:val="auto"/>
              </w:rPr>
            </w:pPr>
          </w:p>
        </w:tc>
        <w:tc>
          <w:tcPr>
            <w:tcW w:w="228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8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ROU assets obtained in exchange for lease liabilities</w:t>
            </w:r>
          </w:p>
        </w:tc>
        <w:tc>
          <w:tcPr>
            <w:tcW w:w="228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Reductions to ROU assets resulting from reductions to lease liabilities</w:t>
            </w:r>
            <w:r>
              <w:rPr>
                <w:rFonts w:ascii="Times New Roman" w:cs="Times New Roman" w:eastAsia="Times New Roman" w:hAnsi="Times New Roman"/>
                <w:sz w:val="23"/>
                <w:szCs w:val="23"/>
                <w:color w:val="auto"/>
                <w:vertAlign w:val="superscript"/>
              </w:rPr>
              <w:t>1</w:t>
            </w:r>
          </w:p>
        </w:tc>
        <w:tc>
          <w:tcPr>
            <w:tcW w:w="228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660" w:hanging="328"/>
        <w:spacing w:after="0" w:line="283" w:lineRule="auto"/>
        <w:tabs>
          <w:tab w:leader="none" w:pos="660" w:val="left"/>
        </w:tabs>
        <w:numPr>
          <w:ilvl w:val="0"/>
          <w:numId w:val="5"/>
        </w:numPr>
        <w:rPr>
          <w:rFonts w:ascii="Times New Roman" w:cs="Times New Roman" w:eastAsia="Times New Roman" w:hAnsi="Times New Roman"/>
          <w:sz w:val="16"/>
          <w:szCs w:val="16"/>
          <w:i w:val="1"/>
          <w:iCs w:val="1"/>
          <w:color w:val="212529"/>
        </w:rPr>
      </w:pPr>
      <w:r>
        <w:rPr>
          <w:rFonts w:ascii="Times New Roman" w:cs="Times New Roman" w:eastAsia="Times New Roman" w:hAnsi="Times New Roman"/>
          <w:sz w:val="16"/>
          <w:szCs w:val="16"/>
          <w:i w:val="1"/>
          <w:iCs w:val="1"/>
          <w:color w:val="212529"/>
        </w:rPr>
        <w:t>Primarily related to lease term reassessments based on contractual options to early terminate, resulting in a reduction to the lease liability and the corresponding Lease ROU asset.</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and six months ended February 28, 2022, we incurred an impairment charge of $5.8 million and $7.2 million, respectively, related to our lease ROU assets associated with vacating certain leased office space. Refer to Note 5, </w:t>
      </w:r>
      <w:r>
        <w:rPr>
          <w:rFonts w:ascii="Times New Roman" w:cs="Times New Roman" w:eastAsia="Times New Roman" w:hAnsi="Times New Roman"/>
          <w:sz w:val="18"/>
          <w:szCs w:val="18"/>
          <w:i w:val="1"/>
          <w:iCs w:val="1"/>
          <w:color w:val="auto"/>
        </w:rPr>
        <w:t>Fair Value Measures</w:t>
      </w:r>
      <w:r>
        <w:rPr>
          <w:rFonts w:ascii="Times New Roman" w:cs="Times New Roman" w:eastAsia="Times New Roman" w:hAnsi="Times New Roman"/>
          <w:sz w:val="18"/>
          <w:szCs w:val="18"/>
          <w:color w:val="auto"/>
        </w:rPr>
        <w:t xml:space="preserve"> for more information on the lease ROU assets impairment methodology.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DEBT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debt obligations at February 28, 2022 and August 31, 2021 consisted of the following:</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6"/>
        </w:trPr>
        <w:tc>
          <w:tcPr>
            <w:tcW w:w="7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February 28, 2022</w:t>
            </w: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August 31, 2021</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2019</w:t>
            </w:r>
          </w:p>
        </w:tc>
        <w:tc>
          <w:tcPr>
            <w:tcW w:w="6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29"/>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2019</w:t>
            </w:r>
          </w:p>
        </w:tc>
        <w:tc>
          <w:tcPr>
            <w:tcW w:w="68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Revolving Credit Facility debt issuance costs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3"/>
        </w:trPr>
        <w:tc>
          <w:tcPr>
            <w:tcW w:w="7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574,535</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Credit Agreement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29, 2019, we entered into a credit agreement, as the borrower, with PNC Bank, National Association ("PNC"), as the administrative agent and lender (the "2019 Credit Agreement"), which provides for a $750.0 million revolving credit facility (the "2019 Revolving Credit Facility"). The 2019 Revolving Credit Facility allows for borrowings until its maturity date of March 29, 2024. The 2019 Credit Agreement also allows for, subject to certain requirements, additional borrowings with PNC for an aggregate amount up to $500.0 million, provided that any such request for additional borrowings must be in a minimum amount of $25.0 million.</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February 28, 2022, we have borrowed $575.0 million of the available $750.0 million provided by the 2019 Revolving Credit Facility, resulting in $175.0 million available to be withdrawn. We are required to pay a commitment fee using a pricing grid currently at 0.10% based on the daily amount by which the available balance in the 2019 Revolving Credit Facility exceeds the borrowed amount. All outstanding loan amounts are reported as Long-term debt within the Consolidated Balance Sheets at February 28, 2022. The principal balance is payable in full on the maturity date.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2019 Revolving Credit Facility bear interest on the outstanding principal amount at a rate equal to the daily LIBOR plus a spread using a debt leverage pricing grid, currently at 0.875%. For the three months ended February 28, 2022 and February 28, 2021, we recorded interest expense on our outstanding debt, including the amortization of debt issuance costs, net of the effects of the interest rate swap agreement, of $1.9 million in each respective period. For the six months ended February 28, 2022 and February 28, 2021, we recorded interest expense on our outstanding debt, including the amortization of debt issuance costs, net of the effects of the interest rate swap agreement, of $3.8 million and $4.0 million, respectively.</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Including the effects of the interest rate swap agreement, the year-to-date weighted average interest rate on amounts outstanding under our 2019 Revolving Credit Facility was 1.36% and 1.38% as of February 28, 2022 and August 31, 2021, respectively. Refer to Note 6,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further discussion on the interest rate swap agreement. Interest on the loan outstanding under the 2019 Revolving Credit Facility is payable quarterly, in arrears, and on the maturity date.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2019, we incurred approximately $0.9 million in debt issuance costs related to the 2019 Credit Agreement. These costs were capitalized as debt issuance costs and are amortized into interest expense ratably over the term of the 2019 Credit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2019 Credit Agreement contains covenants and requirements restricting certain of our activities, which are usual and customary for this type of loan. In addition, the 2019 Credit Agreement requires that we maintain a consolidated net leverage ratio, as measured by total net funded debt/EBITDA (as defined in the 2019 Credit Agreement) below a specified level as of the end of each fiscal quarter. We were in compliance with all covenants and requirements within the 2019 Credit Agreement as of February 28, 2022.</w:t>
      </w:r>
    </w:p>
    <w:p>
      <w:pPr>
        <w:spacing w:after="0" w:line="1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of March 1, 2022, we repaid in full and terminated our 2019 Credit Agreement. Refer to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more information on the termination.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 2022, FactSet Research Systems Inc. entered into the 2022 Credit Agreement and concurrently repaid in full and terminated the 2019 Credit Agreement. On March 1, 2022, per the 2022 Credit Agreement, we borrowed $1.0 billion under the 2022 Term Facility and $250.0 million under the 2022 Revolving Facility. Refer to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definition of these terms and more information on the 2022 Credit Agreement.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 2022, FactSet Research Systems Inc. completed a public offering of $500.0 million aggregate principal amount of 2.900% Senior Notes due 2027 and $500.0 million aggregate principal amount of 3.450% Senior Notes due 2032. Refer to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more information on these senior notes.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COMMITMENTS AND CONTINGENCIES</w:t>
      </w:r>
    </w:p>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Commitments represent obligations, such as those for future purchases of goods or services, that are not yet recorded on the balance sheet as liabilities. We record liabilities for commitments when incurred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when the goods or services are received).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 with Suppliers and Vendors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Purchase obligations represent payments due in future periods in respect of commitments to our various data vendors as well as commitments to purchase goods and services. These purchase commitments are agreements that are enforceable and legally binding on us, and they specify all significant terms, including: fixed or minimum quantities to be purchased; fixed, minimum or variable price provisions; and the approximate timing of the transaction. As of August 31, 2021, we had total purchase commitments with suppliers of $191.9 million. During the second quarter of fiscal 2022, we entered into a software subscription agreement with total purchase commitments of approximately $10 million with a contract term of three years.</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17, </w:t>
      </w:r>
      <w:r>
        <w:rPr>
          <w:rFonts w:ascii="Times New Roman" w:cs="Times New Roman" w:eastAsia="Times New Roman" w:hAnsi="Times New Roman"/>
          <w:sz w:val="18"/>
          <w:szCs w:val="18"/>
          <w:i w:val="1"/>
          <w:iCs w:val="1"/>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Events </w:t>
      </w:r>
      <w:r>
        <w:rPr>
          <w:rFonts w:ascii="Times New Roman" w:cs="Times New Roman" w:eastAsia="Times New Roman" w:hAnsi="Times New Roman"/>
          <w:sz w:val="18"/>
          <w:szCs w:val="18"/>
          <w:color w:val="auto"/>
        </w:rPr>
        <w:t>for information regarding lease commitments; outstanding debt obligations; and newly issued senior notes and debt obligations,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From time to time, we are required to obtain letters of credit in the ordinary course of business. As of February 28, 2022, we had approximately $0.6 million of standby letters of credit outstanding. These standby letters of credit utilize the same covenants included in the 2019 Credit Agreement.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on these covenants.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Uncertain income tax positions are accounted for in accordance with applicable accounting guidance, refer to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further details. We are currently under audit by tax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results of operations 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accrue non-income tax liabilities for contingencies when management believes that a loss is probable, and the amounts can be reasonably estimated. Contingent gains are recognized only when realized. We are engaged in various legal proceedings, claims and litigation that have arisen in the ordinary course of business, including employment matters, commercial and intellectual property litigation. The outcome of all the matters against us are subject to future resolution, including the uncertainties of litigation. Based on information available as of February 28, 2022,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Matters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8, 2019, we received a Notice of Intent to Assess (the "First Notice") additional sales taxes, interest and underpayment penalties from the Commonwealth of Massachusetts Department of Revenue (the "Commonwealth") relating to the tax periods from January 1, 2006 through December 31, 2013. On July 20, 2021, we received a Notice of Intent to Assess (the "Second Notice", cumulatively with the First Notice, the "Notices") additional sales taxes, interest and underpayment penalties from the Commonwealth relating to the tax periods from January 1, 2014 through December 31, 2018. Based upon the Notices, it is the Commonwealth's intention to assess sales tax, interest and underpayment penalties on previously recorded sales transactions. We have filed an appeal to the Notices and intend to contest any such assessment, if assessed. We continue to cooperate with the Commonwealth's inquiry with respect to the Notices.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10, 2021, we received a letter (the "Letter") from the Commonwealth relating to the tax periods from January 1, 2019 through June 30, 2021, requesting additional sales information to determine if a notice of intent to assess should be issued to FactSet with respect to these tax periods. Based upon a preliminary review of the Letter, we believe the Commonwealth might seek to assess sales tax, interest and underpayment penalties on previously recorded sales transactions. We are cooperating with the Commonwealth's inquiry with respect to the Letter.</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uncertainty surrounding the assessment process for both the Notices and Letter, we are unable to reasonably estimate the ultimate outcome of these matters and, as such, have not recorded a liability for any of these matters as of February 28, 2022. We believe that we will ultimately prevail if we are presented with a formal assessment for any of these matters; however, if we do not prevail, the amount of any assessment could have a material impact on our consolidated financial position, results of operations and cash flows.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permitted or required under Delaware law and to the maximum extent allowable under that law, we have certain obligations to indemnify our current and former officers and directors for certain events or occurrences while the officer or director is, or was, serving at our request in such capacity. These indemnification obligations are valid as long as the director or officer acted in good faith and in a manner the person reasonably believed to be in, or not opposed to, the best interests of FactSet, and with respect to any criminal action or proceeding, had no reasonable cause to believe his or her conduct was unlawful. The maximum potential amount of future payments we could be required to make under these indemnification obligations is unlimited; however, we have a director and officer insurance policy that we believe mitigates our exposure and may enable us to recover a portion of any future amounts paid. We believe the estimated fair value of these indemnification obligations is immaterial.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We are exposed to credit risk for cash and cash equivalents held in financial institutions in the event of a default, to the extent that such amounts are in excess of applicable insurance limits. We have not experienced any losses from maintaining cash accounts in excess of such limits. We do not believe our concentration of cash and cash equivalents present a significant credit risk as the counterparties to the instruments consist of multiple high-quality, credit-worthy financial institutions.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accounts receivable are subject to collection risk as they are unsecured and derived from revenues earned from clients located around the globe. We do not require collateral from our clients. We maintain reserves for potential write-offs and evaluate the adequacy of the reserves on a quarterly basis. These losses have historically been within expectations. No single client represented more than 3% of our total revenues in any period presented. As of February 28, 2022, the receivable reserve was $4.3 million compared with $6.4 million as of August 31, 2021.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use of derivative instruments exposes us to credit risk to the extent counterparties may be unable to meet the terms of their agreements. To mitigate credit risk, we limit counterparties to credit-worthy financial institutions and distribute contracts among these institutions to reduce the concentration of credit risk. We do not expect any losses as a result of default by our counterparties.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Other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Content Providers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integrate data from various third-party sources into our hosted propriety data and analytics platform, which our clients access to perform their analyses. As certain data sources have a limited number of suppliers, we make every effort to assure that, where reasonable, alternative sources are available. We are not dependent on any individual third-party data supplier in order to meet the needs of our clients, with only two data suppliers each representing more than 10% of our total data costs for the six months ended February 28, 2022.</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STOCKHOLDERS’ EQUITY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outstanding were as follows:</w:t>
            </w:r>
          </w:p>
        </w:tc>
        <w:tc>
          <w:tcPr>
            <w:tcW w:w="1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640" w:type="dxa"/>
            <w:vAlign w:val="bottom"/>
          </w:tcPr>
          <w:p>
            <w:pPr>
              <w:spacing w:after="0"/>
              <w:rPr>
                <w:sz w:val="21"/>
                <w:szCs w:val="21"/>
                <w:color w:val="auto"/>
              </w:rPr>
            </w:pPr>
          </w:p>
        </w:tc>
        <w:tc>
          <w:tcPr>
            <w:tcW w:w="2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0"/>
        </w:trPr>
        <w:tc>
          <w:tcPr>
            <w:tcW w:w="8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40" w:type="dxa"/>
            <w:vAlign w:val="bottom"/>
            <w:tcBorders>
              <w:bottom w:val="single" w:sz="8" w:color="auto"/>
            </w:tcBorders>
            <w:vMerge w:val="continue"/>
          </w:tcPr>
          <w:p>
            <w:pPr>
              <w:spacing w:after="0"/>
              <w:rPr>
                <w:sz w:val="20"/>
                <w:szCs w:val="20"/>
                <w:color w:val="auto"/>
              </w:rPr>
            </w:pPr>
          </w:p>
        </w:tc>
        <w:tc>
          <w:tcPr>
            <w:tcW w:w="17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7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37,615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38,030</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for employee stock plans</w:t>
            </w:r>
          </w:p>
        </w:tc>
        <w:tc>
          <w:tcPr>
            <w:tcW w:w="17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 from employees</w:t>
            </w:r>
            <w:r>
              <w:rPr>
                <w:rFonts w:ascii="Times New Roman" w:cs="Times New Roman" w:eastAsia="Times New Roman" w:hAnsi="Times New Roman"/>
                <w:sz w:val="9"/>
                <w:szCs w:val="9"/>
                <w:color w:val="auto"/>
              </w:rPr>
              <w:t>(1)</w:t>
            </w:r>
          </w:p>
        </w:tc>
        <w:tc>
          <w:tcPr>
            <w:tcW w:w="17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Repurchase of common stock under the share repurchase program</w:t>
            </w:r>
            <w:r>
              <w:rPr>
                <w:rFonts w:ascii="Times New Roman" w:cs="Times New Roman" w:eastAsia="Times New Roman" w:hAnsi="Times New Roman"/>
                <w:sz w:val="9"/>
                <w:szCs w:val="9"/>
                <w:color w:val="auto"/>
              </w:rPr>
              <w:t>(2)</w:t>
            </w:r>
          </w:p>
        </w:tc>
        <w:tc>
          <w:tcPr>
            <w:tcW w:w="17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(46)</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7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37,884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37,845</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340" w:right="20" w:hanging="332"/>
        <w:spacing w:after="0" w:line="277" w:lineRule="auto"/>
        <w:tabs>
          <w:tab w:leader="none" w:pos="334"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the six months ended February 28, 2022 and February 28, 2021, we repurchased 7,422 and 7,447 shares from employees, or $3.3 million and $2.4 million of common stock, respectively, primarily to satisfy withholding tax obligations due upon the vesting of stock-based awards.</w:t>
      </w:r>
    </w:p>
    <w:p>
      <w:pPr>
        <w:spacing w:after="0" w:line="21"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6"/>
        </w:numPr>
        <w:rPr>
          <w:rFonts w:ascii="Times New Roman" w:cs="Times New Roman" w:eastAsia="Times New Roman" w:hAnsi="Times New Roman"/>
          <w:sz w:val="20"/>
          <w:szCs w:val="20"/>
          <w:i w:val="1"/>
          <w:iCs w:val="1"/>
          <w:color w:val="004988"/>
        </w:rPr>
      </w:pPr>
      <w:r>
        <w:rPr>
          <w:rFonts w:ascii="Times New Roman" w:cs="Times New Roman" w:eastAsia="Times New Roman" w:hAnsi="Times New Roman"/>
          <w:sz w:val="18"/>
          <w:szCs w:val="18"/>
          <w:i w:val="1"/>
          <w:iCs w:val="1"/>
          <w:color w:val="auto"/>
        </w:rPr>
        <w:t>Refer to Share Repurchase Program below for more information on the year over year change.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our share repurchase program, we may repurchase shares of our common stock from time to time in the open market and privately negotiated transactions, subject to market conditions.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Beginning in the second quarter of fiscal 2022, we suspended our share repurchase program through at least the second half of fiscal 2023, with the exception of potential minor repurchases to offset dilution from grants of equity awards or repurchases to satisfy withholding tax obligations due upon the vesting of stock-based awards. The suspension of our share repurchase program allows us to prioritize the repayment of debt under the 2022 Credit Agreement. Refer to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the definition of and more information on the 2022 Credit Agreement.</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such, for the three months ended February 28, 2022, we did not make any repurchases under our existing share repurchase program, compared to 221,959 shares repurchased for $71.5 million for the three months ended February 28, 2021. During the six months ended February 28, 2022, we repurchased 46,200 shares for $18.6 million under our existing share repurchase program compared with 353,759 shares for $114.6 million in the same period a year ago.</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28, 2022, a total of $181.3 million remained authorized for future share repurchases under this program. There is no defined number of shares to be repurchased over a specified timeframe through the life of the share repurchase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stock awards entitle the holders to receive shares of common stock as the awards vest over time. For the six months ended February 28, 2022, 18,360 shares of previously granted restricted stock vested and were included in common stock outstanding as of February 28, 2022 (recorded net of 7,162 shares repurchased from employees at a cost of $3.1 million to cover their cost of taxes upon vesting of the restricted stock). During the six months ended February 28, 2021, 18,943 shares of previously granted restricted stock vested and were included in common stock outstanding as of February 28, 2021 (recorded net of 7,129 shares repurchased from employees at a cost of $2.3 million to cover their cost of taxes upon vesting of the restricted stock).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declared dividends in the six months ended February 28, 2022 and February 28, 2021 as follows:</w:t>
      </w:r>
    </w:p>
    <w:p>
      <w:pPr>
        <w:spacing w:after="0" w:line="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Dividends per</w:t>
      </w:r>
    </w:p>
    <w:tbl>
      <w:tblPr>
        <w:tblLayout w:type="fixed"/>
        <w:tblInd w:w="0" w:type="dxa"/>
        <w:tblCellMar>
          <w:top w:w="0" w:type="dxa"/>
          <w:left w:w="0" w:type="dxa"/>
          <w:bottom w:w="0" w:type="dxa"/>
          <w:right w:w="0" w:type="dxa"/>
        </w:tblCellMar>
      </w:tblPr>
      <w:tr>
        <w:trPr>
          <w:trHeight w:val="160"/>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w:t>
            </w:r>
          </w:p>
        </w:tc>
        <w:tc>
          <w:tcPr>
            <w:tcW w:w="1640" w:type="dxa"/>
            <w:vAlign w:val="bottom"/>
          </w:tcPr>
          <w:p>
            <w:pPr>
              <w:spacing w:after="0"/>
              <w:rPr>
                <w:sz w:val="13"/>
                <w:szCs w:val="13"/>
                <w:color w:val="auto"/>
              </w:rPr>
            </w:pPr>
          </w:p>
        </w:tc>
        <w:tc>
          <w:tcPr>
            <w:tcW w:w="1340" w:type="dxa"/>
            <w:vAlign w:val="bottom"/>
          </w:tcPr>
          <w:p>
            <w:pPr>
              <w:jc w:val="right"/>
              <w:ind w:right="330"/>
              <w:spacing w:after="0" w:line="160" w:lineRule="exact"/>
              <w:rPr>
                <w:sz w:val="20"/>
                <w:szCs w:val="20"/>
                <w:color w:val="auto"/>
              </w:rPr>
            </w:pPr>
            <w:r>
              <w:rPr>
                <w:rFonts w:ascii="Times New Roman" w:cs="Times New Roman" w:eastAsia="Times New Roman" w:hAnsi="Times New Roman"/>
                <w:sz w:val="18"/>
                <w:szCs w:val="18"/>
                <w:color w:val="auto"/>
              </w:rPr>
              <w:t>Share of</w:t>
            </w:r>
          </w:p>
        </w:tc>
        <w:tc>
          <w:tcPr>
            <w:tcW w:w="174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Record Date</w:t>
            </w:r>
          </w:p>
        </w:tc>
        <w:tc>
          <w:tcPr>
            <w:tcW w:w="400" w:type="dxa"/>
            <w:vAlign w:val="bottom"/>
          </w:tcPr>
          <w:p>
            <w:pPr>
              <w:spacing w:after="0"/>
              <w:rPr>
                <w:sz w:val="13"/>
                <w:szCs w:val="13"/>
                <w:color w:val="auto"/>
              </w:rPr>
            </w:pPr>
          </w:p>
        </w:tc>
        <w:tc>
          <w:tcPr>
            <w:tcW w:w="1340" w:type="dxa"/>
            <w:vAlign w:val="bottom"/>
          </w:tcPr>
          <w:p>
            <w:pPr>
              <w:jc w:val="right"/>
              <w:ind w:right="70"/>
              <w:spacing w:after="0" w:line="160" w:lineRule="exact"/>
              <w:rPr>
                <w:sz w:val="20"/>
                <w:szCs w:val="20"/>
                <w:color w:val="auto"/>
              </w:rPr>
            </w:pPr>
            <w:r>
              <w:rPr>
                <w:rFonts w:ascii="Times New Roman" w:cs="Times New Roman" w:eastAsia="Times New Roman" w:hAnsi="Times New Roman"/>
                <w:sz w:val="18"/>
                <w:szCs w:val="18"/>
                <w:color w:val="auto"/>
              </w:rPr>
              <w:t>Total $ Amount</w:t>
            </w:r>
          </w:p>
        </w:tc>
        <w:tc>
          <w:tcPr>
            <w:tcW w:w="2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Payment Date</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2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November 30, 2021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2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December 16, 2021</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February 28, 2022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31,065</w:t>
            </w:r>
          </w:p>
        </w:tc>
        <w:tc>
          <w:tcPr>
            <w:tcW w:w="2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March 17, 2022</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2021</w:t>
            </w: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November 30, 2020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29,266</w:t>
            </w:r>
          </w:p>
        </w:tc>
        <w:tc>
          <w:tcPr>
            <w:tcW w:w="2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December 17, 2020</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February 26, 2021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29,141</w:t>
            </w:r>
          </w:p>
        </w:tc>
        <w:tc>
          <w:tcPr>
            <w:tcW w:w="2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March 18, 2021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cash dividend payments will depend on our earnings, capital requirements, financial condition and other factors considered relevant by us and are subject to final determination by our Board of Directors.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2"/>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AOCL are as follows:</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6"/>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February 28, 2022</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August 31, 2021</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unrealized gains (losses) on cash flow hedges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29"/>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foreign currency translation adjustment losses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(36,867)</w:t>
            </w:r>
          </w:p>
        </w:tc>
      </w:tr>
      <w:tr>
        <w:trPr>
          <w:trHeight w:val="223"/>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Total AOCL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EARNINGS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weighted average shares outstanding used in the basic and diluted earnings per share ("EPS") computations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440" w:type="dxa"/>
            <w:vAlign w:val="bottom"/>
          </w:tcPr>
          <w:p>
            <w:pPr>
              <w:spacing w:after="0"/>
              <w:rPr>
                <w:sz w:val="19"/>
                <w:szCs w:val="19"/>
                <w:color w:val="auto"/>
              </w:rPr>
            </w:pPr>
          </w:p>
        </w:tc>
        <w:tc>
          <w:tcPr>
            <w:tcW w:w="22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February 28,</w:t>
            </w: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February 28,</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6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4"/>
              </w:rPr>
              <w:t>2021</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used for calculating basic and diluted</w:t>
            </w: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109,938</w:t>
            </w:r>
          </w:p>
        </w:tc>
        <w:tc>
          <w:tcPr>
            <w:tcW w:w="80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96,643</w:t>
            </w: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217,585</w:t>
            </w:r>
          </w:p>
        </w:tc>
        <w:tc>
          <w:tcPr>
            <w:tcW w:w="6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197,849</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per share</w:t>
            </w:r>
          </w:p>
        </w:tc>
        <w:tc>
          <w:tcPr>
            <w:tcW w:w="44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used in the</w:t>
            </w:r>
          </w:p>
        </w:tc>
        <w:tc>
          <w:tcPr>
            <w:tcW w:w="4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37,837</w:t>
            </w:r>
          </w:p>
        </w:tc>
        <w:tc>
          <w:tcPr>
            <w:tcW w:w="8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4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37,685</w:t>
            </w:r>
          </w:p>
        </w:tc>
        <w:tc>
          <w:tcPr>
            <w:tcW w:w="6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37,961</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calculation of basic income per share</w:t>
            </w:r>
          </w:p>
        </w:tc>
        <w:tc>
          <w:tcPr>
            <w:tcW w:w="4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equivalents associated with stock-based</w:t>
            </w:r>
          </w:p>
        </w:tc>
        <w:tc>
          <w:tcPr>
            <w:tcW w:w="4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8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4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6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plan</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Shares used in the calculation of diluted income per</w:t>
            </w:r>
          </w:p>
        </w:tc>
        <w:tc>
          <w:tcPr>
            <w:tcW w:w="44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38,761</w:t>
            </w:r>
          </w:p>
        </w:tc>
        <w:tc>
          <w:tcPr>
            <w:tcW w:w="8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38,620</w:t>
            </w:r>
          </w:p>
        </w:tc>
        <w:tc>
          <w:tcPr>
            <w:tcW w:w="4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38,628</w:t>
            </w:r>
          </w:p>
        </w:tc>
        <w:tc>
          <w:tcPr>
            <w:tcW w:w="6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38,658</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w:t>
            </w:r>
          </w:p>
        </w:tc>
        <w:tc>
          <w:tcPr>
            <w:tcW w:w="800" w:type="dxa"/>
            <w:vAlign w:val="bottom"/>
            <w:tcBorders>
              <w:bottom w:val="single" w:sz="8" w:color="auto"/>
            </w:tcBorders>
          </w:tcPr>
          <w:p>
            <w:pPr>
              <w:jc w:val="right"/>
              <w:ind w:right="5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w:t>
            </w: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5.63</w:t>
            </w:r>
          </w:p>
        </w:tc>
        <w:tc>
          <w:tcPr>
            <w:tcW w:w="680" w:type="dxa"/>
            <w:vAlign w:val="bottom"/>
            <w:tcBorders>
              <w:bottom w:val="single" w:sz="8" w:color="auto"/>
            </w:tcBorders>
          </w:tcPr>
          <w:p>
            <w:pPr>
              <w:jc w:val="right"/>
              <w:ind w:right="4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Dilutive potential common shares consist of stock options and unvested performance-based awards. There were no stock options excluded from the calculation of diluted EPS for the three and six months ended February 28, 2022. For each of the three and six months ended February 28, 2021, the number of stock options excluded from the calculation of diluted EPS was 1,750.</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Performance-based awards are omitted from the calculation of diluted EPS until it is determined that the performance criteria has been met at the end of the reporting period. For the three and six months ended February 28, 2022, there were 95,865 performance-based awards excluded from the calculation of diluted EPS. For each of the three and six months ended February 28, 2021, there were 71,275 performance-based awards excluded from the calculation of diluted EPS.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STOCK-BASED COMPENSATION</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total stock-based compensation expense of $15.5 million and $11.0 million during the three months ended February 28, 2022 and February 28, 2021, respectively. During the six months ended February 28, 2022 and February 28, 2021, we recognized total stock-based compensation expense of $25.9 million and $22.3 million, respectively. As of February 28, 2022, $129.3 million of total unrecognized compensation expense related to non-vested awards is expected to be recognized over a weighted average period of 3.2 years. There was no stock-based compensation capitalized as of February 28, 2022 and February 28, 2021.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Option Awards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February 28, 2022, we granted 302,493 stock options under the FactSet Research Systems Inc. Stock Option and Award Plan, as Amended and Restated (the "LTIP") with a weighted average exercise price of $434.70 to existing employees of FactSet, using the lattice-binomial option-pricing model. The majority of the stock options granted during the six months ended February 28, 2022 are related to the annual employee grant on November 1, 2021 under the LTIP. The stock option awards granted on November 1, 2021 vest 20% annually on the anniversary date of the grant and are fully vested after five years, expiring ten years from the date of grant. As of February 28, 2022, we had 4.7 million share-based awards available for grant under the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Option Fair Value Determinations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the lattice-binomial option-pricing model ("binomial model") to estimate the fair value of new employee stock option grants. The binomial model is affected by our stock price, as well as assumptions regarding several variables, which include, but are not limited to, our expected stock price volatility over the term of the awards, interest rates, option forfeitures and employee stock option exercise behaviors, to determine the grant date stock option award fair value.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estimated fair value of employee stock options granted on November 1, 2021 was determined using the binomial model with the following weighted average assumptions: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 2021 Grant Details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 - 1.56%</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0.85 %</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w:t>
            </w:r>
          </w:p>
        </w:tc>
        <w:tc>
          <w:tcPr>
            <w:tcW w:w="4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$434.82</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a percentage of exercise price</w:t>
            </w:r>
          </w:p>
        </w:tc>
        <w:tc>
          <w:tcPr>
            <w:tcW w:w="4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Stock Option Grant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FactSet Research Systems Inc. Non-Employee Directors’ Stock Option and Award Plan as Amended and Restated (the "Director Plan") provides for the grant of share-based awards, including stock options, to non-employee directors of FactSet. The expiration date of the Director Plan is December 19, 2027. The non-qualified stock options granted to directors vest 100% after three years on the anniversary date of the grant and expire seven years from the date the options were granted. As of February 28, 2022, we had 227,348 shares available for future grant under the Director Plan.</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18, 2022, we granted 6,329 stock options under the Director Plan to our non-employee directors, using the Black-Scholes option-pricing model with the following assumptions: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18, 2022 Grant Details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0.72 %</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$109.11</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$428.71</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a percentage of exercise price</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Restricted Stock Units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February 28, 2022, we granted 59,738 non-performance based restricted stock units ("RSUs") and 30,704 performance-based restricted stock units ("PSUs"; RSUs and PSUs, collectively, "Restricted Stock Awards") under the LTIP. The Restricted Stock Awards granted under the LTIP during the six months ended February 28, 2022 had a weighted average grant date fair value of $422.34.</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Restricted Stock Awards are subject to continued employment over a specified period and entitle the holders to shares of common stock as the Restricted Stock Awards vest over time. Vesting of the shares underlying the PSUs are also subject to achieving certain specified performance levels during the measurement period subsequent to the date of grant. The Restricted Stock Award holder is not entitled to dividends declared on the underlying shares while the stock subject to the Restricted Stock Award is unvested. The grant date fair value of Restricted Stock Awards is measured by reducing the grant date price of the common stock by the present value of the dividends expected to be paid on the underlying stock during the requisite service period, discounted at the appropriate risk-free interest rate. The expense associated with Restricted Stock Awards is amortized over the vesting period.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Restricted Stock Awards granted during the six months ended February 28, 2022 were primarily related to the annual employee grant on November 1, 2021. With respect to the November 1, 2021 grant, RSUs granted vest 20% annually on the anniversary date of grant and are fully vested after five years and PSUs granted cliff vest on the third anniversary of the grant date, subject to the achievement of certain performance metrics.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Restricted Stock Units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 Plan provides for the grant of share-based awards, including RSUs, to non-employee directors of FactSet. On January 18, 2022, we granted 1,629 RSUs to our directors that vest 100% on the first anniversary of the grant date. The RSUs granted under the Director Plan during the six months ended February 28, 2022 had a weighted average grant date fair value of $425.49.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of FactSet common stock may be purchased by eligible employees under the FactSet Research Systems Inc. Employee Stock Purchase Plan, as Amended and Restated (the "ESPP") in three-month intervals. The purchase price is equal to 85% of the lesser of the fair market value of our common stock on the first day or the last day of each three-month offering period. Employee purchases may not exceed 10% of their gross compensation and there is a $25,000 contribution limit per employee during an offering period. Dividends paid on shares held in the ESPP are used to purchase additional ESPP shares at the market price on the dividend payment date.</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February 28, 2022, employees purchased 8,232 shares at a weighted average price of $351.06 compared with 9,528 shares at a weighted average price of $263.18 for the three months ended February 28, 2021. During the six months ended February 28, 2022, employees purchased 17,417 shares at a weighted average price of $340.41 compared with 18,797 shares at a weighted average price of $274.72 for the six months ended February 28, 2021. Stock-based compensation expense related to the ESPP was $0.5 million during both the three months ended February 28, 2022 and February 28, 2021. Stock-based compensation expense related to the ESPP was $1.1 million for the six months ended February 28, 2022 and $1.0 million for the six months ended February 28, 2021. As of February 28, 2022 the ESPP had 121,539 shares reserved for future issuance.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 SEGMENT INFORMATION</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have the following characteristics: (i) they engage in business activities from which they may earn revenues and incur expenses, (ii) their operating results are regularly reviewed by the chief operating decision maker ("CODM") for resource allocation decisions and performance assessment, and (iii) their discrete financial information is available. At FactSet, our Chief Executive Officer functions as our CODM.</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operating segments are consistent with our reportable segments and are how we, including our CODM, manage our business and the geographic markets in which we serve. Our internal financial reporting structure is based on three segments: the Americas; EMEA; and Asia Pacific.</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Americas segment serves our clients throughout North, Central, and South America. The EMEA segment serves our clients in Europe, the Middle East, and Africa. The Asia Pacific segment serves our clients in Asia and Australia. Segment revenues reflect sales to clients based in these respective geographic locations.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content collection centers, located in India, the Philippines and Latvia, benefit all our segments, and the expenses incurred at these locations are allocated to each segment based on a percentage of revenues.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results of operations of our segments as of February 28, 2022 and February 28,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February 28, 2022</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273,659</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431,119</w:t>
            </w:r>
          </w:p>
        </w:tc>
      </w:tr>
      <w:tr>
        <w:trPr>
          <w:trHeight w:val="230"/>
        </w:trPr>
        <w:tc>
          <w:tcPr>
            <w:tcW w:w="5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48,903</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28,501</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123,348</w:t>
            </w:r>
          </w:p>
        </w:tc>
      </w:tr>
      <w:tr>
        <w:trPr>
          <w:trHeight w:val="229"/>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11,963</w:t>
            </w:r>
          </w:p>
        </w:tc>
      </w:tr>
      <w:tr>
        <w:trPr>
          <w:trHeight w:val="270"/>
        </w:trPr>
        <w:tc>
          <w:tcPr>
            <w:tcW w:w="5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February 28, 2021</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247,991</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105,493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38,304</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391,788</w:t>
            </w:r>
          </w:p>
        </w:tc>
      </w:tr>
      <w:tr>
        <w:trPr>
          <w:trHeight w:val="230"/>
        </w:trPr>
        <w:tc>
          <w:tcPr>
            <w:tcW w:w="5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22,229</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116,133</w:t>
            </w:r>
          </w:p>
        </w:tc>
      </w:tr>
      <w:tr>
        <w:trPr>
          <w:trHeight w:val="229"/>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8,219</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w:t>
            </w:r>
          </w:p>
        </w:tc>
      </w:tr>
      <w:tr>
        <w:trPr>
          <w:trHeight w:val="270"/>
        </w:trPr>
        <w:tc>
          <w:tcPr>
            <w:tcW w:w="5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six months ended February 28, 2022</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540,572</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229,594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855,844</w:t>
            </w:r>
          </w:p>
        </w:tc>
      </w:tr>
      <w:tr>
        <w:trPr>
          <w:trHeight w:val="230"/>
        </w:trPr>
        <w:tc>
          <w:tcPr>
            <w:tcW w:w="5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246,009</w:t>
            </w:r>
          </w:p>
        </w:tc>
      </w:tr>
      <w:tr>
        <w:trPr>
          <w:trHeight w:val="229"/>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17,549</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20,546</w:t>
            </w:r>
          </w:p>
        </w:tc>
      </w:tr>
      <w:tr>
        <w:trPr>
          <w:trHeight w:val="270"/>
        </w:trPr>
        <w:tc>
          <w:tcPr>
            <w:tcW w:w="5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six months ended February 28, 2021</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492,327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211,270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779,993</w:t>
            </w:r>
          </w:p>
        </w:tc>
      </w:tr>
      <w:tr>
        <w:trPr>
          <w:trHeight w:val="230"/>
        </w:trPr>
        <w:tc>
          <w:tcPr>
            <w:tcW w:w="5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237,163</w:t>
            </w:r>
          </w:p>
        </w:tc>
      </w:tr>
      <w:tr>
        <w:trPr>
          <w:trHeight w:val="234"/>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17,779</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28,758</w:t>
            </w:r>
          </w:p>
        </w:tc>
      </w:tr>
    </w:tbl>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reflects the total assets for our segments:</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7"/>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Segment Assets </w:t>
            </w: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February 28, 2022</w:t>
            </w:r>
          </w:p>
        </w:tc>
        <w:tc>
          <w:tcPr>
            <w:tcW w:w="3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August 31, 2021</w:t>
            </w:r>
          </w:p>
        </w:tc>
      </w:tr>
      <w:tr>
        <w:trPr>
          <w:trHeight w:val="223"/>
        </w:trPr>
        <w:tc>
          <w:tcPr>
            <w:tcW w:w="7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1,468,121</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1,144,693</w:t>
            </w:r>
          </w:p>
        </w:tc>
      </w:tr>
      <w:tr>
        <w:trPr>
          <w:trHeight w:val="229"/>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tcPr>
          <w:p>
            <w:pPr>
              <w:spacing w:after="0"/>
              <w:rPr>
                <w:sz w:val="19"/>
                <w:szCs w:val="19"/>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659,961</w:t>
            </w:r>
          </w:p>
        </w:tc>
        <w:tc>
          <w:tcPr>
            <w:tcW w:w="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842,652</w:t>
            </w:r>
          </w:p>
        </w:tc>
      </w:tr>
      <w:tr>
        <w:trPr>
          <w:trHeight w:val="230"/>
        </w:trPr>
        <w:tc>
          <w:tcPr>
            <w:tcW w:w="7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246,075</w:t>
            </w:r>
          </w:p>
        </w:tc>
        <w:tc>
          <w:tcPr>
            <w:tcW w:w="3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237,595</w:t>
            </w:r>
          </w:p>
        </w:tc>
      </w:tr>
      <w:tr>
        <w:trPr>
          <w:trHeight w:val="228"/>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Total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2,374,157</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2,224,940</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17. SUBSEQUENT EVENTS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CUSIP Global Services Acquisition</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24, 2021, we entered into a definitive agreement to acquire CUSIP Global Services (“CGS"), previously operated by S&amp;P Global Inc., on behalf of the American Bankers Association, for $1.925 billion in cash, subject to a working capital adjustment. The acquisition was completed on March 1, 2022. CGS manages a database of 60 different data elements uniquely identifying more than 50 million global financial instruments. It is the foundation for security master files relied on by critical front, middle and back-office functions. CGS is the exclusive provider of Committee on Uniform Security Identification Procedures ("CUSIP") and CUSIP International Number System ("CINS") identifiers globally and also acts as the official numbering agency for International Securities Identification Number ("ISIN") identifiers in the United States and as a substitute number agency for more than 35 other countries. We anticipate that the CGS acquisition will significantly expand our critical role in the global capital markets. The purchase price for the CGS acquisition was financed from the net proceeds of the issuance of the Notes (defined below) and borrowings under the 2022 Credit Agreement (defined below).</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CGS will be recognized based on geographic business activities in accordance with how our operating segments are currently aligned. CGS will function as part of CTS. We have not completed a preliminary allocation of the purchase price to the assets and liabilities acquired, although we expect that the majority of the purchase price will be allocated to acquired intangible assets and goodwill.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Senior Notes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 2022, FactSet Research Systems Inc. completed a public offering of $500.0 million aggregate principal amount of 2.900% Senior Notes due 2027 (the “2027 Notes”) and $500.0 million aggregate principal amount of 3.450% Senior Notes due 2032 (the “2032 Notes” and, together with the 2027 Notes, the “Notes”). The Notes were issued pursuant to an indenture, dated as of March 1, 2022, by and between FactSet and U.S. Bank Trust Company, National Association, as trustee, as supplemented by the supplemental indenture, dated as of March 1, 2022, between us and the Trustee (the "Supplemental Indenture"). We received net proceeds of $990.925 million from the issuance of the Notes and used such proceeds, together with cash on hand and borrowings under the 2022 Credit Agreement, to finance the consideration for the CGS acquisition, to repay borrowings under the 2019 Credit Agreement and to pay related transaction fees, costs and expenses.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2027 Notes and the 2032 Notes will mature on March 1, 2027 and March 1, 2032, respectively. Interest on the Notes is payable semiannually in arrears on March 1 and September 1 of each year, beginning September 1, 2022. The Notes are unsecured unsubordinated obligations and will be effectively subordinated to any of our existing and future secured obligations to the extent of the value of the assets securing such obligations.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Notes, in whole or in part, at any time at specified redemption prices, plus accrued and unpaid interest, if any. Upon the occurrence of a change of control triggering event (as defined in the Supplemental Indenture), we must offer to repurchase the Notes at 101% of their principal amount, plus accrued and unpaid interest, if 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Establishment of 2022 Credit Agreement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2022, FactSet Research Systems Inc. entered into a credit agreement (the “2022 Credit Agreement”), which provides for a senior unsecured term loan credit facility in an aggregate principal amount of $1.0 billion (the “2022 Term Facility”) and a senior unsecured revolving credit facility in an aggregate principal amount of $500.0 million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 2022, we borrowed $1.0 billion under the 2022 Term Facility and $250.0 million under the 2022 Revolving Facility.</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2022 Credit Agreement provides that (i) loans denominated in U.S. dollars, at our option, will bear interest at either one-month Term Secured Overnight Financing Rate ("SOFR") (with a 10 basis points credit spread adjustment and subject to a “zero” floor), Daily Simple SOFR (with a 10 basis points credit spread adjustment and subject to a “zero” floor) or an alternate base rate, (ii) loans denominated in Pounds Sterling will bear interest at Daily Simple Sterling Overnight Index Average ("SONIA") (subject to a “zero” floor) and (iii) loans denominated in Euros will bear interest at the Euro Interbank Offered Rate ("EURIBOR") (subject to a “zero” floor), in each case, plus an applicable interest rate margin. The interest rate margin will be based upon our senior unsecured non-credit enhanced long-term debt rating and our total leverage ratio. We will also pay a commitment fee under the 2022 Revolving Facility that will fluctuate between 0.10% per annum and 0.25% per annum on the daily unused amount of the 2022 Revolving Facility.</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under the 2022 Term Facility are subject to scheduled amortization payments in an aggregate annual amount equal to 5.0% of the original principal amount thereof. The 2022 Credit Facilities are not otherwise subject to any mandatory prepayments. We may voluntarily prepay loans under the 2022 Credit Facilities at any time without premium or penalty.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2022 Credit Agreement contains usual and customary affirmative and negative covenants for facilities of this type, including limitations on indebtedness of non-guarantor subsidiaries, liens, sale and leaseback transactions, mergers and certain other fundamental changes and change in nature of business. The 2022 Credit Agreement contains a financial covenant requiring maintenance of a total leverage ratio which is no greater than 4.00 to 1.00 for the fiscal quarter ending on May 31, 2022.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Swap Agreement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desire to maintain a fixed to floating interest rate ratio of 80% on our outstanding debt portfolio, we entered into an interest rate swap agreement ("2022 Swap Agreement") with a notional amount $800.0 million on March 1, 2022. The 2022 Swap Agreement will hedge our floating SOFR rate outstanding debt with a fixed rate of 1.162%. The notional amount of the 2022 Swap Agreement will decline in parity with any repayments of our Term SOFR rate debt to maintain the targeted hedging ratio of 80%. The 2022 Swap Agreement matures on February 28, 2024. We have designated this instrument as a cash flow hedge and any unrealized gains or losses on the 2022 Swap Agreement will be recorded in AOCL in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2019 Credit Agreement and 2020 Swap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2022, in connection with the entry into the 2022 Credit Agreement, we repaid in full and terminated the 2019 Credit Agreement and amortized the remaining $0.4 million of capitalized debt issuance costs related to the 2019 Credit Agreement. The 2020 Swap Agreement was also terminated on March 1, 2022, which will result in a one-time benefit of $3.5 million to be recognized during the third quarter of fiscal 2022, based on the fair market value of the 2020 Swap Agreement as of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25"/>
          <w:szCs w:val="25"/>
          <w:b w:val="1"/>
          <w:bCs w:val="1"/>
          <w:color w:val="auto"/>
        </w:rPr>
        <w:t>ITEM 2. MANAGEMENT’S DISCUSSION AND ANALYSIS OF FINANCIAL CONDITION AND RESULTS OF OPERATIONS</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Management’s Discussion and Analysis of Financial Condition and Results of Operations ("MD&amp;A") should be read in conjunction with the Consolidated Financial Statements and related notes included in this Quarterly Report on Form 10-Q, our Annual Report on Form 10-K for the fiscal year ended August 31, 2021, our Current Reports on Form 8-K and our other filings with the Securities and Exchange Commission. This discussion contains forward-looking statements that involve risks and uncertainties. Our actual results could differ materially from those discussed below. Factors that could cause such differences include, but are not limited to, those identified below and those discussed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year ended August 31, 2021.</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21" w:lineRule="exact"/>
        <w:rPr>
          <w:sz w:val="20"/>
          <w:szCs w:val="20"/>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Subscription Value ("ASV")</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User Additions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Headcount</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Overview</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data and analytics company with an open and flexible digital platform which focuses on driving the investment community to see more, think bigger, and do its best work. Our strategy is to build the leading open content and analytics platform that delivers a differentiated advantage for our clients’ success.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over 40 years, the FactSet platform has delivered expansive data, sophisticated analytics, and flexible technology that global financial professionals need to power their critical investment workflows. More than 171,000 investment professionals including asset managers, asset owners, bankers, wealth managers, corporate users, private equity and venture capital professionals, and others use our personalized solutions to identify opportunities, explore ideas, and gain a competitive advantage. Our solutions span investment research, portfolio construction and analysis, trade execution, performance measurement, risk management, and reporting across the investment lifecycle.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financial data and market intelligence on securities, companies, industries and people to enable our clients to research investment ideas, as well as offering them the capabilities to analyze, monitor and manage their portfolios. We combine dedicated client service with open and flexible technology offerings, such as a configurable desktop and mobile platform, comprehensive data feeds, cloud-based digital solutions, and application programming interfaces ("APIs"). Our revenues are primarily derived from subscriptions to our products and services such as workstations, portfolio analytics, and market data.</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advance our industry by comprehensively understanding our clients’ workflows, solving their most complex challenges, and helping them achieve their goals. By providing them with the leading open content and analytics platform, an expansive universe of concorded data they can trust, next-generation workflow support designed to help them grow and see their next best action, and the industry’s most committed service specialists, we put our clients in a position to outperform.</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focused on growing our business through three reportable segments ("segments"): the Americas, EMEA and Asia Pacific.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Notes to the Consolidated Financial Statements included in Part I, Item 1 of this Quarterly Report on Form 10-Q for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Within each of our segments, we deliver insight and information through our three workflows: Research &amp; Advisory Solutions; Analytics &amp; Trading Solutions; and Content &amp; Technology Solutions ("CTS").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Client needs and market dynamics continue to evolve at an accelerated pace with an increasing demand for differentiated, personalized, and connected data, an ongoing shift to multi-asset class investing, and cost rationalization as the shift from active to passive investing continues. Clients are seeking new cloud-based solutions that enable self-service and automation, open and flexible systems, and increased efficiencies when integrating and managing data as part of their own broader digital transformations.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FactSet’s strategy focuses on building the leading open content and analytics platform that delivers differentiated advantages for our clients’ success, in keeping with our purpose of enabling the investment community to see more, think bigger and do their best work. We want to be the trusted partner of choice for clients, to anticipate their needs and provide them with the most innovative solutions to make them more efficient. This includes transforming the way our clients discover, decide, and act on an opportunity using our digital platform; purposefully increasing our pace and speed to market by streamlining how we work; and investing in our future workforce. To execute on our strategy, we plan on the following:</w:t>
      </w:r>
    </w:p>
    <w:p>
      <w:pPr>
        <w:spacing w:after="0" w:line="139" w:lineRule="exact"/>
        <w:rPr>
          <w:sz w:val="20"/>
          <w:szCs w:val="20"/>
          <w:color w:val="auto"/>
        </w:rPr>
      </w:pPr>
    </w:p>
    <w:p>
      <w:pPr>
        <w:jc w:val="both"/>
        <w:ind w:left="660" w:hanging="328"/>
        <w:spacing w:after="0" w:line="25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Growing our digital platform</w:t>
      </w:r>
      <w:r>
        <w:rPr>
          <w:rFonts w:ascii="Times New Roman" w:cs="Times New Roman" w:eastAsia="Times New Roman" w:hAnsi="Times New Roman"/>
          <w:sz w:val="18"/>
          <w:szCs w:val="18"/>
          <w:color w:val="auto"/>
        </w:rPr>
        <w:t>: Scaling up our content refinery by providing the most comprehensive and connected inventory of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and third-party data for the financial community, including granular data for key industry verticals, private companies, wealth, and environmental social and governance ("ESG"). Driving next-generation workflow solutions by creating personalized and integrated solutions to streamline workflows which includes solutions for asset managers, asset owners, sell side, wealth and corporate clients. Our goal is to deliver tangible efficiencies to our clients by connecting data and analytics with a cloud based eco-system, enabling them to manage work more effectively through an integrated investment lifecycle.</w:t>
      </w:r>
    </w:p>
    <w:p>
      <w:pPr>
        <w:spacing w:after="0" w:line="155"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Delivering execution excellence</w:t>
      </w:r>
      <w:r>
        <w:rPr>
          <w:rFonts w:ascii="Times New Roman" w:cs="Times New Roman" w:eastAsia="Times New Roman" w:hAnsi="Times New Roman"/>
          <w:sz w:val="18"/>
          <w:szCs w:val="18"/>
          <w:color w:val="auto"/>
        </w:rPr>
        <w:t>: Building a more agile and digital first-minded organization that increases the speed of our product creation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go-to-market strategy. To capitalize on market trends and give our clients innovative tools, we plan to release new products built on a cloud-based digital foundation as well as migrating our existing data and applications to the cloud. Additionally, we expect to rationalize our existing product portfolio to reinvest in higher return products.</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Driving a growth mindset</w:t>
      </w:r>
      <w:r>
        <w:rPr>
          <w:rFonts w:ascii="Times New Roman" w:cs="Times New Roman" w:eastAsia="Times New Roman" w:hAnsi="Times New Roman"/>
          <w:sz w:val="18"/>
          <w:szCs w:val="18"/>
          <w:color w:val="auto"/>
        </w:rPr>
        <w:t>: Recruiting, training and empowering a diverse and operationally efficient workforce to drive sustainable growth.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 a more performance-based culture, we are investing in talent who can create leading technological solutions, efficiently execute our go-to-market strategy and achieve our growth targets.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center of our strategy is the relentless focus on our clients and their FactSet experience. We want to be a trusted partner and service provider, offering hyper-personalized digital products for clients to research ideas, uncover relevant insights, and leverage cognitive computing to help get the most out of their data and analytics. Additionally, we continually evaluate business opportunities such as acquisitions and partnerships to help us expand our capabilities and competitive differentiators across the investment portfolio lifecycle.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focused on growing our global business in three segments: the Americas, EMEA and Asia Pacific. We believe this geographical strategic alignment helps us better manage our resources, target our solutions and interact with our clients. We further execute on our growth strategy by offering data, products, and analytical applications within our three workflow solutions: Research &amp; Advisory; Analytics &amp; Trading; and 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2022 Second Quarter in Review</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Revenues in the second quarter of fiscal 2022 were $431.1 million, an increase of 10.0% from the prior year period. Revenues increased across each of our geographic segments, primarily in the Americas, followed by EMEA and Asia Pacific, supported by increased revenues in all our workflow solutions, mainly in Research &amp; Advisory, followed by Analytics &amp; Trading and CTS. Organic revenues contributed to 9.9% of the growth during the second quarter of fiscal 2022, compared with the prior year period. Organic revenues exclude the effects of acquisitions and dispositions completed in the last 12 months, the impacts of foreign currency movements on the current year period and the amortization of deferred revenues' fair value adjustments from purchase accounting. Refer to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xml:space="preserve"> in Part I, Item 2 of this Quarterly Report on Form 10-Q for a reconciliation between revenues and organic revenues.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28, 2022, organic annual subscription value ("Organic ASV") plus Professional Services totaled $1.74 billion, an increase of 9.4% over February 28, 2021. Organic ASV increased across all our segments with the majority of the increase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related to the Americas, followed by EMEA and Asia Pacific. Refer to </w:t>
      </w:r>
      <w:r>
        <w:rPr>
          <w:rFonts w:ascii="Times New Roman" w:cs="Times New Roman" w:eastAsia="Times New Roman" w:hAnsi="Times New Roman"/>
          <w:sz w:val="18"/>
          <w:szCs w:val="18"/>
          <w:i w:val="1"/>
          <w:iCs w:val="1"/>
          <w:color w:val="auto"/>
        </w:rPr>
        <w:t>Annual Subscription Value</w:t>
      </w:r>
      <w:r>
        <w:rPr>
          <w:rFonts w:ascii="Times New Roman" w:cs="Times New Roman" w:eastAsia="Times New Roman" w:hAnsi="Times New Roman"/>
          <w:sz w:val="18"/>
          <w:szCs w:val="18"/>
          <w:color w:val="auto"/>
        </w:rPr>
        <w:t xml:space="preserve"> in Part I, Item 2 of this Quarterly Report on Form 10-Q for the definitions of Organic ASV and Organic ASV plus Professional Services.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grew 6.2% and diluted earnings per share ("EPS") increased 13.6% for the three months ended February 28, 2022 compared with the prior year period. Operating margin decreased to 28.6% during the three months ended February 28, 2022 compared with 29.6% in the prior year period. This decrease in operating margin on a year-over-year basis was primarily due to impairment charges related to vacating certain leased office space and higher professional fees driven by costs incurred in preparation for the acquisition of CUSIP Global Services (“CGS"), partially offset by growth in revenues and lower costs related to employee compensation and computer depreciation, when expressed as a percentage of revenue.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Global Services Acquisition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27, 2021, we entered into a definitive agreement to acquire CGS, previously operated by S&amp;P Global Inc. on behalf of the American Bankers Association, for $1.925 billion in cash, subject to a working capital adjustment. The acquisition was completed on March 1, 2022. CGS manages a database of 60 different data elements uniquely identifying more than 50 million global financial instruments. It is the foundation for security master files relied on by critical front, middle and back-office functions. CGS is the exclusive provider of Committee on Uniform Security Identification Procedures ("CUSIP") and CUSIP International Number System ("CINS") identifiers globally and also acts as the official numbering agency for International Securities Identification Number ("ISIN") identifiers in the United States. We anticipate that the CGS acquisition will significantly expand our critical role in the global capital markets. Revenue from CGS will be recognized based on geographic business activities in accordance with how our operating segments are currently aligned. CGS will function as part of CTS.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price for the CGS acquisition was financed from the net proceeds of the issuance of the Notes and borrowings under the 2022 Credit Agreement. In connection with the entry into the 2022 Credit Agreement, on March 1, 2022, we entered into the 2022 Swap Agreement and repaid in full and terminated the 2019 Credit Agreement and the 2020 Swap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Refer to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in the Notes to the Consolidated Financial Statements included in Part I, Item 1 of this Quarterly Report on Form 10-Q for more information on these defined terms, our acquisition of CGS, the issuance of the Notes, the 2022 Credit Agreement and the 2022 Swap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novel strain of coronavirus, now known as COVID-19 ("COVID-19"), was first reported in December 2019, and it has since extensively impacted the global health and economic environment, with the World Health Organization characterizing COVID-19 as a pandemic on March 11, 2020. In response to the COVID-19 pandemic, we implemented a business continuity plan with a dedicated incident management team to respond quickly and provide ongoing guidance so that we could continue offering our clients uninterrupted products, services and support while also protecting our employees. We believe these actions have been successful and that the pandemic, and our responses, have not significantly affected our financial results for the three months ended February 28, 2022.</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outset of the pandemic, we required the vast majority of our employees at our offices across the globe (including our corporate headquarters) to work remotely and implemented global travel restrictions for our employees. Since that time, we have begun to re-open many of our offices globally with a focus on safety, while acting consistently with applicable local regulations. We anticipate that the ability to open offices will vary significantly from region to region based on a number of factors, including the availability of COVID-19 vaccines and the spread of COVID-19 variants. Our offices will not re-open fully until local authorities permit us to do so and our own criteria and conditions to ensure employee health and safety are satisfied.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2022, there have been minimal interruptions in our ability to provide our products, services and support to our clients. Working remotely has had relatively little impact on the productivity of our employees, including our ability to gather content. We continue to work closely with our clients to provide consistent access to our products and services and have remained flexible to achieve client priorities.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success working in a remote environment during the COVID-19 pandemic, we have implemented a new work standard under which employees in many of our locations, where permitted by local laws and regulations, and where the role permits, will have the opportunity to choose between different work arrangements. These include working in a hybrid arrangement, where an employee can split time between working from the office and working from a pre-approved remote location, or a fully remote arrangement, where an employee can work entirely from a pre-approved remote location.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earnings, and ASV are relatively stable and predictable as a result of our subscription-based business model. To date, the COVID-19 pandemic has not had a material negative impact on our revenues, earnings or ASV. As we continue to work in remote and hybrid environments, reductions in discretionary spending, particularly travel and entertainment, have more than offset any related increased expenses. Given our transition to our new work standard, we anticipate that many of these expense reductions will continue going forward, including incurring less travel and entertainment spending than we did pre-pandemic. We also are reassessing our real estate footprint to better reflect these new work arrangements and seeking to reduce our spending on office space that will no longer be necessary.</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Annual Report on Form 10-K for the fiscal year ended August 31, 2021 for further discussion of the potential impact of the COVID-19 pandemic on our business.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Ukraine/Russia Conflict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Russian invasion of Ukraine continues to evolve, we are closely monitoring the current and potential impact on our business, our people, and our clients. We have taken all necessary steps to ensure compliance with all applicable regulatory restrictions on international trade and financial transactions. On March 18, 2022, we announced that we are discontinuing all commercial operations and delivery of products and services to clients inside Russia. In addition, we have identified all active vendors in Russia and are terminating our contracts with them. We have suspended all new business, trials, and prospecting activities in Russia. Total revenues associated with clients in Russia are not material to our consolidated financial results, and we anticipate termination of Russian vendors will not have a material impact on our business or client relationships. We have no offices in Russia or Ukraine, and none of our employees or contractors has been directly impacted by the crisis. We are monitoring the regional and global ramifications of the unfolding events in the area, are in close contact with our office in Latvia, and are reviewing our business continuity plans to ensure that we are prepared in the event this office is impacted. Our cybersecurity teams are on high alert and ready to respond in the event of an attempted systems compromise.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Subscription Value ("ASV")</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ASV reflects our ability to grow recurring revenues and generate positive cash flow and is the key indicator of the successful execution of our business strategy.</w:t>
      </w:r>
    </w:p>
    <w:p>
      <w:pPr>
        <w:spacing w:after="0" w:line="189"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"ASV" at any point in time represents our forward-looking revenues for the next 12 months from all subscription services currently being supplied to clients, excluding revenues from Professional Services.</w:t>
      </w:r>
    </w:p>
    <w:p>
      <w:pPr>
        <w:ind w:left="660" w:hanging="324"/>
        <w:spacing w:after="0" w:line="250" w:lineRule="auto"/>
        <w:rPr>
          <w:sz w:val="20"/>
          <w:szCs w:val="20"/>
          <w:color w:val="auto"/>
        </w:rPr>
      </w:pPr>
      <w:r>
        <w:rPr>
          <w:rFonts w:ascii="Times New Roman" w:cs="Times New Roman" w:eastAsia="Times New Roman" w:hAnsi="Times New Roman"/>
          <w:sz w:val="18"/>
          <w:szCs w:val="18"/>
          <w:color w:val="auto"/>
        </w:rPr>
        <w:t>– "Organic ASV" at any point in time equals our ASV excluding ASV from acquisitions and dispositions completed within the last 12 months and the effects of foreign currency movements on the current year period.</w:t>
      </w:r>
    </w:p>
    <w:p>
      <w:pPr>
        <w:ind w:left="340"/>
        <w:spacing w:after="0"/>
        <w:rPr>
          <w:sz w:val="20"/>
          <w:szCs w:val="20"/>
          <w:color w:val="auto"/>
        </w:rPr>
      </w:pPr>
      <w:r>
        <w:rPr>
          <w:rFonts w:ascii="Times New Roman" w:cs="Times New Roman" w:eastAsia="Times New Roman" w:hAnsi="Times New Roman"/>
          <w:sz w:val="18"/>
          <w:szCs w:val="18"/>
          <w:color w:val="auto"/>
        </w:rPr>
        <w:t>–   "Professional Services" are revenues derived from project-based consulting and implementation.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"Organic ASV plus Professional Services" at any point in time equals the sum of Organic ASV and Professional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 ASV plus Professional Services</w:t>
      </w:r>
    </w:p>
    <w:p>
      <w:pPr>
        <w:spacing w:after="0" w:line="27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following table presents the calculation of Organic ASV plus Professional Services as of February 28, 2022. With proper notice provided as contractually required, our clients can add to, delete portions of, or terminate service, subject to certain limitations.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As of February 28, 2022</w:t>
            </w:r>
          </w:p>
        </w:tc>
      </w:tr>
      <w:tr>
        <w:trPr>
          <w:trHeight w:val="223"/>
        </w:trPr>
        <w:tc>
          <w:tcPr>
            <w:tcW w:w="88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As reported ASV plus Professional Services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1,750.2</w:t>
            </w:r>
          </w:p>
        </w:tc>
      </w:tr>
      <w:tr>
        <w:trPr>
          <w:trHeight w:val="230"/>
        </w:trPr>
        <w:tc>
          <w:tcPr>
            <w:tcW w:w="88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Currency impact</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2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8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Acquisition ASV</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ASV plus Professional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1,743.9</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Organic ASV plus Professional Services growth rate</w:t>
            </w:r>
          </w:p>
        </w:tc>
        <w:tc>
          <w:tcPr>
            <w:tcW w:w="2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9.4 %</w:t>
            </w:r>
          </w:p>
        </w:tc>
      </w:tr>
    </w:tbl>
    <w:p>
      <w:pPr>
        <w:spacing w:after="0" w:line="196"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$24.2 million in Professional Services as of February 28, 2022.</w:t>
      </w:r>
    </w:p>
    <w:p>
      <w:pPr>
        <w:spacing w:after="0" w:line="10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from foreign currency movements.</w:t>
      </w:r>
    </w:p>
    <w:p>
      <w:pPr>
        <w:spacing w:after="0" w:line="90"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Acquired ASV from acquisitions completed within the last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2022, Organic ASV plus Professional Services was $1.74 billion, an increase of 9.4% compared with February 28, 2021. The increase in year-over-year Organic ASV was largely attributed to existing clients, followed by new client sales, and price increases, partially offset by existing client cancellations.</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Organic ASV increased across all our geographic segments with the majority of the increase related to the Americas, followed by EMEA and Asia Pacific. This increase was driven by additional sales in our workflow solutions, primarily in Research &amp; Advisory, followed by Analytics &amp; Trading and CTS. Sales increased in Research &amp; Advisory mainly due to higher demand for our workstations. Sales increased in Analytics &amp; Trading mainly from our portfolio analytics solutions and performance and reporting products. CTS sales increased primarily due to company financial data, such as fundamentals and estimates, along with data management solutions to empower data connectivity.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ASV</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28, 2022, ASV from the Americas represented 62.9% of total ASV and was $1,085.6 million, an increase from $985.2 million as of February 28, 2021. Americas Organic ASV increased to $1,079.3 million as of February 28, 2022, a 9.6% increase compared with February 28,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February 28, 2022, ASV from EMEA was $459.9 million, representing 26.6% of total ASV, an increase from $427.6 million as of February 28, 2021.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EMEA Organic ASV increased to $459.6 million as of February 28, 2022, a 7.8% increase compared with February 28, 2021.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2022, Asia Pacific ASV was $180.5 million, representing 10.5% of total ASV, an increase from $159.8 million as of February 28,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Asia Pacific Organic ASV increased to $180.9 million as of February 28, 2022, a 14.3% increase compared with February 28,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Organic ASV across all our segments was largely attributed to increased sales to existing clients, followed by new client sales and price increases, partially offset by existing client cancellations. Organic ASV increased in the Americas primarily due to higher sales in Research &amp; Advisory, followed by Analytics &amp; Trading. EMEA Organic ASV increased due to higher sales in Research &amp; Advisory, followed by CTS and Analytics &amp; Trading. The increase in Asia Pacific Organic ASV was mainly driven by higher sales in Research &amp; Advisory, followed by Analytics &amp; Trading and 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Buy-side and Sell-side Organic ASV Growth</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Buy-side and sell-side Organic ASV growth rates at February 28, 2022, compared with February 28, 2021, were 8.8% and 12.9%, respectively. Buy-side clients account for approximately 84% of our Organic ASV, consistent with the prior year period, and primarily include asset managers, wealth managers, asset owners, channel partners, hedge funds, and corporate firms. The remainder of our Organic ASV is derived from sell-side firms, and primarily include broker-dealers, banking and advisory, private equity and venture capital firms.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Client and User Additions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our total clients and users:</w:t>
            </w:r>
          </w:p>
        </w:tc>
        <w:tc>
          <w:tcPr>
            <w:tcW w:w="30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454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As of February 28, 2022</w:t>
            </w:r>
          </w:p>
        </w:tc>
        <w:tc>
          <w:tcPr>
            <w:tcW w:w="24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As of February 28, 2021</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45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Clients</w:t>
            </w:r>
            <w:r>
              <w:rPr>
                <w:rFonts w:ascii="Times New Roman" w:cs="Times New Roman" w:eastAsia="Times New Roman" w:hAnsi="Times New Roman"/>
                <w:sz w:val="23"/>
                <w:szCs w:val="23"/>
                <w:color w:val="auto"/>
                <w:vertAlign w:val="superscript"/>
              </w:rPr>
              <w:t>(1)</w:t>
            </w:r>
          </w:p>
        </w:tc>
        <w:tc>
          <w:tcPr>
            <w:tcW w:w="3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7,172</w:t>
            </w:r>
          </w:p>
        </w:tc>
        <w:tc>
          <w:tcPr>
            <w:tcW w:w="2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6,103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Users</w:t>
            </w:r>
          </w:p>
        </w:tc>
        <w:tc>
          <w:tcPr>
            <w:tcW w:w="3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171,341</w:t>
            </w:r>
          </w:p>
        </w:tc>
        <w:tc>
          <w:tcPr>
            <w:tcW w:w="2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153,355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r>
    </w:tbl>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(1) The client count includes clients with ASV of $10,000 and above.</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total client count was 7,172 as of February 28, 2022, a net increase of 17.5%, or 1,069 clients, in the last 12 months, mainly due to an increase in corporate and wealth management clients. As part of our long-term growth strategy, we continue to focus on expanding and cultivating relationships with our existing client base through our on- and off-platform workflow-focused solutions, connected content and client-focused services.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2022, there were 171,341 professionals using FactSet, representing a net increase of 11.7%, or 17,986 users, in the last 12 months, driven primarily by an increase of banking and private equity and venture capital clients from the sell-side and asset managers, corporate and wealth management clients from the buy-side. The increase in users was mainly due to the addition of new clients and increased new hiring at our banking clients.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Annual client retention was greater than 95% of ASV for the period ended February 28, 2022, consistent with the prior year period. When expressed as a percentage of clients, annual retention was approximately 92% for the period ended February 28, 2022, an improvement from approximately 90% for the period ended February 28,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 Headcount</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2022, our employee headcount was 10,784, up 1.2% in the past 12 months from 10,660, due primarily to an increase in net new employees of 5.2% in Asia Pacific, partially offset by a decrease of 9.0% in the Americas and 0.1% in EMEA. Of our total employee headcount at February 28, 2022, 7,147 were located in Asia Pacific, 2,265 were located in the Americas, and 1,372 were located in EMEA.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 understanding of the significant factors that influenced our performance for the three and six months ended February 28, 2022 and February 28, 2021, the following discussion should be read in conjunction with the Consolidated Financial Statements and related notes presented in this Quarterly Report on Form 10-Q.</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periods described: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Six Months Ended</w:t>
            </w:r>
          </w:p>
        </w:tc>
        <w:tc>
          <w:tcPr>
            <w:tcW w:w="1140" w:type="dxa"/>
            <w:vAlign w:val="bottom"/>
          </w:tcPr>
          <w:p>
            <w:pPr>
              <w:spacing w:after="0"/>
              <w:rPr>
                <w:sz w:val="20"/>
                <w:szCs w:val="20"/>
                <w:color w:val="auto"/>
              </w:rPr>
            </w:pPr>
          </w:p>
        </w:tc>
      </w:tr>
      <w:tr>
        <w:trPr>
          <w:trHeight w:val="270"/>
        </w:trPr>
        <w:tc>
          <w:tcPr>
            <w:tcW w:w="3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8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February 28,</w:t>
            </w: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8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February 28,</w:t>
            </w:r>
          </w:p>
        </w:tc>
        <w:tc>
          <w:tcPr>
            <w:tcW w:w="1140" w:type="dxa"/>
            <w:vAlign w:val="bottom"/>
          </w:tcPr>
          <w:p>
            <w:pPr>
              <w:spacing w:after="0"/>
              <w:rPr>
                <w:sz w:val="23"/>
                <w:szCs w:val="23"/>
                <w:color w:val="auto"/>
              </w:rPr>
            </w:pPr>
          </w:p>
        </w:tc>
      </w:tr>
      <w:tr>
        <w:trPr>
          <w:trHeight w:val="270"/>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6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431,119</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391,788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855,844</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779,993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199,395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195,523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406,544</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383,611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108,376</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80,132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203,291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159,219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123,348</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116,133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246,009</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237,163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109,938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96,643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217,585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197,849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38,761</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38,620</w:t>
            </w: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38,628</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38,658</w:t>
            </w:r>
          </w:p>
        </w:tc>
        <w:tc>
          <w:tcPr>
            <w:tcW w:w="1140" w:type="dxa"/>
            <w:vAlign w:val="bottom"/>
            <w:shd w:val="clear" w:color="auto" w:fill="CCEEFF"/>
          </w:tcPr>
          <w:p>
            <w:pPr>
              <w:spacing w:after="0"/>
              <w:rPr>
                <w:sz w:val="19"/>
                <w:szCs w:val="19"/>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2022 compared with three months ended February 28, 2021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for the three months ended February 28, 2022 were $431.1 million, an increase of 10.0%. The increase in revenues were largely attributed to increased sales to existing clients, inclusive of price increases, followed by new client sales, partially offset by existing client cancellations. Revenues increased across all our geographic segments, primarily from the Americas, followed by EMEA and Asia Pacific, driven by increased revenues in all of our workflow solutions, primarily in Research &amp; Advisory, followed by Analytics &amp; Trading and CTS, compared with the prior year. Organic revenues increased to $430.8 million for the three months ended February 28, 2022, a 9.9% increase over the prior year period.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10.0% increase in revenues was composed of growth in organic revenues of 9.9% and a 50 basis point increase from deferred revenues fair value adjustments from purchase accounting and acquisition-related revenues, partially offset by a 40 basis point decrease from foreign currency exchange rate fluctuations.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2022 compared with six months ended February 28, 2021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for the six months ended February 28, 2022 was $855.8 million, an increase of 9.7%. The increase in revenues were largely attributed to increased sales to existing clients, inclusive of price increases, followed by new client sales, partially offset by existing client cancellations. Revenues increased across all our geographic segments, primarily from the Americas, followed by EMEA and Asia Pacific driven by increased revenues in all of our workflow solutions, primarily in Research &amp; Advisory, followed by Analytics &amp; Trading and CTS, compared with the prior year. Organic revenues increased to $853.9 million for the six months ended February 28, 2022, a 9.4% increase over the prior year period.</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revenue growth of 9.7% was reflective of organic revenue growth of 9.4%, a 60 basis point increase from deferred revenue fair value adjustments from purchase accounting and acquisition-related revenue, partially offset by a 30 basis point decrease from foreign currency exchange rate fluctuations.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 xml:space="preserve">Table of </w:t>
              </w:r>
              <w:r>
                <w:rPr>
                  <w:rFonts w:ascii="Times New Roman" w:cs="Times New Roman" w:eastAsia="Times New Roman" w:hAnsi="Times New Roman"/>
                  <w:sz w:val="18"/>
                  <w:szCs w:val="18"/>
                  <w:color w:val="000000"/>
                  <w:highlight w:val="white"/>
                </w:rPr>
                <w:t>Contents</w:t>
              </w:r>
            </w:hyperlink>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90"/>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by Segment</w:t>
            </w: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2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Three Months Ended</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4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Six Months Ended</w:t>
            </w:r>
          </w:p>
        </w:tc>
        <w:tc>
          <w:tcPr>
            <w:tcW w:w="1080" w:type="dxa"/>
            <w:vAlign w:val="bottom"/>
          </w:tcPr>
          <w:p>
            <w:pPr>
              <w:spacing w:after="0"/>
              <w:rPr>
                <w:sz w:val="24"/>
                <w:szCs w:val="24"/>
                <w:color w:val="auto"/>
              </w:rPr>
            </w:pPr>
          </w:p>
        </w:tc>
      </w:tr>
      <w:tr>
        <w:trPr>
          <w:trHeight w:val="270"/>
        </w:trPr>
        <w:tc>
          <w:tcPr>
            <w:tcW w:w="6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1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273,659</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247,991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540,572</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492,327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9"/>
        </w:trPr>
        <w:tc>
          <w:tcPr>
            <w:tcW w:w="640" w:type="dxa"/>
            <w:vAlign w:val="bottom"/>
          </w:tcPr>
          <w:p>
            <w:pPr>
              <w:spacing w:after="0"/>
              <w:rPr>
                <w:sz w:val="19"/>
                <w:szCs w:val="19"/>
                <w:color w:val="auto"/>
              </w:rPr>
            </w:pPr>
          </w:p>
        </w:tc>
        <w:tc>
          <w:tcPr>
            <w:tcW w:w="1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63.5 %</w:t>
            </w:r>
          </w:p>
        </w:tc>
        <w:tc>
          <w:tcPr>
            <w:tcW w:w="52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63.3 %</w:t>
            </w: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63.2 %</w:t>
            </w:r>
          </w:p>
        </w:tc>
        <w:tc>
          <w:tcPr>
            <w:tcW w:w="5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63.1 %</w:t>
            </w:r>
          </w:p>
        </w:tc>
        <w:tc>
          <w:tcPr>
            <w:tcW w:w="1080" w:type="dxa"/>
            <w:vAlign w:val="bottom"/>
          </w:tcPr>
          <w:p>
            <w:pPr>
              <w:spacing w:after="0"/>
              <w:rPr>
                <w:sz w:val="19"/>
                <w:szCs w:val="19"/>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114,591</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105,493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229,594</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211,270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640" w:type="dxa"/>
            <w:vAlign w:val="bottom"/>
          </w:tcPr>
          <w:p>
            <w:pPr>
              <w:spacing w:after="0"/>
              <w:rPr>
                <w:sz w:val="19"/>
                <w:szCs w:val="19"/>
                <w:color w:val="auto"/>
              </w:rPr>
            </w:pPr>
          </w:p>
        </w:tc>
        <w:tc>
          <w:tcPr>
            <w:tcW w:w="1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26.6 %</w:t>
            </w:r>
          </w:p>
        </w:tc>
        <w:tc>
          <w:tcPr>
            <w:tcW w:w="52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26.9 %</w:t>
            </w: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26.8 %</w:t>
            </w:r>
          </w:p>
        </w:tc>
        <w:tc>
          <w:tcPr>
            <w:tcW w:w="5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27.1 %</w:t>
            </w:r>
          </w:p>
        </w:tc>
        <w:tc>
          <w:tcPr>
            <w:tcW w:w="1080" w:type="dxa"/>
            <w:vAlign w:val="bottom"/>
          </w:tcPr>
          <w:p>
            <w:pPr>
              <w:spacing w:after="0"/>
              <w:rPr>
                <w:sz w:val="19"/>
                <w:szCs w:val="19"/>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42,869</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38,304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85,678</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76,396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30"/>
        </w:trPr>
        <w:tc>
          <w:tcPr>
            <w:tcW w:w="640" w:type="dxa"/>
            <w:vAlign w:val="bottom"/>
          </w:tcPr>
          <w:p>
            <w:pPr>
              <w:spacing w:after="0"/>
              <w:rPr>
                <w:sz w:val="19"/>
                <w:szCs w:val="19"/>
                <w:color w:val="auto"/>
              </w:rPr>
            </w:pPr>
          </w:p>
        </w:tc>
        <w:tc>
          <w:tcPr>
            <w:tcW w:w="1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9.9 %</w:t>
            </w:r>
          </w:p>
        </w:tc>
        <w:tc>
          <w:tcPr>
            <w:tcW w:w="52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9.8 %</w:t>
            </w: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5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9.8 %</w:t>
            </w:r>
          </w:p>
        </w:tc>
        <w:tc>
          <w:tcPr>
            <w:tcW w:w="1080" w:type="dxa"/>
            <w:vAlign w:val="bottom"/>
          </w:tcPr>
          <w:p>
            <w:pPr>
              <w:spacing w:after="0"/>
              <w:rPr>
                <w:sz w:val="19"/>
                <w:szCs w:val="19"/>
                <w:color w:val="auto"/>
              </w:rPr>
            </w:pPr>
          </w:p>
        </w:tc>
      </w:tr>
      <w:tr>
        <w:trPr>
          <w:trHeight w:val="270"/>
        </w:trPr>
        <w:tc>
          <w:tcPr>
            <w:tcW w:w="2180" w:type="dxa"/>
            <w:vAlign w:val="bottom"/>
            <w:gridSpan w:val="2"/>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4"/>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431,119</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391,788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855,844</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779,993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2022 compared with three months ended February 28,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our Americas segment increased 10.4% to $273.7 million during the three months ended February 28, 2022, compared with $248.0 million from the same period a year ago. The increased revenues were driven by higher sales in all of our workflow solutions, primarily in Research &amp; Advisory, followed by Analytics &amp; Trading and CTS. The growth in revenues of 10.4% was reflective of increased organic revenues of 10.3% and a 10 basis point increase related to deferred revenues fair value adjustments from purchase accounting and acquisition-related revenues.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our EMEA segment increased 8.6% to $114.6 million during the three months ended February 28, 2022, compared with $105.5 million from the same period a year ago. The increased revenues were driven by higher sales in all of our workflow solutions, primarily in Research &amp; Advisory, followed by Analytics &amp; Trading and CTS. The growth in revenues of 8.6% was reflective of increased organic revenues of 9.5%, partially offset by a 90 basis point decrease related to foreign currency exchange rate fluctuations.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our Asia Pacific segment increased 11.9% to $42.9 million during the three months ended February 28, 2022, compared with $38.3 million from the same period a year ago. The increased revenues were driven by increased sales across all of our workflow solutions of Analytics &amp; Trading, Research &amp; Advisory and CTS. The growth in revenues of 11.9% was reflective of increased organic revenues of 13.7%, partially offset by a 180 basis point decrease related to foreign currency exchange rate fluctuations.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2022 compared with six months ended February 28,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our Americas segment increased 9.8% to $540.6 million during the six months ended February 28, 2022, compared with $492.3 million from the same period a year ago. The increased revenues were driven by higher sales in all of our workflow solutions, primarily in Research &amp; Advisory, followed by Analytics &amp; Trading and CTS. The revenues growth of 9.8% was due to organic revenue growth of 9.6% and a 20 basis point increase from deferred revenue fair value adjustments from purchase accounting and acquisition-related revenue.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from our EMEA segment increased 8.7% to $229.6 million during the six months ended February 28, 2022, compared with $211.3 million from the same period a year ago. The increased revenues were driven by higher sales in all of our workflow solutions, primarily in Research &amp; Advisory, followed by Analytics &amp; Trading and CTS. The revenues growth of 8.7% was driven by organic revenue growth of 9.1% and a 10 basis point increase from deferred revenue fair value adjustments from purchase accounting, partially offset by a 50 basis point decrease from foreign currency exchange rate fluctuations.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Revenues from our Asia Pacific segment increased 12.1% to $85.7 million during the six months ended February 28, 2022, compared with $76.4 million from the same period a year ago. The increased revenues were driven by higher sales across all of our workflow solutions of Analytics &amp; Trading, Research</w:t>
      </w:r>
    </w:p>
    <w:p>
      <w:pPr>
        <w:spacing w:after="0" w:line="1" w:lineRule="exact"/>
        <w:rPr>
          <w:sz w:val="20"/>
          <w:szCs w:val="20"/>
          <w:color w:val="auto"/>
        </w:rPr>
      </w:pPr>
    </w:p>
    <w:p>
      <w:pPr>
        <w:ind w:firstLine="8"/>
        <w:spacing w:after="0" w:line="260" w:lineRule="auto"/>
        <w:tabs>
          <w:tab w:leader="none" w:pos="1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and CTS. The revenues growth of 12.1% was due mainly to organic revenues growth of 13.7%, partially offset by a 160 basis point decrease from foreign currency exchange rate fluctuations.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by Workflow Solution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2022 compared with three months ended February 28, 2021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growth in revenues of 10.0% across our segments was driven by increased revenues from all of our workflow solutions, primarily from sales of Research &amp; Advisory, followed by Analytics &amp; Trading and CTS, for the three months ended February 28, 2022, compared with the same period a year ago. The increase in Research &amp; Advisory was driven mainly by higher demand for our workstations. The increase in revenues from Analytics &amp; Trading was primarily due to increased demand for our performance and reporting products and portfolio analytics solutions. The increase in CTS revenues was driven mainly by increased sales of company financial data, such as fundamentals and estimates, along with data management solutions.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2022 compared with six months ended February 28, 2021</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revenues growth of 9.7% across our segments for the six months ended February 28, 2022 compared with the same period a year ago was primarily driven by increased sales of Research &amp; Advisory, followed by Analytics &amp; Trading and CTS. The increase in Research &amp; Advisory was driven mainly by higher demand for our workstations. The increase in Analytics &amp; Trading revenues was mainly due to increased sales of our performance and reporting products and portfolio analytics solutions. The increase in CTS revenues was driven mainly by increased sales of core and premium content sets, specifically related to company financial data and data management solutions.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Six Months Ended</w:t>
            </w:r>
          </w:p>
        </w:tc>
        <w:tc>
          <w:tcPr>
            <w:tcW w:w="1220" w:type="dxa"/>
            <w:vAlign w:val="bottom"/>
          </w:tcPr>
          <w:p>
            <w:pPr>
              <w:spacing w:after="0"/>
              <w:rPr>
                <w:sz w:val="20"/>
                <w:szCs w:val="20"/>
                <w:color w:val="auto"/>
              </w:rPr>
            </w:pPr>
          </w:p>
        </w:tc>
      </w:tr>
      <w:tr>
        <w:trPr>
          <w:trHeight w:val="270"/>
        </w:trPr>
        <w:tc>
          <w:tcPr>
            <w:tcW w:w="3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8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3"/>
                <w:szCs w:val="23"/>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23"/>
                <w:szCs w:val="23"/>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tcPr>
          <w:p>
            <w:pPr>
              <w:spacing w:after="0"/>
              <w:rPr>
                <w:sz w:val="23"/>
                <w:szCs w:val="23"/>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Pr>
          <w:p>
            <w:pPr>
              <w:spacing w:after="0"/>
              <w:rPr>
                <w:sz w:val="23"/>
                <w:szCs w:val="23"/>
                <w:color w:val="auto"/>
              </w:rPr>
            </w:pP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9"/>
              </w:rPr>
              <w:t>2021</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199,395</w:t>
            </w:r>
          </w:p>
        </w:tc>
        <w:tc>
          <w:tcPr>
            <w:tcW w:w="40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195,523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406,544</w:t>
            </w:r>
          </w:p>
        </w:tc>
        <w:tc>
          <w:tcPr>
            <w:tcW w:w="48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383,611</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108,376</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80,132</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203,291</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159,219</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27.7 %</w:t>
            </w: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307,771</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275,655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609,835</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542,830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70"/>
        </w:trPr>
        <w:tc>
          <w:tcPr>
            <w:tcW w:w="3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123,348</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116,133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246,009</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237,163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6"/>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28.6 %</w:t>
            </w:r>
          </w:p>
        </w:tc>
        <w:tc>
          <w:tcPr>
            <w:tcW w:w="4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29.6 %</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28.7 %</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30.4 %</w:t>
            </w:r>
          </w:p>
        </w:tc>
        <w:tc>
          <w:tcPr>
            <w:tcW w:w="1220" w:type="dxa"/>
            <w:vAlign w:val="bottom"/>
          </w:tcPr>
          <w:p>
            <w:pPr>
              <w:spacing w:after="0"/>
              <w:rPr>
                <w:sz w:val="20"/>
                <w:szCs w:val="20"/>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2022 compared with three months ended February 28, 2021</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increased 2.0% to $199.4 million for the three months ended February 28, 2022, compared with $195.5 million in the same period a year ago, primarily due to an increase in employee compensation expense, computer-related expenses and amortization of intangible assets, partially offset by computer depreciation.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46.3% for the three months ended February 28, 2022, a decrease of 370 basis points compared with the same period a year ago. This decrease was primarily due to lower employee compensation expense and lower computer depreciation expenses as a percentage of revenue. Employee compensation expense decreased 260 basis points due primarily to growth in revenues outpacing the growth of employee compensation expense and a shift in headcount distribution from higher to lower cost locations, partially offset by higher base salaries, a net increase in employee headcount of 51 and higher stock-based compensation expense. Computer depreciation expenses decreased 30 basis points, primarily driven by fully depreciated network-related equipment that is not being replaced due to our migration to cloud-based hosting services.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2022 compared with six months ended February 28, 2021</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February 28, 2022, cost of services increased 6.0% to $406.5 million compared with $383.6 million in the same period a year ago, primarily due to an increase in computer-related expenses, employee compensation expense, including stock-based compensation, amortization of intangible assets and data costs.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47.5% for the six months ended February 28, 2022, a decrease of 170 basis points compared with the same period a year ago. This decrease was primarily driven by lower employee compensation expense, partially offset by higher computer-related expenses and amortization of intangible assets as a percentage of revenue. Employee compensation expense decreased 200 basis points, primarily due to growth in revenues outpacing the growth of employee compensation expense and a shift in headcount distribution from higher to lower cost locations. This decrease in employee compensation was partially offset by a one-time restructuring charge to drive organizational realignment, higher stock-based compensation expense and annual base salaries, and a net increase in employee headcount of 51. Computer-related expenses increased 70 basis points primarily due to increased spend from our migration to cloud-based hosting services and licensed software arrangements. Amortization of intangible assets increased 30 basis points mainly due to continued investment in capitalized internal-use software, with more assets placed in service.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2022 compared with three months ended February 28, 2021</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35.2% to $108.4 million for the three months ended February 28, 2022, compared with $80.1 million for the same period a year ago, primarily due to impairment charges related to vacating certain leased office space and higher employee compensation expense and professional fees.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SG&amp;A expenses, when expressed as a percentage of revenues, were 25.1% for the three months ended February 28, 2022, an increase of 470 basis points over the prior year period. This increase was primarily due to impairment charges related to vacating certain leased office space, higher professional fees and higher employee compensation expense as a percentage of revenue. The impairment charges resulted in a 240 basis point increase to SG&amp;A expenses driven mainly by impairments to our lease right-of-use ("ROU") assets and Property, equipment and leasehold improvements associated with vacating certain leased office space. Professional fees increased 90 basis points, primarily driven by costs incurred in preparation for the acquisition of CGS. Employee compensation expense increased 70 basis points primarily due to a net increase in employee headcount of 73, higher annual base salaries and increased variable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2022 compared with six months ended February 28, 2021</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February 28, 2022, SG&amp;A expenses increased 27.7% to $203.3 million, compared with $159.2 million for the same period a year ago, primarily due to an increase in employee compensation expense, impairment charges related to vacating certain leased office space and higher professional fees.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SG&amp;A expenses, expressed as a percentage of revenues, was 23.8% for the six months ended February 28, 2022, an increase of 330 basis points over the prior year period. This increase was primarily driven by impairment charges related to vacating certain leased property, higher employee compensation expense and increased professional fees as a percentage of revenue. The impairment charges resulted in a 90 basis point increase to SG&amp;A expenses driven mainly by impairments to our lease ROU assets and Property, equipment and leasehold improvements associated with vacating certain leased office space. Employee compensation expense increased 70 basis points, primarily due to higher annual base salaries, a net increase in employee headcount of 73, and increased year-over-year variable compensation. Professional fees increased 50 basis points, primarily driven by costs incurred in preparation for the acquisition of CGS.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Income and Operating Margin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2022 compared with three months ended February 28, 2021</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increased 6.2% to $123.3 million for the three months ended February 28, 2022, compared with $116.1 million in the prior year. Operating income increased primarily due to growth in revenues of 10.0%, partially offset by impairment charges related to vacating certain leased office space, an increase in employee compensation expense and higher professional fees driven by costs incurred in preparation for the acquisition of CGS. Foreign currency exchange rate fluctuations, net of hedge activity decreased operating income by $1.2 million.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decreased to 28.6% during the three months ended February 28, 2022, compared with 29.6% in the prior year period. Operating margin decreased mainly due to impairment charges related to vacating certain leased office space, professional fees driven by costs incurred in preparation for the acquisition of CGS, partially offset by growth in revenues and lower costs related to employee compensation and computer depreciation.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2022 compared with six months ended February 28, 2021</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increased 3.7% to $246.0 million for the six months ended February 28, 2022 compared with $237.2 million in the prior year period. Operating income increased primarily due to growth in revenues of 9.7%, partially offset by increases in employee compensation expense, impairment charges related to vacating certain leased office space and increases in computer-related expenses, professional fees, amortization of intangible assets and data costs. Foreign currency exchange rate fluctuations, net of hedge activity decreased operating income by $5.4 million.</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decreased to 28.7% for the six months ended February 28, 2022, compared with 30.4% in the prior year period. Operating margin decreased primarily due to impairment charges related to vacating certain leased property, computer-related expenses, professional fees and amortization of intangibles, partially offset by lower employee compensation expense.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Income by Segment</w:t>
      </w:r>
    </w:p>
    <w:p>
      <w:pPr>
        <w:spacing w:after="0" w:line="15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Our internal financial reporting structure is based on three reportable segments: the Americas; EMEA; and Asia Pacific. Refer to Note 16,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in the Notes to the Consolidated Financial Statements included in Part I, Item 1 of this Quarterly Report on Form 10-Q for further discussion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our segments.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Six Months Ended</w:t>
            </w:r>
          </w:p>
        </w:tc>
        <w:tc>
          <w:tcPr>
            <w:tcW w:w="1260" w:type="dxa"/>
            <w:vAlign w:val="bottom"/>
          </w:tcPr>
          <w:p>
            <w:pPr>
              <w:spacing w:after="0"/>
              <w:rPr>
                <w:sz w:val="20"/>
                <w:szCs w:val="20"/>
                <w:color w:val="auto"/>
              </w:rPr>
            </w:pPr>
          </w:p>
        </w:tc>
      </w:tr>
      <w:tr>
        <w:trPr>
          <w:trHeight w:val="324"/>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2021</w:t>
            </w: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2021</w:t>
            </w: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48,903</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53,614</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104,401</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45,944</w:t>
            </w:r>
          </w:p>
        </w:tc>
        <w:tc>
          <w:tcPr>
            <w:tcW w:w="5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40,290</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14.0 %</w:t>
            </w:r>
          </w:p>
        </w:tc>
        <w:tc>
          <w:tcPr>
            <w:tcW w:w="2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86,598</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28,501</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22,229</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28.2 %</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55,010</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2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123,348</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116,133</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246,009</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237,163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bl>
    <w:p>
      <w:pPr>
        <w:spacing w:after="0" w:line="245" w:lineRule="exact"/>
        <w:rPr>
          <w:sz w:val="20"/>
          <w:szCs w:val="20"/>
          <w:color w:val="auto"/>
        </w:rPr>
      </w:pPr>
    </w:p>
    <w:p>
      <w:pPr>
        <w:ind w:right="4420"/>
        <w:spacing w:after="0" w:line="455" w:lineRule="auto"/>
        <w:rPr>
          <w:sz w:val="20"/>
          <w:szCs w:val="20"/>
          <w:color w:val="auto"/>
        </w:rPr>
      </w:pPr>
      <w:r>
        <w:rPr>
          <w:rFonts w:ascii="Times New Roman" w:cs="Times New Roman" w:eastAsia="Times New Roman" w:hAnsi="Times New Roman"/>
          <w:sz w:val="18"/>
          <w:szCs w:val="18"/>
          <w:i w:val="1"/>
          <w:iCs w:val="1"/>
          <w:color w:val="auto"/>
        </w:rPr>
        <w:t>Three months ended February 28, 2022 compared with three months ended February 28, 2021 Americas</w:t>
      </w:r>
    </w:p>
    <w:p>
      <w:pPr>
        <w:jc w:val="both"/>
        <w:spacing w:after="0" w:line="256" w:lineRule="auto"/>
        <w:rPr>
          <w:sz w:val="20"/>
          <w:szCs w:val="20"/>
          <w:color w:val="auto"/>
        </w:rPr>
      </w:pPr>
      <w:r>
        <w:rPr>
          <w:rFonts w:ascii="Times New Roman" w:cs="Times New Roman" w:eastAsia="Times New Roman" w:hAnsi="Times New Roman"/>
          <w:sz w:val="18"/>
          <w:szCs w:val="18"/>
          <w:color w:val="auto"/>
        </w:rPr>
        <w:t>Americas operating income decreased 8.8% to $48.9 million during the three months ended February 28, 2022, compared with $53.6 million in the same period a year ago. This decrease in operating income was due to impairment charges related to vacating certain leased office space, higher employee compensation expense and professional fees, partially offset by growth in revenues of 10.4%. The impairment charges related mainly to our lease right-of-use ("ROU") assets and Property, equipment and leasehold improvements associated with vacating certain leased office space. Employee compensation expense increased mainly due to higher stock compensation expense and increased variable compensation, partially offset by a net decrease in employee headcount of 225. Professional fees increased primarily due to costs incurred in preparation for the acquisition of CGS.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EMEA operating income increased 14.0% to $45.9 million during the three months ended February 28, 2022, compared with $40.3 million recognized during the same period a year ago. The increase in EMEA operating income was due to growth in revenues of 8.6%, partially offset by higher employee compensation expense and an increase in our accounts receivable reserves. Employee compensation expense increased mainly due to increased variable compensation.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Asia Pacific operating income increased 28.2% to $28.5 million during the three months ended February 28, 2022, compared with $22.2 million in the same period a year ago. This increase in operating income was mainly due to growth in revenues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11.9%, partially offset by higher employee compensation expense. Employee compensation expense increased mainly due to higher annual base salaries, a net increase in employee headcount of 351 and increased variable compensation.</w:t>
      </w:r>
    </w:p>
    <w:p>
      <w:pPr>
        <w:spacing w:after="0" w:line="133" w:lineRule="exact"/>
        <w:rPr>
          <w:sz w:val="20"/>
          <w:szCs w:val="20"/>
          <w:color w:val="auto"/>
        </w:rPr>
      </w:pPr>
    </w:p>
    <w:p>
      <w:pPr>
        <w:ind w:right="4780"/>
        <w:spacing w:after="0" w:line="455" w:lineRule="auto"/>
        <w:rPr>
          <w:sz w:val="20"/>
          <w:szCs w:val="20"/>
          <w:color w:val="auto"/>
        </w:rPr>
      </w:pPr>
      <w:r>
        <w:rPr>
          <w:rFonts w:ascii="Times New Roman" w:cs="Times New Roman" w:eastAsia="Times New Roman" w:hAnsi="Times New Roman"/>
          <w:sz w:val="18"/>
          <w:szCs w:val="18"/>
          <w:i w:val="1"/>
          <w:iCs w:val="1"/>
          <w:color w:val="auto"/>
        </w:rPr>
        <w:t>Six months ended February 28, 2022 compared with six months ended February 28, 2021 Americas</w:t>
      </w:r>
    </w:p>
    <w:p>
      <w:pPr>
        <w:jc w:val="both"/>
        <w:spacing w:after="0" w:line="254" w:lineRule="auto"/>
        <w:rPr>
          <w:sz w:val="20"/>
          <w:szCs w:val="20"/>
          <w:color w:val="auto"/>
        </w:rPr>
      </w:pPr>
      <w:r>
        <w:rPr>
          <w:rFonts w:ascii="Times New Roman" w:cs="Times New Roman" w:eastAsia="Times New Roman" w:hAnsi="Times New Roman"/>
          <w:sz w:val="18"/>
          <w:szCs w:val="18"/>
          <w:color w:val="auto"/>
        </w:rPr>
        <w:t>Americas operating income decreased 5.1% to $104.4 million during the six months ended February 28, 2022, compared with $110.0 million in the same period a year ago. This decrease in operating income was due to higher employee compensation expense, impairment charges related to vacating certain leased office space, higher computer-related expenses, professional fees and amortization of intangible assets, partially offset by growth in revenues of 9.8%. Employee compensation expense increased primarily due to the impact of a one-time restructuring charge to drive organizational realignment, higher stock compensation expense and increased variable compensation expense, partially offset by a net decrease in employee headcount of 225. The impairment charges related mainly to our lease right-of-use ("ROU") assets and Property, equipment and leasehold improvements associated with vacating certain leased office space. Computer-related expenses increased primarily due to increased spend from our migration to cloud-based hosting services and licensed software arrangements. Professional fees increased primarily due to costs incurred in preparation for the acquisition of CGS. Amortization of intangible assets increased primarily due to a continued investment in capitalized internal-use software, with more assets placed in service.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EMEA operating income increased 7.0% to $86.6 million during the six months ended February 28, 2022, compared with $80.9 million in the same period a year ago. The increase in EMEA operating income was primarily due to growth in revenues of 8.7%, partially offset by an increase in employee compensation expense and data costs. Employee compensation expense increased mainly due to the impact of a one-time restructuring charge to drive organizational realignment and higher annual base salaries. Data costs increased primarily due to a non-recurring charge for certain data content.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 Pacific operating income increased 18.9% to $55.0 million during the six months ended February 28, 2022, compared with $46.3 million in the same period a year ago. The increase in Asia Pacific operating income was mainly due to growth in revenues of 12.1%, partially offset by an increase in employee compensation expense. Employee compensation expense increased mainly due to higher annual base salaries, a net increase in employee headcount of 351 and increased variable compensation.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 Net Income and Diluted Earnings per Share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w:t>
            </w:r>
          </w:p>
        </w:tc>
        <w:tc>
          <w:tcPr>
            <w:tcW w:w="1140" w:type="dxa"/>
            <w:vAlign w:val="bottom"/>
          </w:tcPr>
          <w:p>
            <w:pPr>
              <w:spacing w:after="0"/>
              <w:rPr>
                <w:sz w:val="20"/>
                <w:szCs w:val="20"/>
                <w:color w:val="auto"/>
              </w:rPr>
            </w:pPr>
          </w:p>
        </w:tc>
      </w:tr>
      <w:tr>
        <w:trPr>
          <w:trHeight w:val="270"/>
        </w:trPr>
        <w:tc>
          <w:tcPr>
            <w:tcW w:w="3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February 28,</w:t>
            </w: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February 28,</w:t>
            </w:r>
          </w:p>
        </w:tc>
        <w:tc>
          <w:tcPr>
            <w:tcW w:w="1140" w:type="dxa"/>
            <w:vAlign w:val="bottom"/>
          </w:tcPr>
          <w:p>
            <w:pPr>
              <w:spacing w:after="0"/>
              <w:rPr>
                <w:sz w:val="23"/>
                <w:szCs w:val="23"/>
                <w:color w:val="auto"/>
              </w:rPr>
            </w:pPr>
          </w:p>
        </w:tc>
      </w:tr>
      <w:tr>
        <w:trPr>
          <w:trHeight w:val="270"/>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per share data)</w:t>
            </w:r>
          </w:p>
        </w:tc>
        <w:tc>
          <w:tcPr>
            <w:tcW w:w="8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12,018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18,023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24,301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37,049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109,938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96,643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217,585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197,849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is lower than the applicable U.S. corporate income tax rate for the three and six months ended February 28, 2022, driven mainly by research and development ("R&amp;D") tax credits and a foreign derived intangible income ("FDII") deduction. Our effective tax rate for the three and six months ended February 28, 2022 is further reduced by windfall tax benefits associated with the employee exercise of stock options.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2022 compared with three months ended February 28, 2021</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February 28, 2022, the provision for income taxes was $12.0 million, compared with $18.0 million for the same period a year ago. The provision decreased mainly due to lower projected levels of income before income taxes, a lower effective tax rate compared to the prior year period and a $4.2 million in higher windfall tax benefits from stock-based compensation, partially offset by higher income before income taxes for the three months ended February 28, 2022, compared with the prior year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2022 compared with six months ended February 28, 2021</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February 28, 2022, the provision for income taxes was $24.3 million, compared with $37.0 million for the same period a year ago. The provision decreased mainly due to lower projected levels of income before income taxes, a lower effective tax rate compared to the prior year period and $11.2 million in higher windfall tax benefit from stock-based compensation, partially offset by higher income before income taxes during the six months ended February 28, 2022, compared with the prior year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Diluted Earnings per Share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2022 compared with three months ended February 28, 2021</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increased 13.8% to $109.9 million and diluted earnings per share ("EPS") increased 13.6% to $2.84 for the three months ended February 28, 2022, compared with the same period a year ago. Net income and diluted EPS increased primarily due to increased operating income and a reduction in the provision for income taxes.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2022 compared with six months ended February 28, 2021</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increased 10.0% to $217.6 million and diluted EPS increased 10.0% to $5.63 for the six months ended February 28, 2022, compared with the same period a year ago. Net income and diluted EPS increased primarily due to a decrease in the provision for income taxes and increased operating income.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generally accepted accounting principles in the United States ("GAAP"), we use non-GAAP financial measures including organic revenue, adjusted operating income, adjusted operating margin, adjusted net income, EBITDA, adjusted EBITDA and adjusted diluted EPS. The reconciliations of these non-GAAP financial measures to the most directly comparable financial measures calculated and presented in accordance with GAAP are show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that we do, limiting the usefulness of those measures for comparative purposes.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an unaudited reconciliation of revenues to adjusted revenues and organic revenues.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Three Months Ended</w:t>
            </w:r>
          </w:p>
        </w:tc>
        <w:tc>
          <w:tcPr>
            <w:tcW w:w="1280" w:type="dxa"/>
            <w:vAlign w:val="bottom"/>
          </w:tcPr>
          <w:p>
            <w:pPr>
              <w:spacing w:after="0"/>
              <w:rPr>
                <w:sz w:val="20"/>
                <w:szCs w:val="20"/>
                <w:color w:val="auto"/>
              </w:rPr>
            </w:pPr>
          </w:p>
        </w:tc>
      </w:tr>
      <w:tr>
        <w:trPr>
          <w:trHeight w:val="270"/>
        </w:trPr>
        <w:tc>
          <w:tcPr>
            <w:tcW w:w="6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431,119</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391,788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6740" w:type="dxa"/>
            <w:vAlign w:val="bottom"/>
            <w:tcBorders>
              <w:bottom w:val="single" w:sz="8" w:color="CCEEFF"/>
            </w:tcBorders>
          </w:tcPr>
          <w:p>
            <w:pPr>
              <w:ind w:left="160"/>
              <w:spacing w:after="0" w:line="230" w:lineRule="exact"/>
              <w:rPr>
                <w:sz w:val="20"/>
                <w:szCs w:val="20"/>
                <w:color w:val="auto"/>
              </w:rPr>
            </w:pPr>
            <w:r>
              <w:rPr>
                <w:rFonts w:ascii="Times New Roman" w:cs="Times New Roman" w:eastAsia="Times New Roman" w:hAnsi="Times New Roman"/>
                <w:sz w:val="18"/>
                <w:szCs w:val="18"/>
                <w:color w:val="auto"/>
              </w:rPr>
              <w:t>Deferred revenues fair value adjustment</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revenues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431,057</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391,969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674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Acquired revenues</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5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r>
      <w:tr>
        <w:trPr>
          <w:trHeight w:val="230"/>
        </w:trPr>
        <w:tc>
          <w:tcPr>
            <w:tcW w:w="674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Currency impact</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1,589</w:t>
            </w: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r>
      <w:tr>
        <w:trPr>
          <w:trHeight w:val="22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revenues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430,763</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391,969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bl>
    <w:p>
      <w:pPr>
        <w:spacing w:after="0" w:line="245" w:lineRule="exact"/>
        <w:rPr>
          <w:sz w:val="20"/>
          <w:szCs w:val="20"/>
          <w:color w:val="auto"/>
        </w:rPr>
      </w:pPr>
    </w:p>
    <w:p>
      <w:pPr>
        <w:ind w:left="640" w:hanging="470"/>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amortization effect of the purchase accounting adjustment on the fair value of acquired deferred revenues.</w:t>
      </w:r>
    </w:p>
    <w:p>
      <w:pPr>
        <w:spacing w:after="0" w:line="29" w:lineRule="exact"/>
        <w:rPr>
          <w:rFonts w:ascii="Times New Roman" w:cs="Times New Roman" w:eastAsia="Times New Roman" w:hAnsi="Times New Roman"/>
          <w:sz w:val="18"/>
          <w:szCs w:val="18"/>
          <w:i w:val="1"/>
          <w:iCs w:val="1"/>
          <w:color w:val="auto"/>
        </w:rPr>
      </w:pPr>
    </w:p>
    <w:p>
      <w:pPr>
        <w:ind w:left="640" w:hanging="470"/>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Revenues from acquisitions completed within the last 12 months.</w:t>
      </w:r>
    </w:p>
    <w:p>
      <w:pPr>
        <w:spacing w:after="0" w:line="9" w:lineRule="exact"/>
        <w:rPr>
          <w:rFonts w:ascii="Times New Roman" w:cs="Times New Roman" w:eastAsia="Times New Roman" w:hAnsi="Times New Roman"/>
          <w:sz w:val="18"/>
          <w:szCs w:val="18"/>
          <w:i w:val="1"/>
          <w:iCs w:val="1"/>
          <w:color w:val="auto"/>
        </w:rPr>
      </w:pPr>
    </w:p>
    <w:p>
      <w:pPr>
        <w:ind w:left="640" w:hanging="470"/>
        <w:spacing w:after="0"/>
        <w:tabs>
          <w:tab w:leader="none" w:pos="6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from foreign currency movements over the past 12 months.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color w:val="auto"/>
        </w:rPr>
        <w:t>The table below provides an unaudited reconciliation of operating income, operating margin, net income and diluted EPS to adjusted operating income, adjusted operating margin, adjusted net income, EBITDA, adjusted EBITDA and adjusted diluted EPS.</w:t>
      </w:r>
    </w:p>
    <w:p>
      <w:pPr>
        <w:spacing w:after="0" w:line="2" w:lineRule="exact"/>
        <w:rPr>
          <w:sz w:val="20"/>
          <w:szCs w:val="20"/>
          <w:color w:val="auto"/>
        </w:rPr>
      </w:pPr>
    </w:p>
    <w:p>
      <w:pPr>
        <w:jc w:val="center"/>
        <w:ind w:left="382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3820"/>
        <w:spacing w:after="0"/>
        <w:rPr>
          <w:sz w:val="20"/>
          <w:szCs w:val="20"/>
          <w:color w:val="auto"/>
        </w:rPr>
      </w:pPr>
      <w:r>
        <w:rPr>
          <w:rFonts w:ascii="Times New Roman" w:cs="Times New Roman" w:eastAsia="Times New Roman" w:hAnsi="Times New Roman"/>
          <w:sz w:val="18"/>
          <w:szCs w:val="18"/>
          <w:color w:val="auto"/>
        </w:rPr>
        <w:t>February 28,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1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123,348</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116,133</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 fair value adjustment</w:t>
            </w:r>
          </w:p>
        </w:tc>
        <w:tc>
          <w:tcPr>
            <w:tcW w:w="380" w:type="dxa"/>
            <w:vAlign w:val="bottom"/>
          </w:tcPr>
          <w:p>
            <w:pPr>
              <w:spacing w:after="0"/>
              <w:rPr>
                <w:sz w:val="19"/>
                <w:szCs w:val="19"/>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(62)</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c>
          <w:tcPr>
            <w:tcW w:w="190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6,291</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5,914</w:t>
            </w:r>
          </w:p>
        </w:tc>
        <w:tc>
          <w:tcPr>
            <w:tcW w:w="190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charges</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9,734</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spacing w:after="0"/>
              <w:rPr>
                <w:sz w:val="19"/>
                <w:szCs w:val="19"/>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 costs</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5,048</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spacing w:after="0"/>
              <w:rPr>
                <w:sz w:val="19"/>
                <w:szCs w:val="19"/>
                <w:color w:val="auto"/>
              </w:rPr>
            </w:pPr>
          </w:p>
        </w:tc>
      </w:tr>
      <w:tr>
        <w:trPr>
          <w:trHeight w:val="230"/>
        </w:trPr>
        <w:tc>
          <w:tcPr>
            <w:tcW w:w="5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Transformation costs </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580</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4,654</w:t>
            </w:r>
          </w:p>
        </w:tc>
        <w:tc>
          <w:tcPr>
            <w:tcW w:w="1900" w:type="dxa"/>
            <w:vAlign w:val="bottom"/>
          </w:tcPr>
          <w:p>
            <w:pPr>
              <w:spacing w:after="0"/>
              <w:rPr>
                <w:sz w:val="19"/>
                <w:szCs w:val="19"/>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200</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961</w:t>
            </w:r>
          </w:p>
        </w:tc>
        <w:tc>
          <w:tcPr>
            <w:tcW w:w="1900" w:type="dxa"/>
            <w:vAlign w:val="bottom"/>
            <w:shd w:val="clear" w:color="auto" w:fill="CCEEFF"/>
          </w:tcPr>
          <w:p>
            <w:pPr>
              <w:spacing w:after="0"/>
              <w:rPr>
                <w:sz w:val="19"/>
                <w:szCs w:val="19"/>
                <w:color w:val="auto"/>
              </w:rPr>
            </w:pPr>
          </w:p>
        </w:tc>
      </w:tr>
      <w:tr>
        <w:trPr>
          <w:trHeight w:val="223"/>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145,139</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127,843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29"/>
        </w:trPr>
        <w:tc>
          <w:tcPr>
            <w:tcW w:w="5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28.6 %</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900" w:type="dxa"/>
            <w:vAlign w:val="bottom"/>
            <w:shd w:val="clear" w:color="auto" w:fill="CCEEFF"/>
          </w:tcPr>
          <w:p>
            <w:pPr>
              <w:spacing w:after="0"/>
              <w:rPr>
                <w:sz w:val="19"/>
                <w:szCs w:val="19"/>
                <w:color w:val="auto"/>
              </w:rPr>
            </w:pPr>
          </w:p>
        </w:tc>
      </w:tr>
      <w:tr>
        <w:trPr>
          <w:trHeight w:val="229"/>
        </w:trPr>
        <w:tc>
          <w:tcPr>
            <w:tcW w:w="5740" w:type="dxa"/>
            <w:vAlign w:val="bottom"/>
            <w:tcBorders>
              <w:bottom w:val="single" w:sz="8" w:color="auto"/>
            </w:tcBorders>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Adjusted operating margin</w:t>
            </w:r>
            <w:r>
              <w:rPr>
                <w:rFonts w:ascii="Times New Roman" w:cs="Times New Roman" w:eastAsia="Times New Roman" w:hAnsi="Times New Roman"/>
                <w:sz w:val="23"/>
                <w:szCs w:val="23"/>
                <w:i w:val="1"/>
                <w:iCs w:val="1"/>
                <w:color w:val="auto"/>
                <w:vertAlign w:val="superscript"/>
              </w:rPr>
              <w:t>(2)</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33.7 %</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900" w:type="dxa"/>
            <w:vAlign w:val="bottom"/>
            <w:tcBorders>
              <w:bottom w:val="single" w:sz="8" w:color="auto"/>
            </w:tcBorders>
          </w:tcPr>
          <w:p>
            <w:pPr>
              <w:spacing w:after="0"/>
              <w:rPr>
                <w:sz w:val="19"/>
                <w:szCs w:val="19"/>
                <w:color w:val="auto"/>
              </w:rPr>
            </w:pPr>
          </w:p>
        </w:tc>
      </w:tr>
      <w:tr>
        <w:trPr>
          <w:trHeight w:val="250"/>
        </w:trPr>
        <w:tc>
          <w:tcPr>
            <w:tcW w:w="5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109,938</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96,643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fair value adjustment</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(55)</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1900" w:type="dxa"/>
            <w:vAlign w:val="bottom"/>
            <w:shd w:val="clear" w:color="auto" w:fill="CCEEFF"/>
          </w:tcPr>
          <w:p>
            <w:pPr>
              <w:spacing w:after="0"/>
              <w:rPr>
                <w:sz w:val="19"/>
                <w:szCs w:val="19"/>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5,543</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4,843</w:t>
            </w:r>
          </w:p>
        </w:tc>
        <w:tc>
          <w:tcPr>
            <w:tcW w:w="1900" w:type="dxa"/>
            <w:vAlign w:val="bottom"/>
          </w:tcPr>
          <w:p>
            <w:pPr>
              <w:spacing w:after="0"/>
              <w:rPr>
                <w:sz w:val="19"/>
                <w:szCs w:val="19"/>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charges</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8,578</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acquisition costs</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4,448</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Transformation costs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512</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3,813</w:t>
            </w:r>
          </w:p>
        </w:tc>
        <w:tc>
          <w:tcPr>
            <w:tcW w:w="190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177</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787</w:t>
            </w:r>
          </w:p>
        </w:tc>
        <w:tc>
          <w:tcPr>
            <w:tcW w:w="190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(2,466)</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(1,154)</w:t>
            </w:r>
          </w:p>
        </w:tc>
        <w:tc>
          <w:tcPr>
            <w:tcW w:w="1900" w:type="dxa"/>
            <w:vAlign w:val="bottom"/>
            <w:shd w:val="clear" w:color="auto" w:fill="CCEEFF"/>
          </w:tcPr>
          <w:p>
            <w:pPr>
              <w:spacing w:after="0"/>
              <w:rPr>
                <w:sz w:val="19"/>
                <w:szCs w:val="19"/>
                <w:color w:val="auto"/>
              </w:rPr>
            </w:pPr>
          </w:p>
        </w:tc>
      </w:tr>
      <w:tr>
        <w:trPr>
          <w:trHeight w:val="223"/>
        </w:trPr>
        <w:tc>
          <w:tcPr>
            <w:tcW w:w="574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(3)</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126,675</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105,080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70"/>
        </w:trPr>
        <w:tc>
          <w:tcPr>
            <w:tcW w:w="5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109,938</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96,643</w:t>
            </w:r>
          </w:p>
        </w:tc>
        <w:tc>
          <w:tcPr>
            <w:tcW w:w="190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1,673</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1,815</w:t>
            </w:r>
          </w:p>
        </w:tc>
        <w:tc>
          <w:tcPr>
            <w:tcW w:w="190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12,018</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18,023</w:t>
            </w:r>
          </w:p>
        </w:tc>
        <w:tc>
          <w:tcPr>
            <w:tcW w:w="190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13,395</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15,672</w:t>
            </w:r>
          </w:p>
        </w:tc>
        <w:tc>
          <w:tcPr>
            <w:tcW w:w="1900" w:type="dxa"/>
            <w:vAlign w:val="bottom"/>
            <w:shd w:val="clear" w:color="auto" w:fill="CCEEFF"/>
          </w:tcPr>
          <w:p>
            <w:pPr>
              <w:spacing w:after="0"/>
              <w:rPr>
                <w:sz w:val="19"/>
                <w:szCs w:val="19"/>
                <w:color w:val="auto"/>
              </w:rPr>
            </w:pPr>
          </w:p>
        </w:tc>
      </w:tr>
      <w:tr>
        <w:trPr>
          <w:trHeight w:val="223"/>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EBITDA</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137,024</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132,153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5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Non-recurring non-cash expenses</w:t>
            </w:r>
            <w:r>
              <w:rPr>
                <w:rFonts w:ascii="Times New Roman" w:cs="Times New Roman" w:eastAsia="Times New Roman" w:hAnsi="Times New Roman"/>
                <w:sz w:val="23"/>
                <w:szCs w:val="23"/>
                <w:color w:val="auto"/>
                <w:vertAlign w:val="superscript"/>
              </w:rPr>
              <w:t>(4)</w:t>
            </w: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9,734</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spacing w:after="0"/>
              <w:rPr>
                <w:sz w:val="19"/>
                <w:szCs w:val="19"/>
                <w:color w:val="auto"/>
              </w:rPr>
            </w:pPr>
          </w:p>
        </w:tc>
      </w:tr>
      <w:tr>
        <w:trPr>
          <w:trHeight w:val="223"/>
        </w:trPr>
        <w:tc>
          <w:tcPr>
            <w:tcW w:w="5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146,758</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132,153</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50"/>
        </w:trPr>
        <w:tc>
          <w:tcPr>
            <w:tcW w:w="5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2.84</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fair value adjustment</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0.00</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0.00</w:t>
            </w:r>
          </w:p>
        </w:tc>
        <w:tc>
          <w:tcPr>
            <w:tcW w:w="190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0.14</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0.13</w:t>
            </w:r>
          </w:p>
        </w:tc>
        <w:tc>
          <w:tcPr>
            <w:tcW w:w="190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charges</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0.22</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spacing w:after="0"/>
              <w:rPr>
                <w:sz w:val="19"/>
                <w:szCs w:val="19"/>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acquisition costs</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0.11</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Transformation costs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0.01</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0.10</w:t>
            </w:r>
          </w:p>
        </w:tc>
        <w:tc>
          <w:tcPr>
            <w:tcW w:w="190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38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w:t>
            </w:r>
          </w:p>
        </w:tc>
        <w:tc>
          <w:tcPr>
            <w:tcW w:w="4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0.02</w:t>
            </w:r>
          </w:p>
        </w:tc>
        <w:tc>
          <w:tcPr>
            <w:tcW w:w="190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(0.06)</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(0.03)</w:t>
            </w:r>
          </w:p>
        </w:tc>
        <w:tc>
          <w:tcPr>
            <w:tcW w:w="1900" w:type="dxa"/>
            <w:vAlign w:val="bottom"/>
            <w:shd w:val="clear" w:color="auto" w:fill="CCEEFF"/>
          </w:tcPr>
          <w:p>
            <w:pPr>
              <w:spacing w:after="0"/>
              <w:rPr>
                <w:sz w:val="19"/>
                <w:szCs w:val="19"/>
                <w:color w:val="auto"/>
              </w:rPr>
            </w:pPr>
          </w:p>
        </w:tc>
      </w:tr>
      <w:tr>
        <w:trPr>
          <w:trHeight w:val="223"/>
        </w:trPr>
        <w:tc>
          <w:tcPr>
            <w:tcW w:w="574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diluted earnings per common share</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3.27</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2.72</w:t>
            </w:r>
          </w:p>
        </w:tc>
        <w:tc>
          <w:tcPr>
            <w:tcW w:w="1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20.2 %</w:t>
            </w:r>
          </w:p>
        </w:tc>
      </w:tr>
      <w:tr>
        <w:trPr>
          <w:trHeight w:val="223"/>
        </w:trPr>
        <w:tc>
          <w:tcPr>
            <w:tcW w:w="5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(Diluted)</w:t>
            </w: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38,761</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38,620</w:t>
            </w:r>
          </w:p>
        </w:tc>
        <w:tc>
          <w:tcPr>
            <w:tcW w:w="1900" w:type="dxa"/>
            <w:vAlign w:val="bottom"/>
            <w:tcBorders>
              <w:bottom w:val="single" w:sz="8" w:color="auto"/>
            </w:tcBorders>
            <w:shd w:val="clear" w:color="auto" w:fill="CCEEFF"/>
          </w:tcPr>
          <w:p>
            <w:pPr>
              <w:spacing w:after="0"/>
              <w:rPr>
                <w:sz w:val="19"/>
                <w:szCs w:val="19"/>
                <w:color w:val="auto"/>
              </w:rPr>
            </w:pPr>
          </w:p>
        </w:tc>
      </w:tr>
    </w:tbl>
    <w:p>
      <w:pPr>
        <w:spacing w:after="0" w:line="128" w:lineRule="exact"/>
        <w:rPr>
          <w:sz w:val="20"/>
          <w:szCs w:val="20"/>
          <w:color w:val="auto"/>
        </w:rPr>
      </w:pPr>
    </w:p>
    <w:p>
      <w:pPr>
        <w:ind w:left="5540" w:right="3400" w:hanging="5208"/>
        <w:spacing w:after="0" w:line="926" w:lineRule="auto"/>
        <w:tabs>
          <w:tab w:leader="none" w:pos="656"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Costs primarily related to professional fees associated with the ongoing multi-year investment plan. </w:t>
      </w: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operating margin is calculated as adjusted operating income divided by adjusted revenues as shown in the organic revenues table above.</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line="281" w:lineRule="auto"/>
        <w:tabs>
          <w:tab w:leader="none" w:pos="654"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purposes of calculating adjusted net income and adjusted diluted earnings per share, intangible asset amortization, deferred revenues fair value adjustments and other items were taxed at the quarterly effective tax rates of 11.9% for fiscal 2022 and 16.9% for fiscal 2021.</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4"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Costs related to impairment charges of our lease ROU assets and Property, equipment and leasehold improvements associated with vacating certain leased office space.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have been our cash flows generated from our operations, existing cash and cash equivalents and, when needed, our credit capacity under our existing credit facility. We use these sources of liquidity to, among other things, service our existing and future debt obligations, satisfy our working capital requirements and fund our capital expenditures, investments, acquisitions, dividend payments and repurchases of our common stock. Based on past performance and current expectations, we believe our liquidity, along with other financing alternatives, will provide us the necessary capital to fund these transactions and achieve our planned growth for the next 12 months and the foreseeable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Credit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29, 2019, we entered into a credit agreement with PNC Bank, National Association ("PNC") (the "2019 Credit Agreement"), which provides for a $750.0 million revolving credit facility (the "2019 Revolving Credit Facility"). The 2019 Revolving Credit Facility allows for borrowings until its maturity date of March 29, 2024. The 2019 Credit Agreement also allows for, subject to certain requirements, additional borrowings with PNC for an aggregate amount up to $500.0 million, provided that any such request for additional borrowings must be in a minimum amount of $25.0 million.</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February 28, 2022, we have borrowed $575.0 million of the available $750.0 million provided by the 2019 Revolving Credit Facility, resulting in $175.0 million available to be withdrawn. We are required to pay a commitment fee using a pricing grid which was 0.10% as of February 28, 2022. This fee is based on the daily amount by which the available balance in the 2019 Revolving Credit Facility exceeds the borrowed amount. All outstanding loan amounts are reported as Long-term debt within the Consolidated Balance Sheets at February 28, 2022 and August 31, 2021. The principal balance is payable in full on the maturity date.</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Borrowings under the loan bear interest on the outstanding principal amount at a rate equal to LIBOR plus a spread using a debt leverage pricing grid, which was 0.875% as of February 28, 2022. The variable rate of interest on the 2019 Revolving Credit Facility creates exposure to interest rate volatility due to changes in LIBOR. To mitigate this exposure, on March 5, 2020, we entered into an interest rate swap agreement with a notional amount of $287.5 million to hedge the variable interest rate obligation on a portion of our outstanding balance under the 2019 Revolving Credit Facility. Under the terms of the interest rate swap agreement, we pay interest at a fixed rate of 0.7995% and receive variable interest payments based on the same one-month LIBOR utilized to calculate the interest expense from the 2019 Revolving Credit Facility. The interest rate swap agreement matures on March 29, 2024.</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Including the effects of the interest rate swap agreement, the weighted average interest rate on amounts outstanding under our 2019 Revolving Credit Facility was 1.36% and 1.38% for the six months ended February 28, 2022 and fiscal year ended August 31, 2021, respectively. Interest on the outstanding balance under the 2019 Revolving Credit Facility is payable quarterly, in arrears, and on the maturity date.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2019 Credit Agreement contains covenants and requirements restricting certain of our activities, which are usual and customary for this type of loan. In addition, the 2019 Credit Agreement requires that we maintain a consolidated net leverage ratio, as measured by total net funded debt/EBITDA (as defined in the 2019 Credit Agreement), below a specified level as of the end of each fiscal quarter. We were in compliance with all the covenants and requirements within the 2019 Credit Agreement as of February 28,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of March 1, 2022, we repaid in full and terminated our 2019 Credit Agreement. Refer to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more information on the termination.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2022, FactSet Research Systems Inc. entered into the 2022 Credit Agreement and concurrently we repaid in full and terminated the 2019 Credit Agreement. On March 1, 2022, we borrowed $1.0 billion under the 2022 Term Facility, and $250.0 million under the 2022 Revolving Facility. Refer to Note 17, Subsequent Events for definition of these terms and more information on the 2022 Credit Agreement.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2022, FactSet Research Systems Inc. completed a public offering of $500.0 million aggregate principal amount of 2.900% Senior Notes due 2027 and $500.0 million aggregate principal amount of 3.450% Senior Notes due 2032. Refer to Note 17, Subsequent Events for more information on the Senior Notes.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Uses of Liquidity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Returning Value to Shareholders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February 28, 2022, we returned $80.1 million to stockholders in the form of share repurchases and dividends. Over the last 12 months, we returned $289.9 million to stockholders in the form of share repurchases and dividends.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our share repurchase program, we may repurchase shares of our common stock from time to time in the open market and privately negotiated transactions, subject to market conditions.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Beginning in the second quarter of fiscal 2022, we suspended our share repurchase program through at least the second half of fiscal 2023, with the exception of potential minor repurchases to offset dilution from grants of equity awards or repurchases to satisfy withholding tax obligations due upon the vesting of stock-based awards. The suspension of our share repurchase program allows us to prioritize the repayment of debt under the 2022 Credit Agreement. Refer to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more information on the 2022 Credit Agreement.</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such, for the three months ended February 28, 2022, we did not make any repurchases under our existing share repurchase program, compared to 221,959 shares repurchased for $71.5 million for the three months ended February 28, 2021. During the six months ended February 28, 2022, we repurchased 46,200 shares for $18.6 million under our existing share repurchase program compared with 353,759 shares for $114.6 million in the same period a year ago.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2022, $181.3 million remained available under the share repurchase program for future share repurchases. There is no defined number of shares to be repurchased over a specified timeframe through the life of the share repurchase program. It is expected that share repurchases will be paid using existing and future cash generated by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February 28, 2022, capital expenditures were $20.5 million, compared with $28.8 million during the same period a year ago, a decrease of $8.2 million. Capital expenditures decreased primarily due to costs incurred for the build-out of our office space in the Philippines during the six months ended February 28, 2021, without a similar expenditure during the six months ended February 28,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 2022, our Board of Directors approved a regular quarterly dividend of $0.82 per share. Dividends of $31.1 million were paid on March 17, 2022 to common stockholders of record at the close of business on February 28, 2022. Future cash dividends will depend on our earnings, capital requirements, financial condition and other factors considered relevant by us and are subject to final determination by our Board of Directors.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2022 and 2021, we completed acquisitions of several businesses, with the most significant cash flows related to the acquisitions of Cobalt Software, Inc. ("Cobalt") and Truvalue Labs, Inc. ("TVL"). On March 1, 2022, we completed the acquisition of CGS.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12, 2021, we acquired all of the outstanding shares of Cobalt for a purchase price of $50.0 million, net of cash acquired. Cobalt is a leading portfolio monitoring solutions provider for the private capital industry. This acquisition advances our strategy to scale our data and workflow solutions through targeted investments as part of our multi-year investment plan and expands our private markets offering.</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 2020, we acquired all of the outstanding shares of TVL for a purchase price of $41.9 million, net of cash acquired. TVL is a leading provider of ESG information. TVL applies artificial intelligence driven technology to over 100,000 unstructured text sources in multiple languages, including news, trade journals, and non-governmental organizations and industry reports, to provide daily signals that identify positive and negative ESG behavior. The acquisition of TVL further enhances our commitment to providing industry leading access to ESG data across our platforms.</w:t>
      </w:r>
    </w:p>
    <w:p>
      <w:pPr>
        <w:spacing w:after="0" w:line="1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Note 7,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of the Cobalt and TVL acquisitions. Refer to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March 1, 2022 acquisition of CGS.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Purchase obligations represent committed payments due in future periods to our various data vendors and for other goods and services. These purchase commitments are agreements that are enforceable and legally binding on us, and they specify all significant terms, including: fixed or minimum quantities to be purchased; fixed, minimum or variable price provisions; and the approximate timing of the transaction. The effect of our contractual obligations on our liquidity and capital resources in future periods should be considered in conjunction with the factors mentioned here. As of August 31, 2021, we had total purchase commitments of $191.9 million. During the second quarter of fiscal 2022, we entered into a software subscription agreement with total purchase commitments of approximately $10 million with a contract term of three years.</w:t>
      </w:r>
    </w:p>
    <w:p>
      <w:pPr>
        <w:spacing w:after="0" w:line="2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lease commitments and outstanding debt obligations,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for the periods indicated, provides selected cash flow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2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Six Months Ended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4"/>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194,952</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229,936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(70,814)</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(69,748)</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(26,417)</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(146,659)</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120,242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3,550</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(285.2)%</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91,147</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17,079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74,068</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433.7 %</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aggregated to $773.0 million as of February 28, 2022, compared with $681.9 million as of August 31, 2021. Our cash and cash equivalents increased $91.1 million during the six months ended February 28, 2022, primarily due to cash provided by operating activities of $195.0 million and proceeds from the exercise of employee stock options of $56.9 million, partially offset by cash outflows from dividend payments of $61.4 million, acquisition of a business of $50.0 million, capital expenditures of $20.5 million and share repurchases of $18.6 million.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and cash equivalents are held in numerous locations throughout the world, with $493.9 million within the Americas, $215.4 million within EMEA (predominantly within the UK and France) and the remaining $63.7 million within Asia Pacific (predominantly within the Philippines and India) as of February 28, 2022. We intend to reinvest substantially all of our accumulated undistributed foreign earnings, except in instances where repatriation would result in minimal additional tax.</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February 28, 2022, net cash provided by operating activities was $195.0 million compared with $229.9 million during the same period a year ago, a decrease of $35.0 million. This decrease was primarily driven by the timing</w:t>
      </w:r>
    </w:p>
    <w:p>
      <w:pPr>
        <w:ind w:right="20"/>
        <w:spacing w:after="0" w:line="443" w:lineRule="auto"/>
        <w:rPr>
          <w:sz w:val="20"/>
          <w:szCs w:val="20"/>
          <w:color w:val="auto"/>
        </w:rPr>
      </w:pPr>
      <w:r>
        <w:rPr>
          <w:rFonts w:ascii="Times New Roman" w:cs="Times New Roman" w:eastAsia="Times New Roman" w:hAnsi="Times New Roman"/>
          <w:sz w:val="18"/>
          <w:szCs w:val="18"/>
          <w:color w:val="auto"/>
        </w:rPr>
        <w:t xml:space="preserve">of both tax payments in certain jurisdictions and collections of accounts receivable, as well as higher bonus payments, partially offset by higher net income. </w:t>
      </w:r>
      <w:r>
        <w:rPr>
          <w:rFonts w:ascii="Times New Roman" w:cs="Times New Roman" w:eastAsia="Times New Roman" w:hAnsi="Times New Roman"/>
          <w:sz w:val="18"/>
          <w:szCs w:val="18"/>
          <w:b w:val="1"/>
          <w:bCs w:val="1"/>
          <w:color w:val="auto"/>
        </w:rPr>
        <w:t>Investing</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$70.8 million for the six months ended February 28, 2022, representing a $1.1 million increase from the same period a year ago. This increase was driven by higher spend on acquisitions, with a $50.0 million cash purchase price for Cobalt, net of cash acquired, during the six months ended February 28, 2022, compared with a $41.9 million cash purchase price for TVL, net of cash acquired, in the prior year period. The increase in net cash used in investing was further impacted by a reduction of $1.2 million in net proceeds from investments (net of purchases) during the six months ended February 28, 2022 compared to the prior year period, partially offset by a decrease in capital expenditures of $8.2 million for the six months ended February 28, 2022 compared with the prior year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$26.4 million for the six months ended February 28, 2022, representing a $120.2 million favorable change compared with the same period a year ago. This cash flow improvement was mainly driven by a $96.0 million decrease in share repurchases and a $28.4 million increase in proceeds from employee stock plans, partially offset by an increase of $3.3 million in dividend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free cash flow, a non-GAAP financial measure, as cash provided by operating activities less purchases of property, equipment, leasehold improvements and capitalized internal-use software. We present free cash flow solely as a supplemental disclosure to provide useful information to investors about the amount of cash generated by the business after necessary capital expenditures. We consider free cash flow to be a liquidity measure that provides useful information to management and investors about the amount of cash generated by the business after necessary capital expenditures.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our net cash provided by operating activities to free cash flow: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February 28,</w:t>
            </w: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4"/>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2021</w:t>
            </w:r>
          </w:p>
        </w:tc>
        <w:tc>
          <w:tcPr>
            <w:tcW w:w="4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194,952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229,936</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(34,984)</w:t>
            </w:r>
          </w:p>
        </w:tc>
      </w:tr>
      <w:tr>
        <w:trPr>
          <w:trHeight w:val="229"/>
        </w:trPr>
        <w:tc>
          <w:tcPr>
            <w:tcW w:w="50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(20,546)</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(28,758)</w:t>
            </w:r>
          </w:p>
        </w:tc>
        <w:tc>
          <w:tcPr>
            <w:tcW w:w="4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8,212</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174,406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201,178</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(26,772)</w:t>
            </w:r>
          </w:p>
        </w:tc>
      </w:tr>
    </w:tbl>
    <w:p>
      <w:pPr>
        <w:spacing w:after="0" w:line="254" w:lineRule="exact"/>
        <w:rPr>
          <w:sz w:val="20"/>
          <w:szCs w:val="20"/>
          <w:color w:val="auto"/>
        </w:rPr>
      </w:pPr>
    </w:p>
    <w:p>
      <w:pPr>
        <w:ind w:firstLine="8"/>
        <w:spacing w:after="0" w:line="283" w:lineRule="auto"/>
        <w:tabs>
          <w:tab w:leader="none" w:pos="241" w:val="left"/>
        </w:tabs>
        <w:numPr>
          <w:ilvl w:val="0"/>
          <w:numId w:val="1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Capital expenditures are included in net cash used in investing activities during each fiscal period reported and include property, equipment, leasehold improvements and capitalized internal-use software.</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Free cash flow generated during the six months ended February 28, 2022 was $174.4 million compared with $201.2 million during the same period a year ago, reflecting a 13.3% decrease. This $26.8 million decrease was due to a $35.0 million decrease in operating cash flows, partially offset by an $8.2 million decrease in capital expenditures.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February 28, 2022 and August 31, 2021,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Currency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Exposure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foreign currency fluctuations from our international wholly-owned subsidiaries, primarily driven by employee compensation, with 79% of our employee headcount located in foreign locations. The functional currency of these foreign subsidiaries are primarily their respective local currencies. The revenues and expenses of these subsidiaries have been translated into U.S. dollars at average exchange rates prevailing during the period and the assets and liabilities translated at the rates of exchange on the balance sheet date. The net translation gains and losses are recorded in accumulated other comprehensive loss as a component of stockholders’ equity.</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February 28, 2022, foreign currency exchange rate fluctuations, net of hedge activity, decreased operating income by $1.2 million, compared with a decrease of $1.4 million to operating income a year ago. During the six months ended February 28, 2022, foreign currency exchange rate fluctuations, net of hedge activity, decreased operating income by $5.4 million, compared with a $0.8 million a decrease to operating income a year ago. To mitigate the foreign currency exposure, we entered into a series of forward contracts to hedge a portion of our British Pound Sterling, Euro, Indian Rupee, and Philippine Peso exposures ranging from 25% to 50% over their respective hedged periods as of February 28, 2022. The current foreign currency forward contracts are set to mature at various points between the third quarter of fiscal 2022 through the first quarter of fiscal 2023.</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As of February 28, 2022, the gross notional value of foreign currency forward contracts to purchase Philippine Pesos and Indian Rupees with U.S. dollars was </w:t>
      </w:r>
      <w:r>
        <w:rPr>
          <w:rFonts w:ascii="Arial" w:cs="Arial" w:eastAsia="Arial" w:hAnsi="Arial"/>
          <w:sz w:val="18"/>
          <w:szCs w:val="18"/>
          <w:color w:val="auto"/>
        </w:rPr>
        <w:t>₱</w:t>
      </w:r>
      <w:r>
        <w:rPr>
          <w:rFonts w:ascii="Times New Roman" w:cs="Times New Roman" w:eastAsia="Times New Roman" w:hAnsi="Times New Roman"/>
          <w:sz w:val="18"/>
          <w:szCs w:val="18"/>
          <w:color w:val="auto"/>
        </w:rPr>
        <w:t>0.9 billion and Rs1.7 billion, respectively. The gross notional value of foreign currency forward contracts to purchase Euros and British Pound Sterling with U.S. dollars was €23.0 million and £24.3 million, respectively.</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loss on foreign currency forward contracts of $1.0 million was recorded into operating income for the three months ended February 28, 2022, compared with a gain on forward currency forward contracts of $2.1 million in the same period a year ago. For the six months ended February 28, 2022, a loss on forward currency forward contracts of $1.5 million was recorded into operating income, compared with a gain on forward currency forward contracts of $2.9 million in the prior year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 and Estimates</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the Consolidated Financial Statements in conformity with GAAP, which requires us to make certain estimates and apply judgements that affect the reported amounts of assets, liabilities, revenues and expenses and related disclosures. We base our estimates on historical experience and other assumptions that we believe to be reasonable at the time the Consolidated Financial Statements are prepared and, as such, they may ultimately differ materially from actual results.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our Consolidated Financial Statements included in Item 8 of our Annual Report on Form 10-K for the fiscal year ended August 31, 2021. The accounting policies used in preparing our Consolidated Financial Statements for the six months ended February 28, 2022 are applied consistently with those described in our Annual Report on Form 10-K for the fiscal year ended August 31, 2021.</w:t>
      </w:r>
    </w:p>
    <w:p>
      <w:pPr>
        <w:spacing w:after="0" w:line="1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discuss our critical accounting estimates in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our Annual Report on Form 10-K for the fiscal year ended August 31, 2021. There were no significant changes in our critical accounting estimates during the six months ended February 28,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9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in the Notes to the Consolidated Financial Statements included in Part I, Item 1 of this Quarterly Report on Form 10-Q for a full description of recent accounting pronouncements, including the expected dates of adoption, which we include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3. QUANTITATIVE AND QUALITATIVE DISCLOSURES ABOUT MARKET RISK</w:t>
      </w:r>
    </w:p>
    <w:p>
      <w:pPr>
        <w:spacing w:after="0" w:line="2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foreign currency exchange risk and interest rate risk that could impact our financial position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foreign currency exchange risk as we conduct business outside the U.S. in several currencies including British Pound Sterling, Euro, Indian Rupee, and Philippine Peso. Changes in the exchange rates for such currencies into U.S. dollars can affect our revenues, earnings, and the carrying values of our assets and liabilities in our consolidated balance sheet, either positively or negatively.</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manage the exposures related to the effects of foreign exchange rate fluctuations, we utilize derivative instruments (foreign currency forward contracts). The changes in fair value for these foreign currency forward contracts are initially reported as a component of Accumulated other comprehensive loss ("AOCL") and subsequently reclassified into operating expenses when the hedged exposure affects earnings.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sensitivity analysis was performed based on the estimated fair value of all foreign currency forward contracts outstanding at February 28, 2022. If the U.S. dollar had been 10% weaker, the fair value of outstanding foreign currency forward contracts would have increased by $9.7 million. Such a change in fair value of our financial instruments would be substantially offset by changes in our expense base. If we had no hedges in place as of February 28, 2022, a hypothetical 10% weaker U.S. dollar against all foreign currencies from the quoted foreign currency exchange rates at February 28, 2022, with operating results held constant in local currencies, would result in a decrease in operating income by $41.5 million over the next 12 months. A hypothetical 10% weaker U.S. dollar against all foreign currencies at February 28, 2022 would have increased the fair value of total assets by $67.9 million and equity by $47.1 million.</w:t>
      </w:r>
    </w:p>
    <w:p>
      <w:pPr>
        <w:spacing w:after="0" w:line="14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in the Notes to our Consolidated Financial Statements included in Part I, Item 1 of this Quarterly Report on Form 10-Q for more information on our foreign currency exposures and our foreign currency forward contracts.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and Investments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market value of our Cash and cash equivalents and Investments at February 28, 2022 was $808.0 million. Our cash and cash equivalents consist of demand deposits and money market funds with original maturities of three months or less and are reported at fair value. We are exposed to interest rate risk through fluctuations of interest rates on our investments. As we have a restrictive investment policy, our financial exposure to fluctuations in interest rates is expected to remain 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Credit Agreement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of February 28, 2022, we had long-term debt outstanding under the 2019 Revolving Credit Facility with a principal balance of $575.0 million. The debt bears interest on the outstanding principle at a rate equal to LIBOR plus a spread, using a debt leverage pricing grid. The variable rate of interest on our long-term debt created exposure to interest rate volatility due to changes in LIBOR. To mitigate this exposure, on March 5, 2020, we entered into the 2020 Swap Agreement (as defined in Note 6,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with a notional amount of $287.5 million to hedge the variable interest rate obligation, effectively converting the floating interest rate to fixed for the hedged portion. Thus, our exposure was limited to base interest rate risk on floating rate borrowings in excess of any amounts that are not hedged, or $287.5 million of our outstanding principal balance. Assuming all terms of our outstanding long-term debt remained the same, a hypothetical 25 basis point change (up or down) in the one-month LIBOR provided exposure of $0.7 million to our annual interest expense.</w:t>
      </w:r>
    </w:p>
    <w:p>
      <w:pPr>
        <w:spacing w:after="0" w:line="1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our Consolidated Financial Statements included in Part 1, Item 1 of this Quarterly Report on Form 10-Q for additional information regarding our outstanding debt obligations.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of March 1, 2022, we repaid in full and terminated our 2019 Credit Agreement. Refer to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more information on the termination.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March 1, 2022, FactSet Research Systems Inc. borrowed $1.0 billion under the 2022 Term Facility and $250.0 million under the 2022 Revolving Facility. The debt will bear interest on the outstanding principle at an applicable Secured Overnight Financing Rate ("SOFR") rate plus a spread, using a debt leverage pricing grid. The variable rate of interest on our long-term debt creates exposure to interest rate volatility due to changes in SOFR. To mitigate this exposure, on March 1, 2022, we entered into the 2022 Swap Agreement. Refer to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in the Notes to the Consolidated Financial Statements included in Part I, Item 1 of this Quarterly Report on Form 10-Q for more information on these defined terms, our 2022 Term Facility, 2022 Revolving Facility and our 2022 Swap Agreement.</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 market events have not required us to modify materially or change our financial risk management strategies with respect to our exposures to foreign currency exchange risk and interest rate risk.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4. CONTROLS AND PROCEDURES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period covered by this report. Based on that evaluation, the Principal Executive Officer and Principal Financial Officer have concluded that our disclosure controls and procedures are effective as of the end of the period covered by this report.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the three and six months ended February 28, 2022 that have materially affected, or are reasonably likely to materially affect, our internal control over financial reporting.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II – OTHER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set forth under "Contingencies" in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contained in the Notes to the Consolidated Financial Statements of this Quarterly Report on Form 10-Q is incorporated by reference in answer to this Item.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material changes during the six months ended February 28, 2022 to the risk factors identified in our Annual Report on Form 10-K for the fiscal year ended August 31, 2021, except for the addition of certain language in the sections "Operational Risks - Operations outside the United States involve additional requirements and burdens that we may not be able to control or manage successfully" and "Legal &amp; Regulatory Risks - Legislative and regulatory changes in the environments in which we and our clients operate" as set out below.</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addition, included below are risk factors related to the CGS acquisition, the offering of senior notes and the entrance into a new credit facility, which took place on March 1, 2022. Refer to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more information on these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outside the United States involve additional requirements and burdens that we may not be able to control or manage successfully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2021, approximately 40% of our revenue related to operations located outside the U.S. In addition, a significant number of our employees, approximately 78%, are located in offices outside the U.S. We expect our growth to continue outside the U.S., with non-U.S. revenues accounting for an increased portion of our total revenue in the future. Our non-U.S. operations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involve risks that differ from or are in addition to those faced by our U.S. operations. These risks include difficulties in developing products, services and technology tailored to the needs of non-U.S. clients, including in emerging markets; different employment laws and rules; rising labor costs in lower-wage countries; difficulties in staffing and managing personnel that are located outside the U.S.; different regulatory, legal and compliance requirements, including in the areas of privacy and data protection, anti-bribery and anti-corruption, trade sanctions and currency controls, marketing and sales and other barriers to conducting business; social and cultural differences, such as language; diverse or less stable political, operating and economic environments and market fluctuations; civil disturbances or other catastrophic events that reduce business activity, including the risk that the current conflict between Ukraine and Russia expands in a way that impacts our business and operations; limited recognition of our brand and intellectual property protection; differing accounting principles and standards; restrictions on or adverse tax consequences from entity management efforts; and changes in U.S. or foreign tax laws. If we are not able to adapt efficiently or manage the business effectively in markets outside the U.S., our business prospects and operating results could be materially and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&amp; Regulatory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and regulatory changes in the environments in which we and our clients operate</w:t>
      </w:r>
    </w:p>
    <w:p>
      <w:pPr>
        <w:sectPr>
          <w:pgSz w:w="11900" w:h="16838" w:orient="portrait"/>
          <w:cols w:equalWidth="0" w:num="1">
            <w:col w:w="11240"/>
          </w:cols>
          <w:pgMar w:left="320" w:top="121" w:right="339" w:bottom="152"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MiFID</w:t>
      </w:r>
    </w:p>
    <w:p>
      <w:pPr>
        <w:sectPr>
          <w:pgSz w:w="11900" w:h="16838" w:orient="portrait"/>
          <w:cols w:equalWidth="0" w:num="1">
            <w:col w:w="11240"/>
          </w:cols>
          <w:pgMar w:left="320" w:top="121" w:right="339" w:bottom="152" w:gutter="0" w:footer="0" w:header="0"/>
          <w:type w:val="continuous"/>
        </w:sectPr>
      </w:pPr>
    </w:p>
    <w:bookmarkStart w:id="52" w:name="page53"/>
    <w:bookmarkEnd w:id="52"/>
    <w:p>
      <w:pPr>
        <w:spacing w:after="0" w:line="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European Union, the new version of the Markets in Financial Instruments Directive (recast), also known as "MiFID II" became effective in January 2018. Prior to the effectiveness of the UK's withdrawal from the European Union on January 1, 2021, the UK laws and regulations implementing MiFID II were modified to transpose aspects of EU law and address deficiencies that would have otherwise been created as a result of the withdrawal. MiFID II built upon many of the initiatives introduced through MiFID and is intended to help improve the functioning of the European Union single market by achieving a greater consistency of regulatory standards. MiFID originally became effective in 2007. We believe that compliance with MiFID II requirements is time-consuming and costly for the investment managers who are subject to it and will cause clients to adapt their pricing models and business practices significantly. These increased costs may impact our clients’ spending and may cause some investment managers to lose business or withdraw from the market, which may adversely affect demand for our services. However, MiFID II may also present us with new business opportunities for new service offerings. In March 2022, the UK government announced proposed reforms to financial regulation in the UK, which would represent a divergence from the existing UK MiFID regime. Regulatory reform may impact some of our UK-regulated clients and may require them to devote more resource towards realigning their compliance measures, and in some cases ensuring compliance with both the UK and EU regimes. We continue to monitor the impact of UK regulatory change on our clients. We continue to monitor the impact of MiFID II on the investment process and trade lifecycle. We also continue to review the application of key MiFID II requirements and plan to work with our clients to navigate through them.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CGS Transaction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realize the anticipated benefits of the CGS Transaction.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success of our acquisition of the CGS business (the "CGS Business") will depend on, among other things, our ability to incorporate the CGS Business into our business in a manner that enhances our value proposition to clients and facilitates other growth opportunities. We must successfully include the CGS Business within our business in a manner that permits these growth opportunities to be realized. In addition, we must achieve the growth opportunities without adversely affecting current revenues and investments in other future growth. If we are not able to successfully achieve these objectives, the anticipated benefits of the acquisition of CGS (the "CGS Transaction") may not be realized fully, if at all, or may take longer to realize than expected. Additionally, management may face challenges in incorporating certain elements and functions of the CGS Business with the FactSet business, and this process may result in additional and unforeseen expenses. The CGS Transaction may also disrupt the CGS Business’s and FactSet’s ongoing business or cause inconsistencies in standards, controls, procedures and policies that adversely affect our relationships with third party partners, employees, suppliers, customers and others with whom the CGS Business and FactSet have business or other dealings or limit our ability to achieve the anticipated benefits of the CGS Transaction. It is possible that our experience in operating the CGS Business will require us to adjust our expectations regarding the impact of the CGS Transaction on our operating results. If we are not able to successfully add the CGS Business to the existing FactSet business in an efficient, effective and timely manner, anticipated benefits, including the opportunities for growth we expect from the CGS Transaction, may not be realized fully, if at all, or may take longer to realize than expected, and our cash flow and financial condition may be negatively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significant transaction costs in connection with the CGS Transaction.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incurred a number of non-recurring costs associated with the CGS Transaction. These costs and expenses include financial advisory, legal, accounting, consulting and other advisory fees and expenses, filing fees and other related charges. There is also a large number of processes, policies, procedures, operations, technologies and systems that must be integrated in connection with the CGS Transaction. While we have assumed that a certain level of expenses would be incurred in connection with the CGS Transaction and related transactions, there are many factors beyond our control that could affect the total amount or the timing of the integration and implementation expenses.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may also be additional unanticipated significant costs in connection with the CGS Transaction that we may not recoup. These costs and expenses could reduce the benefits and additional income we expect to achieve from the CGS Transaction. Although we expect that these benefits will offset the transaction expenses and implementation costs over time, this net benefit may not be achieved in the near term or at 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terminate or alter existing contracts or relationships with FactSet or the CGS Business.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CGS Business has contracts with customers, licensors and other business partners which may require the CGS Business to obtain consent from these other parties in connection with the CGS Transaction. If these consents cannot be obtained, the CGS Business may suffer a loss of potential future revenue and may lose rights that are material to the CGS Business. In addition, third parties with which we or the CGS Business currently have relationships may terminate or otherwise reduce the scope of their relationships with us following the CGS Transaction. Any such disruptions could limit our ability to achieve the anticipated benefits of the CGS Transaction.</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FactSet and the CGS Business may have difficulty attracting, motivating and retaining key personnel and other employees in light of the CGS Transaction.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CGS Business’s success after the CGS Transaction will depend in part on its ability to attract and retain key personnel and other employees. Following the CGS Transaction, FactSet and the CGS Business may lose key personnel or may be unable to attract, retain and motivate qualified individuals, or the associated costs may increase. If the CGS Business cannot retain employees of the CGS Business because of uncertainty relating to the CGS Transaction or the difficulty of integration or for any other reason, the CGS Business’s ability to realize the anticipated benefits of the CGS Transaction could be reduced, and it may have a material adverse impact on the business and operations of the CGS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Debt</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may impair our financial condition and prevent us from fulfilling our obligations under the senior notes and our other debt instruments.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1, 2022, giving effect to the issuance of the senior notes and the incurrence of borrowings under the 2022 Credit Facilities and the repayment of the 2019 Revolving Facility, the total outstanding debt of FactSet was $2.25 billion, none of which is secured. Under the 2022 Revolving Facility, we have $250 million of unused commitments and an option to increase the size of the facility by an additional $750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indebtedness could have important consequences to investors, including:</w:t>
      </w:r>
    </w:p>
    <w:p>
      <w:pPr>
        <w:spacing w:after="0" w:line="252"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working capital, capital expenditures, acquisitions, debt service requirements, execution of our growth strategy and other purposes;</w:t>
      </w:r>
    </w:p>
    <w:p>
      <w:pPr>
        <w:sectPr>
          <w:pgSz w:w="11900" w:h="16894" w:orient="portrait"/>
          <w:cols w:equalWidth="0" w:num="1">
            <w:col w:w="11240"/>
          </w:cols>
          <w:pgMar w:left="320" w:top="121" w:right="339" w:bottom="0" w:gutter="0" w:footer="0" w:header="0"/>
        </w:sectPr>
      </w:pPr>
    </w:p>
    <w:bookmarkStart w:id="53" w:name="page54"/>
    <w:bookmarkEnd w:id="53"/>
    <w:p>
      <w:pPr>
        <w:jc w:val="both"/>
        <w:ind w:left="660" w:hanging="328"/>
        <w:spacing w:after="0" w:line="257" w:lineRule="auto"/>
        <w:tabs>
          <w:tab w:leader="none" w:pos="6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 interest on our debt and scheduled amortization on the 2022 Term Facility, which would reduce availability of our cash flow to fund working capital, capital expenditures, acquisitions, execution of our strategy and other general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adverse changes in general economic, industry and government regulations and in our business by limiting our flexibility in planning for, and making it more difficult for us to react quickly to, changing conditions;</w:t>
      </w: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with those of our competitors that have less debt;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because some of our borrowings are at variable rates of interest, which could result in higher interest expense in the event of increases in market interest rates.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 from our operations to repay our indebtedness when it becomes due and to meet our other cash needs. If we are not able to pay our debts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ability to generate revenues.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current indebtedness levels, we may still incur more debt. The incurrence of additional debt could further exacerbate the risks associated with our indebtedness.</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certain limitations, the 2022 Credit Agreement and the indenture governing the senior notes permit us and our subsidiaries to incur additional debt. If new debt is added to our or any such subsidiary’s current debt levels, the risks described above in the previous risk factor could intensify.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restrictive covenants in our debt may affect our ability to operate our business successfully.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2022 Credit Agreement contains, and our future debt instruments may contain, various provisions that limit our ability to, among other things: incur liens; incur additional indebtedness, guarantees or other contingent obligations; enter into sale and leaseback transactions; engage in mergers and consolidations; make investments and acquisitions; change the nature of our business; and make sales, transfers and other dispositions of property and assets. The indenture governing the senior notes also contains various provisions that limit our ability to, among other things: incur liens; enter into sale and leaseback transactions; engage in mergers and consolidations; and make sales, transfers and other dispositions of property and assets. These covenants could adversely affect our ability to finance our future operations or capital needs and pursue available business opportunities.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2022 Credit Agreement requires us to maintain specified financial ratios and satisfy certain financial condition tests. Events beyond our control, including changes in general economic and business conditions, may affect our ability to meet those financial ratios and financial condition tests. We cannot assure you that we will meet those tests or that the lenders will waive any failure to meet those tests. A breach of any of these covenants or any other restrictive covenants contained in the definitive documentation governing our indebtedness would result in a default or an event of default. If an event of default in respect of any of our indebtedness occurs, the holders of the affected indebtedness could declare all amounts outstanding, together with accrued interest, to be immediately due and payable, which, in turn, could cause the default and acceleration of the maturity of our other indebtedness. We expect we will be permitted to incur substantial amounts of secured debt under the covenants in the indenture governing the senior notes and the 2022 Credit Facilities. If, upon an acceleration, we were unable to pay amounts owed in respect of any such indebtedness secured by liens on our assets, then the lenders of such indebtedness could proceed against the collateral pledged to them.</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borrowings and other obligations are based upon variable rates of interest, which could result in higher expense in the event of increases in interest rates.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2022 Credit Agreement provides that (i) loans denominated in U.S. dollars, at our option, will bear interest at either one-month Term SOFR (with a 10 basis points credit spread adjustment and subject to a “zero” floor), Daily Simple SOFR (with a 10 basis points credit spread adjustment and subject to a “zero” floor) or an alternate base rate, (ii) loans denominated in Pounds Sterling will bear interest at Daily Simple Sterling Overnight Index Average ("SONIA") (subject to a “zero” floor) and (iii) loans denominated in Euros will bear interest at Euro Interbank Offered Rate ("EURIBOR") (subject to a “zero” floor), in each case, plus an applicable interest rate margin. An increase in the alternate base rate, Term SOFR, Daily Simple SOFR, SONIA or EURIBOR would increase our interest payment obligations under the 2022 Credit Facilities and could have a negative effect on our cash flow and financial condition.</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mitigate this exposure, on March 1, 2022, we entered into an interest rate swap agreement with a notional amount of $800.0 million to hedge the variable interest rate obligation on a portion of our outstanding balance under the 2022 Credit Agreement. However, as the interest rate swap agreement covers only a portion of our outstanding balance under the 2022 Credit Agreement, a substantial portion of our outstanding balance under the 2022 Credit Agreement continues to be exposed to interest rate volatility. An increase in the applicable rates would increase our interest payment obligations under the 2022 Credit Agreement and could have a negative effect on our cash flow and financial condition.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2(a) and (b) are not applicable as there have been no unregistered sales of equity securities.</w:t>
      </w:r>
    </w:p>
    <w:p>
      <w:pPr>
        <w:spacing w:after="0" w:line="185" w:lineRule="exact"/>
        <w:rPr>
          <w:sz w:val="20"/>
          <w:szCs w:val="20"/>
          <w:color w:val="auto"/>
        </w:rPr>
      </w:pPr>
    </w:p>
    <w:p>
      <w:pPr>
        <w:ind w:left="660" w:hanging="490"/>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 (in thousands, except share and per share data)</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month-to-month summary of the share repurchase activity during the three months ended February 28, 2022:</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0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Maximum Number of Shares (or</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9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Total Number of</w:t>
            </w:r>
          </w:p>
        </w:tc>
        <w:tc>
          <w:tcPr>
            <w:tcW w:w="380" w:type="dxa"/>
            <w:vAlign w:val="bottom"/>
          </w:tcPr>
          <w:p>
            <w:pPr>
              <w:spacing w:after="0"/>
              <w:rPr>
                <w:sz w:val="15"/>
                <w:szCs w:val="15"/>
                <w:color w:val="auto"/>
              </w:rPr>
            </w:pPr>
          </w:p>
        </w:tc>
        <w:tc>
          <w:tcPr>
            <w:tcW w:w="17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Average Price</w:t>
            </w:r>
          </w:p>
        </w:tc>
        <w:tc>
          <w:tcPr>
            <w:tcW w:w="2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Purchased as Part of Publicly</w:t>
            </w:r>
          </w:p>
        </w:tc>
        <w:tc>
          <w:tcPr>
            <w:tcW w:w="320" w:type="dxa"/>
            <w:vAlign w:val="bottom"/>
          </w:tcPr>
          <w:p>
            <w:pPr>
              <w:spacing w:after="0"/>
              <w:rPr>
                <w:sz w:val="15"/>
                <w:szCs w:val="15"/>
                <w:color w:val="auto"/>
              </w:rPr>
            </w:pPr>
          </w:p>
        </w:tc>
        <w:tc>
          <w:tcPr>
            <w:tcW w:w="23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8"/>
              </w:rPr>
              <w:t>Approximate Dollar Value)</w:t>
            </w:r>
          </w:p>
        </w:tc>
        <w:tc>
          <w:tcPr>
            <w:tcW w:w="0" w:type="dxa"/>
            <w:vAlign w:val="bottom"/>
          </w:tcPr>
          <w:p>
            <w:pPr>
              <w:spacing w:after="0"/>
              <w:rPr>
                <w:sz w:val="1"/>
                <w:szCs w:val="1"/>
                <w:color w:val="auto"/>
              </w:rPr>
            </w:pPr>
          </w:p>
        </w:tc>
      </w:tr>
      <w:tr>
        <w:trPr>
          <w:trHeight w:val="176"/>
        </w:trPr>
        <w:tc>
          <w:tcPr>
            <w:tcW w:w="200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Period</w:t>
            </w:r>
          </w:p>
        </w:tc>
        <w:tc>
          <w:tcPr>
            <w:tcW w:w="19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Announced Plans or</w:t>
            </w:r>
          </w:p>
        </w:tc>
        <w:tc>
          <w:tcPr>
            <w:tcW w:w="26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that May Yet be Purchased Under</w:t>
            </w:r>
          </w:p>
        </w:tc>
        <w:tc>
          <w:tcPr>
            <w:tcW w:w="0" w:type="dxa"/>
            <w:vAlign w:val="bottom"/>
          </w:tcPr>
          <w:p>
            <w:pPr>
              <w:spacing w:after="0"/>
              <w:rPr>
                <w:sz w:val="1"/>
                <w:szCs w:val="1"/>
                <w:color w:val="auto"/>
              </w:rPr>
            </w:pPr>
          </w:p>
        </w:tc>
      </w:tr>
      <w:tr>
        <w:trPr>
          <w:trHeight w:val="229"/>
        </w:trPr>
        <w:tc>
          <w:tcPr>
            <w:tcW w:w="200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Shares Purchased</w:t>
            </w:r>
            <w:r>
              <w:rPr>
                <w:rFonts w:ascii="Times New Roman" w:cs="Times New Roman" w:eastAsia="Times New Roman" w:hAnsi="Times New Roman"/>
                <w:sz w:val="9"/>
                <w:szCs w:val="9"/>
                <w:color w:val="auto"/>
              </w:rPr>
              <w:t>(1)</w:t>
            </w: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Paid per Share</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Programs</w:t>
            </w:r>
            <w:r>
              <w:rPr>
                <w:rFonts w:ascii="Times New Roman" w:cs="Times New Roman" w:eastAsia="Times New Roman" w:hAnsi="Times New Roman"/>
                <w:sz w:val="9"/>
                <w:szCs w:val="9"/>
                <w:color w:val="auto"/>
              </w:rPr>
              <w:t>(2)</w:t>
            </w:r>
          </w:p>
        </w:tc>
        <w:tc>
          <w:tcPr>
            <w:tcW w:w="268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the Plans or Programs (in US$)</w:t>
            </w:r>
            <w:r>
              <w:rPr>
                <w:rFonts w:ascii="Times New Roman" w:cs="Times New Roman" w:eastAsia="Times New Roman" w:hAnsi="Times New Roman"/>
                <w:sz w:val="9"/>
                <w:szCs w:val="9"/>
                <w:color w:val="auto"/>
                <w:w w:val="99"/>
              </w:rPr>
              <w:t>(2)</w:t>
            </w: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2021</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488.87</w:t>
            </w:r>
          </w:p>
        </w:tc>
        <w:tc>
          <w:tcPr>
            <w:tcW w:w="216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181,254</w:t>
            </w: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2022</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429.50</w:t>
            </w:r>
          </w:p>
        </w:tc>
        <w:tc>
          <w:tcPr>
            <w:tcW w:w="21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181,254</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2022</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421.33</w:t>
            </w:r>
          </w:p>
        </w:tc>
        <w:tc>
          <w:tcPr>
            <w:tcW w:w="2160" w:type="dxa"/>
            <w:vAlign w:val="bottom"/>
            <w:tcBorders>
              <w:bottom w:val="single" w:sz="8" w:color="auto"/>
            </w:tcBorders>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181,254</w:t>
            </w:r>
          </w:p>
        </w:tc>
        <w:tc>
          <w:tcPr>
            <w:tcW w:w="0" w:type="dxa"/>
            <w:vAlign w:val="bottom"/>
          </w:tcPr>
          <w:p>
            <w:pPr>
              <w:spacing w:after="0"/>
              <w:rPr>
                <w:sz w:val="1"/>
                <w:szCs w:val="1"/>
                <w:color w:val="auto"/>
              </w:rPr>
            </w:pPr>
          </w:p>
        </w:tc>
      </w:tr>
      <w:tr>
        <w:trPr>
          <w:trHeight w:val="228"/>
        </w:trPr>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1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675 shares repurchased to satisfy withholding tax obligations due upon the vesting of stock-based awards.</w:t>
      </w:r>
    </w:p>
    <w:p>
      <w:pPr>
        <w:spacing w:after="0" w:line="63" w:lineRule="exact"/>
        <w:rPr>
          <w:rFonts w:ascii="Times New Roman" w:cs="Times New Roman" w:eastAsia="Times New Roman" w:hAnsi="Times New Roman"/>
          <w:sz w:val="18"/>
          <w:szCs w:val="18"/>
          <w:i w:val="1"/>
          <w:iCs w:val="1"/>
          <w:color w:val="auto"/>
        </w:rPr>
      </w:pPr>
    </w:p>
    <w:p>
      <w:pPr>
        <w:jc w:val="both"/>
        <w:ind w:left="340" w:right="20" w:hanging="332"/>
        <w:spacing w:after="0" w:line="261" w:lineRule="auto"/>
        <w:tabs>
          <w:tab w:leader="none" w:pos="334"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Beginning in the second quarter of fiscal 2022, we suspended our share repurchase program through at least the second half of fiscal 2023, with the exception of potential minor repurchases to offset dilution from grants of equity awards or repurchases to satisfy withholding tax obligations due upon the vesting of stock-based awards. The suspension of our share repurchase program allows us to prioritize the repayment of debt under the 2022 Credit Agreement. Refer to Note 17, Subsequent Events for more information on the 2022 Credit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17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is set forth below.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60" w:type="dxa"/>
            <w:vAlign w:val="bottom"/>
          </w:tcPr>
          <w:p>
            <w:pPr>
              <w:spacing w:after="0"/>
              <w:rPr>
                <w:sz w:val="21"/>
                <w:szCs w:val="21"/>
                <w:color w:val="auto"/>
              </w:rPr>
            </w:pPr>
          </w:p>
        </w:tc>
        <w:tc>
          <w:tcPr>
            <w:tcW w:w="1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Exhibit Number</w:t>
            </w:r>
          </w:p>
        </w:tc>
        <w:tc>
          <w:tcPr>
            <w:tcW w:w="4620" w:type="dxa"/>
            <w:vAlign w:val="bottom"/>
            <w:gridSpan w:val="10"/>
          </w:tcPr>
          <w:p>
            <w:pPr>
              <w:ind w:left="1900"/>
              <w:spacing w:after="0"/>
              <w:rPr>
                <w:sz w:val="20"/>
                <w:szCs w:val="20"/>
                <w:color w:val="auto"/>
              </w:rPr>
            </w:pPr>
            <w:r>
              <w:rPr>
                <w:rFonts w:ascii="Times New Roman" w:cs="Times New Roman" w:eastAsia="Times New Roman" w:hAnsi="Times New Roman"/>
                <w:sz w:val="18"/>
                <w:szCs w:val="18"/>
                <w:color w:val="auto"/>
              </w:rPr>
              <w:t>Exhibit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Form</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No.</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No.</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Filing Date</w:t>
            </w: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20" w:type="dxa"/>
            <w:vAlign w:val="bottom"/>
            <w:gridSpan w:val="10"/>
          </w:tcPr>
          <w:p>
            <w:pPr>
              <w:ind w:left="1740"/>
              <w:spacing w:after="0"/>
              <w:rPr>
                <w:sz w:val="20"/>
                <w:szCs w:val="20"/>
                <w:color w:val="auto"/>
              </w:rPr>
            </w:pPr>
            <w:r>
              <w:rPr>
                <w:rFonts w:ascii="Times New Roman" w:cs="Times New Roman" w:eastAsia="Times New Roman" w:hAnsi="Times New Roman"/>
                <w:sz w:val="18"/>
                <w:szCs w:val="18"/>
                <w:color w:val="auto"/>
              </w:rPr>
              <w:t>Description</w:t>
            </w: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940" w:type="dxa"/>
            <w:vAlign w:val="bottom"/>
            <w:gridSpan w:val="11"/>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Underwriting Agreement, dated February 15, 2022, among FactSet</w:t>
              </w:r>
            </w:hyperlink>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80" w:type="dxa"/>
            <w:vAlign w:val="bottom"/>
            <w:tcBorders>
              <w:right w:val="single" w:sz="8" w:color="auto"/>
            </w:tcBorders>
            <w:gridSpan w:val="3"/>
            <w:vMerge w:val="restart"/>
          </w:tcPr>
          <w:p>
            <w:pPr>
              <w:jc w:val="right"/>
              <w:ind w:right="100"/>
              <w:spacing w:after="0" w:line="182"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1.</w:t>
              </w:r>
              <w:r>
                <w:rPr>
                  <w:rFonts w:ascii="Times New Roman" w:cs="Times New Roman" w:eastAsia="Times New Roman" w:hAnsi="Times New Roman"/>
                  <w:sz w:val="18"/>
                  <w:szCs w:val="18"/>
                  <w:u w:val="single" w:color="auto"/>
                  <w:color w:val="0000FF"/>
                </w:rPr>
                <w:t>1</w:t>
              </w:r>
            </w:hyperlink>
          </w:p>
        </w:tc>
        <w:tc>
          <w:tcPr>
            <w:tcW w:w="9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18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Research Systems Inc. and BofA Securities, Inc. and PNC</w:t>
              </w:r>
            </w:hyperlink>
          </w:p>
        </w:tc>
        <w:tc>
          <w:tcPr>
            <w:tcW w:w="220" w:type="dxa"/>
            <w:vAlign w:val="bottom"/>
            <w:tcBorders>
              <w:top w:val="single" w:sz="8" w:color="0000FF"/>
              <w:bottom w:val="single" w:sz="8" w:color="0000FF"/>
            </w:tcBorders>
          </w:tcPr>
          <w:p>
            <w:pPr>
              <w:spacing w:after="0"/>
              <w:rPr>
                <w:sz w:val="13"/>
                <w:szCs w:val="13"/>
                <w:color w:val="auto"/>
              </w:rPr>
            </w:pPr>
          </w:p>
        </w:tc>
        <w:tc>
          <w:tcPr>
            <w:tcW w:w="100" w:type="dxa"/>
            <w:vAlign w:val="bottom"/>
            <w:tcBorders>
              <w:top w:val="single" w:sz="8" w:color="0000FF"/>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vMerge w:val="restart"/>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001-11869</w:t>
            </w:r>
          </w:p>
        </w:tc>
        <w:tc>
          <w:tcPr>
            <w:tcW w:w="980" w:type="dxa"/>
            <w:vAlign w:val="bottom"/>
            <w:vMerge w:val="restart"/>
          </w:tcPr>
          <w:p>
            <w:pPr>
              <w:jc w:val="center"/>
              <w:spacing w:after="0" w:line="182" w:lineRule="exact"/>
              <w:rPr>
                <w:sz w:val="20"/>
                <w:szCs w:val="20"/>
                <w:color w:val="auto"/>
              </w:rPr>
            </w:pPr>
            <w:r>
              <w:rPr>
                <w:rFonts w:ascii="Times New Roman" w:cs="Times New Roman" w:eastAsia="Times New Roman" w:hAnsi="Times New Roman"/>
                <w:sz w:val="18"/>
                <w:szCs w:val="18"/>
                <w:color w:val="auto"/>
              </w:rPr>
              <w:t>1.1</w:t>
            </w:r>
          </w:p>
        </w:tc>
        <w:tc>
          <w:tcPr>
            <w:tcW w:w="1000" w:type="dxa"/>
            <w:vAlign w:val="bottom"/>
            <w:vMerge w:val="restart"/>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2/17/2022</w:t>
            </w:r>
          </w:p>
        </w:tc>
        <w:tc>
          <w:tcPr>
            <w:tcW w:w="1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Borders>
              <w:right w:val="single" w:sz="8" w:color="auto"/>
            </w:tcBorders>
            <w:gridSpan w:val="3"/>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20" w:type="dxa"/>
            <w:vAlign w:val="bottom"/>
            <w:gridSpan w:val="10"/>
            <w:vMerge w:val="restart"/>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Capital Markets LLC as representatives of the several</w:t>
              </w:r>
            </w:hyperlink>
          </w:p>
        </w:tc>
        <w:tc>
          <w:tcPr>
            <w:tcW w:w="6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20" w:type="dxa"/>
            <w:vAlign w:val="bottom"/>
            <w:gridSpan w:val="10"/>
            <w:vMerge w:val="continue"/>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6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underwriters listed therein.</w:t>
              </w:r>
            </w:hyperlink>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20" w:type="dxa"/>
            <w:vAlign w:val="bottom"/>
            <w:tcBorders>
              <w:top w:val="single" w:sz="8" w:color="0000FF"/>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80" w:type="dxa"/>
            <w:vAlign w:val="bottom"/>
            <w:tcBorders>
              <w:right w:val="single" w:sz="8" w:color="auto"/>
            </w:tcBorders>
            <w:gridSpan w:val="3"/>
            <w:vMerge w:val="restart"/>
          </w:tcPr>
          <w:p>
            <w:pPr>
              <w:jc w:val="right"/>
              <w:ind w:right="100"/>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920" w:type="dxa"/>
            <w:vAlign w:val="bottom"/>
          </w:tcPr>
          <w:p>
            <w:pPr>
              <w:spacing w:after="0"/>
              <w:rPr>
                <w:sz w:val="15"/>
                <w:szCs w:val="15"/>
                <w:color w:val="auto"/>
              </w:rPr>
            </w:pPr>
          </w:p>
        </w:tc>
        <w:tc>
          <w:tcPr>
            <w:tcW w:w="4840" w:type="dxa"/>
            <w:vAlign w:val="bottom"/>
            <w:tcBorders>
              <w:bottom w:val="single" w:sz="8" w:color="0000FF"/>
            </w:tcBorders>
            <w:gridSpan w:val="10"/>
          </w:tcPr>
          <w:p>
            <w:pPr>
              <w:spacing w:after="0" w:line="182"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Asset Purchase Agreement, dated as of December 24, 2021, by and</w:t>
              </w:r>
            </w:hyperlink>
          </w:p>
        </w:tc>
        <w:tc>
          <w:tcPr>
            <w:tcW w:w="10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001-11869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1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80" w:type="dxa"/>
            <w:vAlign w:val="bottom"/>
            <w:tcBorders>
              <w:right w:val="single" w:sz="8" w:color="auto"/>
            </w:tcBorders>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20" w:type="dxa"/>
            <w:vAlign w:val="bottom"/>
            <w:gridSpan w:val="10"/>
            <w:vMerge w:val="restart"/>
          </w:tcPr>
          <w:p>
            <w:pPr>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between S&amp;P Global Inc. and FactSet Research Systems Inc.</w:t>
              </w:r>
            </w:hyperlink>
          </w:p>
        </w:tc>
        <w:tc>
          <w:tcPr>
            <w:tcW w:w="6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36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20" w:type="dxa"/>
            <w:vAlign w:val="bottom"/>
            <w:gridSpan w:val="10"/>
            <w:vMerge w:val="continue"/>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6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680" w:type="dxa"/>
            <w:vAlign w:val="bottom"/>
            <w:tcBorders>
              <w:right w:val="single" w:sz="8" w:color="auto"/>
            </w:tcBorders>
            <w:gridSpan w:val="3"/>
            <w:vMerge w:val="restart"/>
          </w:tcPr>
          <w:p>
            <w:pPr>
              <w:jc w:val="right"/>
              <w:ind w:right="100"/>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hyperlink>
          </w:p>
        </w:tc>
        <w:tc>
          <w:tcPr>
            <w:tcW w:w="920" w:type="dxa"/>
            <w:vAlign w:val="bottom"/>
          </w:tcPr>
          <w:p>
            <w:pPr>
              <w:spacing w:after="0"/>
              <w:rPr>
                <w:sz w:val="24"/>
                <w:szCs w:val="24"/>
                <w:color w:val="auto"/>
              </w:rPr>
            </w:pPr>
          </w:p>
        </w:tc>
        <w:tc>
          <w:tcPr>
            <w:tcW w:w="4940" w:type="dxa"/>
            <w:vAlign w:val="bottom"/>
            <w:gridSpan w:val="11"/>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Amendment No. 1 to Asset Purchase Agreement, dated as of</w:t>
              </w:r>
            </w:hyperlink>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001-11869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Borders>
              <w:right w:val="single" w:sz="8" w:color="auto"/>
            </w:tcBorders>
            <w:gridSpan w:val="3"/>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680" w:type="dxa"/>
            <w:vAlign w:val="bottom"/>
            <w:tcBorders>
              <w:right w:val="single" w:sz="8" w:color="auto"/>
            </w:tcBorders>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20" w:type="dxa"/>
            <w:vAlign w:val="bottom"/>
            <w:gridSpan w:val="10"/>
            <w:vMerge w:val="restart"/>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February 11, 2022, by and between S&amp;P Global Inc. and</w:t>
              </w:r>
            </w:hyperlink>
          </w:p>
        </w:tc>
        <w:tc>
          <w:tcPr>
            <w:tcW w:w="6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36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20" w:type="dxa"/>
            <w:vAlign w:val="bottom"/>
            <w:gridSpan w:val="10"/>
            <w:vMerge w:val="continue"/>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8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FactSet Research Systems Inc.</w:t>
              </w:r>
            </w:hyperlink>
          </w:p>
        </w:tc>
        <w:tc>
          <w:tcPr>
            <w:tcW w:w="540" w:type="dxa"/>
            <w:vAlign w:val="bottom"/>
            <w:gridSpan w:val="5"/>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3"/>
          </w:tcPr>
          <w:p>
            <w:pPr>
              <w:ind w:left="362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5" w:name="page56"/>
    <w:bookmarkEnd w:id="55"/>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378"/>
        </w:trPr>
        <w:tc>
          <w:tcPr>
            <w:tcW w:w="320" w:type="dxa"/>
            <w:vAlign w:val="bottom"/>
            <w:tcBorders>
              <w:right w:val="single" w:sz="8" w:color="auto"/>
            </w:tcBorders>
            <w:gridSpan w:val="2"/>
            <w:vMerge w:val="restart"/>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900" w:type="dxa"/>
            <w:vAlign w:val="bottom"/>
            <w:tcBorders>
              <w:top w:val="single" w:sz="8" w:color="auto"/>
            </w:tcBorders>
          </w:tcPr>
          <w:p>
            <w:pPr>
              <w:spacing w:after="0"/>
              <w:rPr>
                <w:sz w:val="24"/>
                <w:szCs w:val="24"/>
                <w:color w:val="auto"/>
              </w:rPr>
            </w:pPr>
          </w:p>
        </w:tc>
        <w:tc>
          <w:tcPr>
            <w:tcW w:w="5040" w:type="dxa"/>
            <w:vAlign w:val="bottom"/>
            <w:tcBorders>
              <w:top w:val="single" w:sz="8" w:color="auto"/>
            </w:tcBorders>
            <w:gridSpan w:val="13"/>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Indenture, dated as of March 1, 2022, between FactSet Research</w:t>
              </w:r>
            </w:hyperlink>
          </w:p>
        </w:tc>
        <w:tc>
          <w:tcPr>
            <w:tcW w:w="5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001-11869</w:t>
            </w:r>
          </w:p>
        </w:tc>
        <w:tc>
          <w:tcPr>
            <w:tcW w:w="72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4.1</w:t>
            </w:r>
          </w:p>
        </w:tc>
        <w:tc>
          <w:tcPr>
            <w:tcW w:w="22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3/1/2022</w:t>
            </w:r>
          </w:p>
        </w:tc>
        <w:tc>
          <w:tcPr>
            <w:tcW w:w="0" w:type="dxa"/>
            <w:vAlign w:val="bottom"/>
          </w:tcPr>
          <w:p>
            <w:pPr>
              <w:spacing w:after="0"/>
              <w:rPr>
                <w:sz w:val="1"/>
                <w:szCs w:val="1"/>
                <w:color w:val="auto"/>
              </w:rPr>
            </w:pPr>
          </w:p>
        </w:tc>
      </w:tr>
      <w:tr>
        <w:trPr>
          <w:trHeight w:val="61"/>
        </w:trPr>
        <w:tc>
          <w:tcPr>
            <w:tcW w:w="320" w:type="dxa"/>
            <w:vAlign w:val="bottom"/>
            <w:tcBorders>
              <w:right w:val="single" w:sz="8" w:color="auto"/>
            </w:tcBorders>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4300" w:type="dxa"/>
            <w:vAlign w:val="bottom"/>
            <w:tcBorders>
              <w:top w:val="single" w:sz="8" w:color="0000FF"/>
            </w:tcBorders>
            <w:gridSpan w:val="8"/>
            <w:vMerge w:val="restart"/>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Systems Inc. and U.S. Bank Trust Company, National</w:t>
              </w:r>
            </w:hyperlink>
          </w:p>
        </w:tc>
        <w:tc>
          <w:tcPr>
            <w:tcW w:w="400" w:type="dxa"/>
            <w:vAlign w:val="bottom"/>
            <w:gridSpan w:val="4"/>
            <w:vMerge w:val="restart"/>
          </w:tcPr>
          <w:p>
            <w:pPr>
              <w:spacing w:after="0"/>
              <w:rPr>
                <w:sz w:val="5"/>
                <w:szCs w:val="5"/>
                <w:color w:val="auto"/>
              </w:rPr>
            </w:pPr>
          </w:p>
        </w:tc>
        <w:tc>
          <w:tcPr>
            <w:tcW w:w="520" w:type="dxa"/>
            <w:vAlign w:val="bottom"/>
            <w:tcBorders>
              <w:top w:val="single" w:sz="8" w:color="auto"/>
            </w:tcBorders>
            <w:vMerge w:val="continue"/>
          </w:tcPr>
          <w:p>
            <w:pPr>
              <w:spacing w:after="0"/>
              <w:rPr>
                <w:sz w:val="5"/>
                <w:szCs w:val="5"/>
                <w:color w:val="auto"/>
              </w:rPr>
            </w:pPr>
          </w:p>
        </w:tc>
        <w:tc>
          <w:tcPr>
            <w:tcW w:w="1200" w:type="dxa"/>
            <w:vAlign w:val="bottom"/>
            <w:tcBorders>
              <w:top w:val="single" w:sz="8" w:color="auto"/>
            </w:tcBorders>
            <w:vMerge w:val="continue"/>
          </w:tcPr>
          <w:p>
            <w:pPr>
              <w:spacing w:after="0"/>
              <w:rPr>
                <w:sz w:val="5"/>
                <w:szCs w:val="5"/>
                <w:color w:val="auto"/>
              </w:rPr>
            </w:pPr>
          </w:p>
        </w:tc>
        <w:tc>
          <w:tcPr>
            <w:tcW w:w="720" w:type="dxa"/>
            <w:vAlign w:val="bottom"/>
            <w:tcBorders>
              <w:top w:val="single" w:sz="8" w:color="auto"/>
            </w:tcBorders>
            <w:vMerge w:val="continue"/>
          </w:tcPr>
          <w:p>
            <w:pPr>
              <w:spacing w:after="0"/>
              <w:rPr>
                <w:sz w:val="5"/>
                <w:szCs w:val="5"/>
                <w:color w:val="auto"/>
              </w:rPr>
            </w:pPr>
          </w:p>
        </w:tc>
        <w:tc>
          <w:tcPr>
            <w:tcW w:w="2200" w:type="dxa"/>
            <w:vAlign w:val="bottom"/>
            <w:tcBorders>
              <w:top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20" w:type="dxa"/>
            <w:vAlign w:val="bottom"/>
            <w:tcBorders>
              <w:top w:val="single" w:sz="8" w:color="0000FF"/>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300" w:type="dxa"/>
            <w:vAlign w:val="bottom"/>
            <w:tcBorders>
              <w:top w:val="single" w:sz="8" w:color="0000FF"/>
            </w:tcBorders>
            <w:gridSpan w:val="8"/>
            <w:vMerge w:val="continue"/>
          </w:tcPr>
          <w:p>
            <w:pPr>
              <w:spacing w:after="0"/>
              <w:rPr>
                <w:sz w:val="6"/>
                <w:szCs w:val="6"/>
                <w:color w:val="auto"/>
              </w:rPr>
            </w:pPr>
          </w:p>
        </w:tc>
        <w:tc>
          <w:tcPr>
            <w:tcW w:w="400" w:type="dxa"/>
            <w:vAlign w:val="bottom"/>
            <w:gridSpan w:val="4"/>
            <w:vMerge w:val="continue"/>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6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Association, as trustee</w:t>
              </w:r>
            </w:hyperlink>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20" w:type="dxa"/>
            <w:vAlign w:val="bottom"/>
            <w:tcBorders>
              <w:right w:val="single" w:sz="8" w:color="auto"/>
            </w:tcBorders>
            <w:gridSpan w:val="2"/>
            <w:vMerge w:val="restart"/>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900" w:type="dxa"/>
            <w:vAlign w:val="bottom"/>
          </w:tcPr>
          <w:p>
            <w:pPr>
              <w:spacing w:after="0"/>
              <w:rPr>
                <w:sz w:val="24"/>
                <w:szCs w:val="24"/>
                <w:color w:val="auto"/>
              </w:rPr>
            </w:pPr>
          </w:p>
        </w:tc>
        <w:tc>
          <w:tcPr>
            <w:tcW w:w="49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Supplemental Indenture, dated as of March 1, 2022, between FactSet</w:t>
              </w:r>
            </w:hyperlink>
          </w:p>
        </w:tc>
        <w:tc>
          <w:tcPr>
            <w:tcW w:w="60" w:type="dxa"/>
            <w:vAlign w:val="bottom"/>
            <w:vMerge w:val="restart"/>
          </w:tcPr>
          <w:p>
            <w:pPr>
              <w:spacing w:after="0"/>
              <w:rPr>
                <w:sz w:val="24"/>
                <w:szCs w:val="24"/>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001-11869</w:t>
            </w: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4.2</w:t>
            </w:r>
          </w:p>
        </w:tc>
        <w:tc>
          <w:tcPr>
            <w:tcW w:w="220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3/1/2022</w:t>
            </w:r>
          </w:p>
        </w:tc>
        <w:tc>
          <w:tcPr>
            <w:tcW w:w="0" w:type="dxa"/>
            <w:vAlign w:val="bottom"/>
          </w:tcPr>
          <w:p>
            <w:pPr>
              <w:spacing w:after="0"/>
              <w:rPr>
                <w:sz w:val="1"/>
                <w:szCs w:val="1"/>
                <w:color w:val="auto"/>
              </w:rPr>
            </w:pPr>
          </w:p>
        </w:tc>
      </w:tr>
      <w:tr>
        <w:trPr>
          <w:trHeight w:val="54"/>
        </w:trPr>
        <w:tc>
          <w:tcPr>
            <w:tcW w:w="320" w:type="dxa"/>
            <w:vAlign w:val="bottom"/>
            <w:tcBorders>
              <w:right w:val="single" w:sz="8" w:color="auto"/>
            </w:tcBorders>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660" w:type="dxa"/>
            <w:vAlign w:val="bottom"/>
            <w:gridSpan w:val="2"/>
          </w:tcPr>
          <w:p>
            <w:pPr>
              <w:spacing w:after="0"/>
              <w:rPr>
                <w:sz w:val="4"/>
                <w:szCs w:val="4"/>
                <w:color w:val="auto"/>
              </w:rPr>
            </w:pPr>
          </w:p>
        </w:tc>
        <w:tc>
          <w:tcPr>
            <w:tcW w:w="1640" w:type="dxa"/>
            <w:vAlign w:val="bottom"/>
            <w:gridSpan w:val="2"/>
          </w:tcPr>
          <w:p>
            <w:pPr>
              <w:spacing w:after="0"/>
              <w:rPr>
                <w:sz w:val="4"/>
                <w:szCs w:val="4"/>
                <w:color w:val="auto"/>
              </w:rPr>
            </w:pPr>
          </w:p>
        </w:tc>
        <w:tc>
          <w:tcPr>
            <w:tcW w:w="1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22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20" w:type="dxa"/>
            <w:vAlign w:val="bottom"/>
            <w:tcBorders>
              <w:top w:val="single" w:sz="8" w:color="0000FF"/>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700" w:type="dxa"/>
            <w:vAlign w:val="bottom"/>
            <w:gridSpan w:val="12"/>
          </w:tcPr>
          <w:p>
            <w:pPr>
              <w:spacing w:after="0" w:line="81" w:lineRule="exact"/>
              <w:rPr>
                <w:rFonts w:ascii="Times New Roman" w:cs="Times New Roman" w:eastAsia="Times New Roman" w:hAnsi="Times New Roman"/>
                <w:sz w:val="9"/>
                <w:szCs w:val="9"/>
                <w:color w:val="0000FF"/>
              </w:rPr>
            </w:pPr>
            <w:hyperlink r:id="rId69">
              <w:r>
                <w:rPr>
                  <w:rFonts w:ascii="Times New Roman" w:cs="Times New Roman" w:eastAsia="Times New Roman" w:hAnsi="Times New Roman"/>
                  <w:sz w:val="9"/>
                  <w:szCs w:val="9"/>
                  <w:color w:val="0000FF"/>
                </w:rPr>
                <w:t>Research Systems Inc. and U.S. Bank Trust Company, National</w:t>
              </w:r>
            </w:hyperlink>
          </w:p>
        </w:tc>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5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Association, as trustee</w:t>
              </w:r>
            </w:hyperlink>
          </w:p>
        </w:tc>
        <w:tc>
          <w:tcPr>
            <w:tcW w:w="12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20" w:type="dxa"/>
            <w:vAlign w:val="bottom"/>
            <w:tcBorders>
              <w:right w:val="single" w:sz="8" w:color="auto"/>
            </w:tcBorders>
            <w:gridSpan w:val="2"/>
            <w:vMerge w:val="restart"/>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900" w:type="dxa"/>
            <w:vAlign w:val="bottom"/>
          </w:tcPr>
          <w:p>
            <w:pPr>
              <w:spacing w:after="0"/>
              <w:rPr>
                <w:sz w:val="15"/>
                <w:szCs w:val="15"/>
                <w:color w:val="auto"/>
              </w:rPr>
            </w:pPr>
          </w:p>
        </w:tc>
        <w:tc>
          <w:tcPr>
            <w:tcW w:w="5040" w:type="dxa"/>
            <w:vAlign w:val="bottom"/>
            <w:gridSpan w:val="13"/>
          </w:tcPr>
          <w:p>
            <w:pPr>
              <w:spacing w:after="0" w:line="182"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Form of 2.900% Global Note due 2027 (included in Exhibit A-1 to</w:t>
              </w:r>
            </w:hyperlink>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001-11869</w:t>
            </w: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4.3</w:t>
            </w:r>
          </w:p>
        </w:tc>
        <w:tc>
          <w:tcPr>
            <w:tcW w:w="220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3/1/2022</w:t>
            </w:r>
          </w:p>
        </w:tc>
        <w:tc>
          <w:tcPr>
            <w:tcW w:w="0" w:type="dxa"/>
            <w:vAlign w:val="bottom"/>
          </w:tcPr>
          <w:p>
            <w:pPr>
              <w:spacing w:after="0"/>
              <w:rPr>
                <w:sz w:val="1"/>
                <w:szCs w:val="1"/>
                <w:color w:val="auto"/>
              </w:rPr>
            </w:pPr>
          </w:p>
        </w:tc>
      </w:tr>
      <w:tr>
        <w:trPr>
          <w:trHeight w:val="61"/>
        </w:trPr>
        <w:tc>
          <w:tcPr>
            <w:tcW w:w="320" w:type="dxa"/>
            <w:vAlign w:val="bottom"/>
            <w:tcBorders>
              <w:right w:val="single" w:sz="8" w:color="auto"/>
            </w:tcBorders>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4480" w:type="dxa"/>
            <w:vAlign w:val="bottom"/>
            <w:tcBorders>
              <w:top w:val="single" w:sz="8" w:color="0000FF"/>
            </w:tcBorders>
            <w:gridSpan w:val="9"/>
            <w:vMerge w:val="restart"/>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Exhibit 4.2 above)</w:t>
              </w:r>
            </w:hyperlink>
          </w:p>
        </w:tc>
        <w:tc>
          <w:tcPr>
            <w:tcW w:w="220" w:type="dxa"/>
            <w:vAlign w:val="bottom"/>
            <w:gridSpan w:val="3"/>
            <w:vMerge w:val="restart"/>
          </w:tcPr>
          <w:p>
            <w:pPr>
              <w:spacing w:after="0"/>
              <w:rPr>
                <w:sz w:val="5"/>
                <w:szCs w:val="5"/>
                <w:color w:val="auto"/>
              </w:rPr>
            </w:pPr>
          </w:p>
        </w:tc>
        <w:tc>
          <w:tcPr>
            <w:tcW w:w="52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20" w:type="dxa"/>
            <w:vAlign w:val="bottom"/>
            <w:tcBorders>
              <w:top w:val="single" w:sz="8" w:color="0000FF"/>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80" w:type="dxa"/>
            <w:vAlign w:val="bottom"/>
            <w:tcBorders>
              <w:top w:val="single" w:sz="8" w:color="0000FF"/>
            </w:tcBorders>
            <w:gridSpan w:val="9"/>
            <w:vMerge w:val="continue"/>
          </w:tcPr>
          <w:p>
            <w:pPr>
              <w:spacing w:after="0"/>
              <w:rPr>
                <w:sz w:val="6"/>
                <w:szCs w:val="6"/>
                <w:color w:val="auto"/>
              </w:rPr>
            </w:pPr>
          </w:p>
        </w:tc>
        <w:tc>
          <w:tcPr>
            <w:tcW w:w="22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20" w:type="dxa"/>
            <w:vAlign w:val="bottom"/>
            <w:tcBorders>
              <w:right w:val="single" w:sz="8" w:color="auto"/>
            </w:tcBorders>
            <w:gridSpan w:val="2"/>
            <w:vMerge w:val="restart"/>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hyperlink>
          </w:p>
        </w:tc>
        <w:tc>
          <w:tcPr>
            <w:tcW w:w="900" w:type="dxa"/>
            <w:vAlign w:val="bottom"/>
          </w:tcPr>
          <w:p>
            <w:pPr>
              <w:spacing w:after="0"/>
              <w:rPr>
                <w:sz w:val="15"/>
                <w:szCs w:val="15"/>
                <w:color w:val="auto"/>
              </w:rPr>
            </w:pPr>
          </w:p>
        </w:tc>
        <w:tc>
          <w:tcPr>
            <w:tcW w:w="5040" w:type="dxa"/>
            <w:vAlign w:val="bottom"/>
            <w:gridSpan w:val="13"/>
          </w:tcPr>
          <w:p>
            <w:pPr>
              <w:spacing w:after="0" w:line="182"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Form of 3.450% Global Note due 2032 (included in Exhibit A-2 to</w:t>
              </w:r>
            </w:hyperlink>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001-11869</w:t>
            </w: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4.4</w:t>
            </w:r>
          </w:p>
        </w:tc>
        <w:tc>
          <w:tcPr>
            <w:tcW w:w="220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3/1/2022</w:t>
            </w:r>
          </w:p>
        </w:tc>
        <w:tc>
          <w:tcPr>
            <w:tcW w:w="0" w:type="dxa"/>
            <w:vAlign w:val="bottom"/>
          </w:tcPr>
          <w:p>
            <w:pPr>
              <w:spacing w:after="0"/>
              <w:rPr>
                <w:sz w:val="1"/>
                <w:szCs w:val="1"/>
                <w:color w:val="auto"/>
              </w:rPr>
            </w:pPr>
          </w:p>
        </w:tc>
      </w:tr>
      <w:tr>
        <w:trPr>
          <w:trHeight w:val="61"/>
        </w:trPr>
        <w:tc>
          <w:tcPr>
            <w:tcW w:w="320" w:type="dxa"/>
            <w:vAlign w:val="bottom"/>
            <w:tcBorders>
              <w:right w:val="single" w:sz="8" w:color="auto"/>
            </w:tcBorders>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4480" w:type="dxa"/>
            <w:vAlign w:val="bottom"/>
            <w:tcBorders>
              <w:top w:val="single" w:sz="8" w:color="0000FF"/>
            </w:tcBorders>
            <w:gridSpan w:val="9"/>
            <w:vMerge w:val="restart"/>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Exhibit 4.2 above)</w:t>
              </w:r>
            </w:hyperlink>
          </w:p>
        </w:tc>
        <w:tc>
          <w:tcPr>
            <w:tcW w:w="220" w:type="dxa"/>
            <w:vAlign w:val="bottom"/>
            <w:gridSpan w:val="3"/>
            <w:vMerge w:val="restart"/>
          </w:tcPr>
          <w:p>
            <w:pPr>
              <w:spacing w:after="0"/>
              <w:rPr>
                <w:sz w:val="5"/>
                <w:szCs w:val="5"/>
                <w:color w:val="auto"/>
              </w:rPr>
            </w:pPr>
          </w:p>
        </w:tc>
        <w:tc>
          <w:tcPr>
            <w:tcW w:w="52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20" w:type="dxa"/>
            <w:vAlign w:val="bottom"/>
            <w:tcBorders>
              <w:top w:val="single" w:sz="8" w:color="0000FF"/>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80" w:type="dxa"/>
            <w:vAlign w:val="bottom"/>
            <w:tcBorders>
              <w:top w:val="single" w:sz="8" w:color="0000FF"/>
            </w:tcBorders>
            <w:gridSpan w:val="9"/>
            <w:vMerge w:val="continue"/>
          </w:tcPr>
          <w:p>
            <w:pPr>
              <w:spacing w:after="0"/>
              <w:rPr>
                <w:sz w:val="6"/>
                <w:szCs w:val="6"/>
                <w:color w:val="auto"/>
              </w:rPr>
            </w:pPr>
          </w:p>
        </w:tc>
        <w:tc>
          <w:tcPr>
            <w:tcW w:w="22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20" w:type="dxa"/>
            <w:vAlign w:val="bottom"/>
            <w:tcBorders>
              <w:right w:val="single" w:sz="8" w:color="auto"/>
            </w:tcBorders>
            <w:gridSpan w:val="2"/>
            <w:vMerge w:val="restart"/>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w:t>
              </w:r>
            </w:hyperlink>
          </w:p>
        </w:tc>
        <w:tc>
          <w:tcPr>
            <w:tcW w:w="900" w:type="dxa"/>
            <w:vAlign w:val="bottom"/>
          </w:tcPr>
          <w:p>
            <w:pPr>
              <w:spacing w:after="0"/>
              <w:rPr>
                <w:sz w:val="24"/>
                <w:szCs w:val="24"/>
                <w:color w:val="auto"/>
              </w:rPr>
            </w:pPr>
          </w:p>
        </w:tc>
        <w:tc>
          <w:tcPr>
            <w:tcW w:w="5040" w:type="dxa"/>
            <w:vAlign w:val="bottom"/>
            <w:gridSpan w:val="13"/>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Credit Agreement dated as of March 1, 2022, among FactSet</w:t>
              </w:r>
            </w:hyperlink>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001-11869</w:t>
            </w: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4.5</w:t>
            </w:r>
          </w:p>
        </w:tc>
        <w:tc>
          <w:tcPr>
            <w:tcW w:w="220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3/1/2022</w:t>
            </w:r>
          </w:p>
        </w:tc>
        <w:tc>
          <w:tcPr>
            <w:tcW w:w="0" w:type="dxa"/>
            <w:vAlign w:val="bottom"/>
          </w:tcPr>
          <w:p>
            <w:pPr>
              <w:spacing w:after="0"/>
              <w:rPr>
                <w:sz w:val="1"/>
                <w:szCs w:val="1"/>
                <w:color w:val="auto"/>
              </w:rPr>
            </w:pPr>
          </w:p>
        </w:tc>
      </w:tr>
      <w:tr>
        <w:trPr>
          <w:trHeight w:val="142"/>
        </w:trPr>
        <w:tc>
          <w:tcPr>
            <w:tcW w:w="320" w:type="dxa"/>
            <w:vAlign w:val="bottom"/>
            <w:tcBorders>
              <w:right w:val="single" w:sz="8" w:color="auto"/>
            </w:tcBorders>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4060" w:type="dxa"/>
            <w:vAlign w:val="bottom"/>
            <w:tcBorders>
              <w:top w:val="single" w:sz="8" w:color="0000FF"/>
            </w:tcBorders>
            <w:gridSpan w:val="5"/>
          </w:tcPr>
          <w:p>
            <w:pPr>
              <w:spacing w:after="0" w:line="129" w:lineRule="exact"/>
              <w:rPr>
                <w:rFonts w:ascii="Times New Roman" w:cs="Times New Roman" w:eastAsia="Times New Roman" w:hAnsi="Times New Roman"/>
                <w:sz w:val="13"/>
                <w:szCs w:val="13"/>
                <w:color w:val="0000FF"/>
              </w:rPr>
            </w:pPr>
            <w:hyperlink r:id="rId70">
              <w:r>
                <w:rPr>
                  <w:rFonts w:ascii="Times New Roman" w:cs="Times New Roman" w:eastAsia="Times New Roman" w:hAnsi="Times New Roman"/>
                  <w:sz w:val="13"/>
                  <w:szCs w:val="13"/>
                  <w:color w:val="0000FF"/>
                </w:rPr>
                <w:t>Research Systems Inc., the Borrowing Subsidiaries party</w:t>
              </w:r>
            </w:hyperlink>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5"/>
          </w:tcPr>
          <w:p>
            <w:pPr>
              <w:spacing w:after="0"/>
              <w:rPr>
                <w:sz w:val="12"/>
                <w:szCs w:val="12"/>
                <w:color w:val="auto"/>
              </w:rPr>
            </w:pPr>
          </w:p>
        </w:tc>
        <w:tc>
          <w:tcPr>
            <w:tcW w:w="52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2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0" w:type="dxa"/>
            <w:vAlign w:val="bottom"/>
            <w:shd w:val="clear" w:color="auto" w:fill="0000FF"/>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960" w:type="dxa"/>
            <w:vAlign w:val="bottom"/>
            <w:gridSpan w:val="3"/>
            <w:shd w:val="clear" w:color="auto" w:fill="0000FF"/>
          </w:tcPr>
          <w:p>
            <w:pPr>
              <w:spacing w:after="0"/>
              <w:rPr>
                <w:sz w:val="2"/>
                <w:szCs w:val="2"/>
                <w:color w:val="auto"/>
              </w:rPr>
            </w:pPr>
          </w:p>
        </w:tc>
        <w:tc>
          <w:tcPr>
            <w:tcW w:w="1120" w:type="dxa"/>
            <w:vAlign w:val="bottom"/>
            <w:gridSpan w:val="3"/>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5"/>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00" w:type="dxa"/>
            <w:vAlign w:val="bottom"/>
            <w:gridSpan w:val="12"/>
          </w:tcPr>
          <w:p>
            <w:pPr>
              <w:spacing w:after="0" w:line="162"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thereto, the Lenders party thereto, and PNC Bank, National</w:t>
              </w:r>
            </w:hyperlink>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6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Association, as the Administrative Agent</w:t>
              </w:r>
            </w:hyperlink>
          </w:p>
        </w:tc>
        <w:tc>
          <w:tcPr>
            <w:tcW w:w="440" w:type="dxa"/>
            <w:vAlign w:val="bottom"/>
            <w:gridSpan w:val="5"/>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5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Rule 13a-</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 w:type="dxa"/>
            <w:vAlign w:val="bottom"/>
            <w:tcBorders>
              <w:bottom w:val="single" w:sz="8" w:color="0000FF"/>
              <w:right w:val="single" w:sz="8" w:color="auto"/>
            </w:tcBorders>
            <w:gridSpan w:val="2"/>
          </w:tcPr>
          <w:p>
            <w:pPr>
              <w:spacing w:after="0" w:line="194" w:lineRule="exact"/>
              <w:rPr>
                <w:rFonts w:ascii="Times New Roman" w:cs="Times New Roman" w:eastAsia="Times New Roman" w:hAnsi="Times New Roman"/>
                <w:sz w:val="18"/>
                <w:szCs w:val="18"/>
                <w:color w:val="0000FF"/>
                <w:w w:val="88"/>
              </w:rPr>
            </w:pPr>
            <w:hyperlink w:anchor="page58">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1</w:t>
              </w:r>
            </w:hyperlink>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70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auto"/>
              </w:rPr>
              <w:t>14(a) and Rule 15d-14(a) of the Securities Exchange Act, as</w:t>
            </w: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0" w:type="dxa"/>
            <w:vAlign w:val="bottom"/>
            <w:tcBorders>
              <w:right w:val="single" w:sz="8" w:color="auto"/>
            </w:tcBorders>
          </w:tcPr>
          <w:p>
            <w:pPr>
              <w:ind w:left="1480"/>
              <w:spacing w:after="0" w:line="19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amended</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5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Rule 13a-</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 w:type="dxa"/>
            <w:vAlign w:val="bottom"/>
            <w:tcBorders>
              <w:bottom w:val="single" w:sz="8" w:color="0000FF"/>
              <w:right w:val="single" w:sz="8" w:color="auto"/>
            </w:tcBorders>
            <w:gridSpan w:val="2"/>
          </w:tcPr>
          <w:p>
            <w:pPr>
              <w:spacing w:after="0" w:line="194" w:lineRule="exact"/>
              <w:rPr>
                <w:rFonts w:ascii="Times New Roman" w:cs="Times New Roman" w:eastAsia="Times New Roman" w:hAnsi="Times New Roman"/>
                <w:sz w:val="18"/>
                <w:szCs w:val="18"/>
                <w:color w:val="0000FF"/>
                <w:w w:val="88"/>
              </w:rPr>
            </w:pPr>
            <w:hyperlink w:anchor="page59">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2</w:t>
              </w:r>
            </w:hyperlink>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70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auto"/>
              </w:rPr>
              <w:t>14(a) and Rule 15d-14(a) of the Securities Exchange Act, as</w:t>
            </w: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0" w:type="dxa"/>
            <w:vAlign w:val="bottom"/>
            <w:tcBorders>
              <w:right w:val="single" w:sz="8" w:color="auto"/>
            </w:tcBorders>
          </w:tcPr>
          <w:p>
            <w:pPr>
              <w:ind w:left="1480"/>
              <w:spacing w:after="0" w:line="19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amended</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5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18 U.S.C.</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 w:type="dxa"/>
            <w:vAlign w:val="bottom"/>
            <w:tcBorders>
              <w:bottom w:val="single" w:sz="8" w:color="0000FF"/>
              <w:right w:val="single" w:sz="8" w:color="auto"/>
            </w:tcBorders>
            <w:gridSpan w:val="2"/>
          </w:tcPr>
          <w:p>
            <w:pPr>
              <w:spacing w:after="0" w:line="194" w:lineRule="exact"/>
              <w:rPr>
                <w:rFonts w:ascii="Times New Roman" w:cs="Times New Roman" w:eastAsia="Times New Roman" w:hAnsi="Times New Roman"/>
                <w:sz w:val="18"/>
                <w:szCs w:val="18"/>
                <w:color w:val="0000FF"/>
                <w:w w:val="88"/>
              </w:rPr>
            </w:pPr>
            <w:hyperlink w:anchor="page60">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1</w:t>
              </w:r>
            </w:hyperlink>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70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auto"/>
              </w:rPr>
              <w:t>1350, as adopted pursuant to Section 906 of the Sarbanes-Oxley</w:t>
            </w: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0" w:type="dxa"/>
            <w:vAlign w:val="bottom"/>
            <w:tcBorders>
              <w:right w:val="single" w:sz="8" w:color="auto"/>
            </w:tcBorders>
          </w:tcPr>
          <w:p>
            <w:pPr>
              <w:ind w:left="1480"/>
              <w:spacing w:after="0" w:line="19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Act of 2002</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5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18 U.S.C.</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 w:type="dxa"/>
            <w:vAlign w:val="bottom"/>
            <w:tcBorders>
              <w:bottom w:val="single" w:sz="8" w:color="0000FF"/>
              <w:right w:val="single" w:sz="8" w:color="auto"/>
            </w:tcBorders>
            <w:gridSpan w:val="2"/>
          </w:tcPr>
          <w:p>
            <w:pPr>
              <w:spacing w:after="0" w:line="194" w:lineRule="exact"/>
              <w:rPr>
                <w:rFonts w:ascii="Times New Roman" w:cs="Times New Roman" w:eastAsia="Times New Roman" w:hAnsi="Times New Roman"/>
                <w:sz w:val="18"/>
                <w:szCs w:val="18"/>
                <w:color w:val="0000FF"/>
                <w:w w:val="88"/>
              </w:rPr>
            </w:pPr>
            <w:hyperlink w:anchor="page61">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2</w:t>
              </w:r>
            </w:hyperlink>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70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auto"/>
              </w:rPr>
              <w:t>1350, as adopted pursuant to Section 906 of the Sarbanes-Oxley</w:t>
            </w: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0" w:type="dxa"/>
            <w:vAlign w:val="bottom"/>
            <w:tcBorders>
              <w:right w:val="single" w:sz="8" w:color="auto"/>
            </w:tcBorders>
          </w:tcPr>
          <w:p>
            <w:pPr>
              <w:ind w:left="1480"/>
              <w:spacing w:after="0" w:line="19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Act of 2002</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w w:val="88"/>
              </w:rPr>
              <w:t>101.</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INS</w:t>
            </w:r>
          </w:p>
        </w:tc>
        <w:tc>
          <w:tcPr>
            <w:tcW w:w="5040" w:type="dxa"/>
            <w:vAlign w:val="bottom"/>
            <w:gridSpan w:val="13"/>
          </w:tcPr>
          <w:p>
            <w:pPr>
              <w:spacing w:after="0" w:line="205" w:lineRule="exact"/>
              <w:rPr>
                <w:sz w:val="20"/>
                <w:szCs w:val="20"/>
                <w:color w:val="auto"/>
              </w:rPr>
            </w:pPr>
            <w:r>
              <w:rPr>
                <w:rFonts w:ascii="Times New Roman" w:cs="Times New Roman" w:eastAsia="Times New Roman" w:hAnsi="Times New Roman"/>
                <w:sz w:val="18"/>
                <w:szCs w:val="18"/>
                <w:color w:val="212529"/>
              </w:rPr>
              <w:t>XBRL Instance Document - The instance document does not appear</w:t>
            </w: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Borders>
              <w:right w:val="single" w:sz="8" w:color="auto"/>
            </w:tcBorders>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4700" w:type="dxa"/>
            <w:vAlign w:val="bottom"/>
            <w:gridSpan w:val="12"/>
          </w:tcPr>
          <w:p>
            <w:pPr>
              <w:spacing w:after="0" w:line="202" w:lineRule="exact"/>
              <w:rPr>
                <w:sz w:val="20"/>
                <w:szCs w:val="20"/>
                <w:color w:val="auto"/>
              </w:rPr>
            </w:pPr>
            <w:r>
              <w:rPr>
                <w:rFonts w:ascii="Times New Roman" w:cs="Times New Roman" w:eastAsia="Times New Roman" w:hAnsi="Times New Roman"/>
                <w:sz w:val="18"/>
                <w:szCs w:val="18"/>
                <w:color w:val="212529"/>
              </w:rPr>
              <w:t>in the interactive data file because its XBRL tags are embedded</w:t>
            </w: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0" w:type="dxa"/>
            <w:vAlign w:val="bottom"/>
            <w:tcBorders>
              <w:right w:val="single" w:sz="8" w:color="auto"/>
            </w:tcBorders>
          </w:tcPr>
          <w:p>
            <w:pPr>
              <w:ind w:left="1480"/>
              <w:spacing w:after="0" w:line="202"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212529"/>
              </w:rPr>
              <w:t>within the Inline XBRL document</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101.</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SCH</w:t>
            </w:r>
          </w:p>
        </w:tc>
        <w:tc>
          <w:tcPr>
            <w:tcW w:w="5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101.</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CAL</w:t>
            </w:r>
          </w:p>
        </w:tc>
        <w:tc>
          <w:tcPr>
            <w:tcW w:w="5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101.</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DEF</w:t>
            </w:r>
          </w:p>
        </w:tc>
        <w:tc>
          <w:tcPr>
            <w:tcW w:w="5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101.</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LAB</w:t>
            </w:r>
          </w:p>
        </w:tc>
        <w:tc>
          <w:tcPr>
            <w:tcW w:w="5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101.</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PRE</w:t>
            </w:r>
          </w:p>
        </w:tc>
        <w:tc>
          <w:tcPr>
            <w:tcW w:w="5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2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spacing w:after="0"/>
              <w:rPr>
                <w:sz w:val="14"/>
                <w:szCs w:val="14"/>
                <w:color w:val="auto"/>
              </w:rPr>
            </w:pPr>
          </w:p>
        </w:tc>
        <w:tc>
          <w:tcPr>
            <w:tcW w:w="5040" w:type="dxa"/>
            <w:vAlign w:val="bottom"/>
            <w:gridSpan w:val="13"/>
          </w:tcPr>
          <w:p>
            <w:pPr>
              <w:spacing w:after="0" w:line="16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tcBorders>
              <w:right w:val="single" w:sz="8" w:color="auto"/>
            </w:tcBorders>
            <w:vMerge w:val="restart"/>
          </w:tcPr>
          <w:p>
            <w:pPr>
              <w:ind w:left="14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35"/>
        </w:trPr>
        <w:tc>
          <w:tcPr>
            <w:tcW w:w="320" w:type="dxa"/>
            <w:vAlign w:val="bottom"/>
            <w:tcBorders>
              <w:right w:val="single" w:sz="8" w:color="auto"/>
            </w:tcBorders>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7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700" w:type="dxa"/>
            <w:vAlign w:val="bottom"/>
            <w:tcBorders>
              <w:bottom w:val="single" w:sz="8" w:color="auto"/>
            </w:tcBorders>
            <w:gridSpan w:val="12"/>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56" w:name="page57"/>
    <w:bookmarkEnd w:id="56"/>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u w:val="single" w:color="auto"/>
            <w:color w:val="0000FF"/>
          </w:rPr>
          <w:t>Table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FACTSET RESEARCH SYSTEMS INC.</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5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Date: April 4, 2022</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LINDA S. HUBER</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S. Huber</w:t>
            </w:r>
          </w:p>
        </w:tc>
      </w:tr>
      <w:tr>
        <w:trPr>
          <w:trHeight w:val="230"/>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6"/>
        </w:trPr>
        <w:tc>
          <w:tcPr>
            <w:tcW w:w="5220" w:type="dxa"/>
            <w:vAlign w:val="bottom"/>
          </w:tcPr>
          <w:p>
            <w:pPr>
              <w:spacing w:after="0"/>
              <w:rPr>
                <w:sz w:val="24"/>
                <w:szCs w:val="24"/>
                <w:color w:val="auto"/>
              </w:rPr>
            </w:pP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T. MOSKOFF</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T. Moskoff</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 Controller and Chief Accounting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21" w:right="339" w:bottom="1440" w:gutter="0" w:footer="0" w:header="0"/>
        </w:sectPr>
      </w:pPr>
    </w:p>
    <w:bookmarkStart w:id="57" w:name="page58"/>
    <w:bookmarkEnd w:id="57"/>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9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84"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4, 2022</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17145</wp:posOffset>
            </wp:positionV>
            <wp:extent cx="34461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 Philip Snow</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58" w:name="page59"/>
    <w:bookmarkEnd w:id="58"/>
    <w:p>
      <w:pPr>
        <w:ind w:left="1016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0" w:lineRule="exact"/>
        <w:rPr>
          <w:sz w:val="20"/>
          <w:szCs w:val="20"/>
          <w:color w:val="auto"/>
        </w:rPr>
      </w:pPr>
    </w:p>
    <w:p>
      <w:pPr>
        <w:jc w:val="center"/>
        <w:ind w:left="320" w:right="200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Linda S. Huber, certify that:</w:t>
      </w:r>
    </w:p>
    <w:p>
      <w:pPr>
        <w:spacing w:after="0" w:line="185" w:lineRule="exact"/>
        <w:rPr>
          <w:sz w:val="20"/>
          <w:szCs w:val="20"/>
          <w:color w:val="auto"/>
        </w:rPr>
      </w:pPr>
    </w:p>
    <w:p>
      <w:pPr>
        <w:ind w:left="540" w:hanging="492"/>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98" w:lineRule="exact"/>
        <w:rPr>
          <w:rFonts w:ascii="Times New Roman" w:cs="Times New Roman" w:eastAsia="Times New Roman" w:hAnsi="Times New Roman"/>
          <w:sz w:val="18"/>
          <w:szCs w:val="18"/>
          <w:color w:val="auto"/>
        </w:rPr>
      </w:pPr>
    </w:p>
    <w:p>
      <w:pPr>
        <w:jc w:val="both"/>
        <w:ind w:left="540" w:hanging="492"/>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40" w:hanging="492"/>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40" w:hanging="492"/>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1020" w:hanging="486"/>
        <w:spacing w:after="0" w:line="266" w:lineRule="auto"/>
        <w:tabs>
          <w:tab w:leader="none" w:pos="101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020" w:hanging="486"/>
        <w:spacing w:after="0" w:line="266" w:lineRule="auto"/>
        <w:tabs>
          <w:tab w:leader="none" w:pos="100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020" w:hanging="486"/>
        <w:spacing w:after="0" w:line="282" w:lineRule="auto"/>
        <w:tabs>
          <w:tab w:leader="none" w:pos="101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1020" w:hanging="486"/>
        <w:spacing w:after="0" w:line="282" w:lineRule="auto"/>
        <w:tabs>
          <w:tab w:leader="none" w:pos="100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1" w:lineRule="exact"/>
        <w:rPr>
          <w:rFonts w:ascii="Times New Roman" w:cs="Times New Roman" w:eastAsia="Times New Roman" w:hAnsi="Times New Roman"/>
          <w:sz w:val="18"/>
          <w:szCs w:val="18"/>
          <w:color w:val="auto"/>
        </w:rPr>
      </w:pPr>
    </w:p>
    <w:p>
      <w:pPr>
        <w:ind w:left="540" w:hanging="492"/>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20" w:right="20" w:hanging="486"/>
        <w:spacing w:after="0" w:line="282" w:lineRule="auto"/>
        <w:tabs>
          <w:tab w:leader="none" w:pos="101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020" w:right="20" w:hanging="486"/>
        <w:spacing w:after="0" w:line="282" w:lineRule="auto"/>
        <w:tabs>
          <w:tab w:leader="none" w:pos="100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4,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17145</wp:posOffset>
            </wp:positionV>
            <wp:extent cx="34461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Linda S. Huber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80"/>
          </w:cols>
          <w:pgMar w:left="280" w:top="1062"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February 28, 2022, as filed with the Securities and Exchange Commission on the date hereof (the “Report”), I, F. Philip Snow,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17145</wp:posOffset>
            </wp:positionV>
            <wp:extent cx="34461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F.Philip Snow</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April 4, 2022</w:t>
      </w:r>
    </w:p>
    <w:p>
      <w:pPr>
        <w:sectPr>
          <w:pgSz w:w="11900" w:h="16838" w:orient="portrait"/>
          <w:cols w:equalWidth="0" w:num="1">
            <w:col w:w="11240"/>
          </w:cols>
          <w:pgMar w:left="320" w:top="88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February 28, 2022, as filed with the Securities and Exchange Commission on the date hereof (the “Report”), I, Linda S. Huber,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34461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Linda S. Huber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April 4,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endash "/>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amp;"/>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2"/>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3"/>
    </w:lvl>
  </w:abstractNum>
  <w:abstractNum w:abstractNumId="17">
    <w:nsid w:val="628C895D"/>
    <w:multiLevelType w:val="hybridMultilevel"/>
    <w:lvl w:ilvl="0">
      <w:lvlJc w:val="left"/>
      <w:lvlText w:val="(%1)"/>
      <w:numFmt w:val="lowerRoman"/>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63" Type="http://schemas.openxmlformats.org/officeDocument/2006/relationships/hyperlink" Target="https://www.sec.gov/Archives/edgar/data/0001013237/000095015722000173/ex1-1.htm" TargetMode="External"/><Relationship Id="rId64" Type="http://schemas.openxmlformats.org/officeDocument/2006/relationships/hyperlink" Target="https://www.sec.gov/Archives/edgar/data/1013237/000095015722000210/ex2-1.htm" TargetMode="External"/><Relationship Id="rId65" Type="http://schemas.openxmlformats.org/officeDocument/2006/relationships/hyperlink" Target="https://www.sec.gov/Archives/edgar/data/0001013237/000095015722000210/ex2-2.htm" TargetMode="External"/><Relationship Id="rId68" Type="http://schemas.openxmlformats.org/officeDocument/2006/relationships/hyperlink" Target="https://www.sec.gov/Archives/edgar/data/0001013237/000095015722000210/ex4-1.htm" TargetMode="External"/><Relationship Id="rId69" Type="http://schemas.openxmlformats.org/officeDocument/2006/relationships/hyperlink" Target="https://www.sec.gov/Archives/edgar/data/0001013237/000095015722000210/ex4-2.htm" TargetMode="External"/><Relationship Id="rId70" Type="http://schemas.openxmlformats.org/officeDocument/2006/relationships/hyperlink" Target="https://www.sec.gov/Archives/edgar/data/0001013237/000095015722000210/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2022-04-04T07:03:47Z</dcterms:created>
  <dcterms:modified xsi:type="dcterms:W3CDTF">2022-04-04T07:03:47Z</dcterms:modified>
</cp:coreProperties>
</file>