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30, 2024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December 31, 2024 was 38,030,046.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2024</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5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November 30, 2024 and November 30, 2023</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November 30, 2024 and November 30, 2023</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November 30, 2024 and August 31, 2024</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November 30, 2024 and November 30, 2023</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95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November 30, 2024 and November 30,</w:t>
            </w:r>
          </w:p>
        </w:tc>
        <w:tc>
          <w:tcPr>
            <w:tcW w:w="7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95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7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2024,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3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258,779</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251,621</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101,555</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353,176</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191,335</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189,040</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179,739</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175,196</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38,517</w:t>
            </w: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38,643</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r>
      <w:tr>
        <w:trPr>
          <w:trHeight w:val="449"/>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4"/>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r>
      <w:tr>
        <w:trPr>
          <w:trHeight w:val="223"/>
        </w:trPr>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148,809</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80"/>
          </w:cols>
          <w:pgMar w:left="320" w:top="121" w:right="339" w:bottom="1440" w:gutter="0" w:footer="0" w:header="0"/>
        </w:sectPr>
      </w:pPr>
    </w:p>
    <w:p>
      <w:pPr>
        <w:spacing w:after="0" w:line="56"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$1,105 thousand and $588 thousand for the three months ended November 30, 2024 and November 30, 2023, respectively.</w:t>
      </w:r>
    </w:p>
    <w:p>
      <w:pPr>
        <w:spacing w:after="0" w:line="187" w:lineRule="exact"/>
        <w:rPr>
          <w:rFonts w:ascii="Times New Roman" w:cs="Times New Roman" w:eastAsia="Times New Roman" w:hAnsi="Times New Roman"/>
          <w:sz w:val="16"/>
          <w:szCs w:val="16"/>
          <w:color w:val="auto"/>
        </w:rPr>
      </w:pPr>
    </w:p>
    <w:p>
      <w:pPr>
        <w:ind w:left="2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2024</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422,979</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$15,755 at November 30, 2024 and $14,581 at August 31, 2024</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252,521</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55,103</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60,093</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750,696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835,848</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1,092,202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1,870,332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61,337</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89,578</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4,048,585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178,250</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124,842</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93,279</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157,062</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40,391</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39,572</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39,470</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667,066</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1,296,643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1,241,131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177,521</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2,142,580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16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42,830,024 and 42,598,915 shares</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38,049,811 and 37,952,270 shares outstanding at November 30, 2024 and August 31, 2024,</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1,531,278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1,478,839</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4,780,213 and 4,646,645 shares at November 30, 2024 and August 31, 2024,</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(1,438,678)</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(1,375,696)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1,998,954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1,888,504</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(100,421)</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(79,613)</w:t>
            </w:r>
          </w:p>
        </w:tc>
      </w:tr>
      <w:tr>
        <w:trPr>
          <w:trHeight w:val="223"/>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1,991,561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1,912,460</w:t>
            </w: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4,048,585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4,055,040</w:t>
            </w: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23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0" w:type="dxa"/>
            <w:vAlign w:val="bottom"/>
          </w:tcPr>
          <w:p>
            <w:pPr>
              <w:spacing w:after="0"/>
              <w:rPr>
                <w:sz w:val="1"/>
                <w:szCs w:val="1"/>
                <w:color w:val="auto"/>
              </w:rPr>
            </w:pPr>
          </w:p>
        </w:tc>
      </w:tr>
      <w:tr>
        <w:trPr>
          <w:trHeight w:val="270"/>
        </w:trPr>
        <w:tc>
          <w:tcPr>
            <w:tcW w:w="862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(115,199)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0" w:type="dxa"/>
            <w:vAlign w:val="bottom"/>
          </w:tcPr>
          <w:p>
            <w:pPr>
              <w:spacing w:after="0"/>
              <w:rPr>
                <w:sz w:val="1"/>
                <w:szCs w:val="1"/>
                <w:color w:val="auto"/>
              </w:rPr>
            </w:pPr>
          </w:p>
        </w:tc>
      </w:tr>
      <w:tr>
        <w:trPr>
          <w:trHeight w:val="270"/>
        </w:trPr>
        <w:tc>
          <w:tcPr>
            <w:tcW w:w="862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(144,564)</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289,168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150,022</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(20,808)</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161,097</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38,848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38,679</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(13,215)</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104,475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13,592</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w:t>
            </w: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42,830,024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1,531,278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4,780,213</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(1,438,678)</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1,998,954</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1,991,561</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vMerge w:val="restart"/>
          </w:tcPr>
          <w:p>
            <w:pPr>
              <w:jc w:val="right"/>
              <w:ind w:right="22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42,096,628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1,323,631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4,071,256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148,555</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125,104</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28,403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28,339</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135,950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(59,910)</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14,310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(37,299)</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42,297,330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1,366,343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4,237,590</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(1,195,491)</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11</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7"/>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16</w:t>
            </w:r>
          </w:p>
        </w:tc>
        <w:tc>
          <w:tcPr>
            <w:tcW w:w="4480" w:type="dxa"/>
            <w:vAlign w:val="bottom"/>
            <w:gridSpan w:val="17"/>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885"/>
        </w:trPr>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47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November 30, 2024, we had more than 8,200 clients comprised of over 218,000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Within each segment, we offer data, products and analytical applications by firm type: Institutional Buyside, Dealmakers, Wealth, and Partnerships and CGS. Refer to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further discussion on our segments.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2024. The accompanying unaudited Consolidated Financial Statements include our accounts and those of our wholly-owned subsidiaries; all intercompany activity and balances have been eliminated.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2024, Asset impairments were included within Selling, general and administrative ("SG&amp;A") in the Consolidated Statements of Income and within Other, net in the Consolidated Statements of Cash Flows. We conformed the comparative figures for the three months ended November 30, 2023 to the current period presentation.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2024, Prepaid expenses and other assets, previously included within Other, net, were presented as a separate component of Cash Flows from Operating Activities in the Consolidated Statements of Cash Flows. We conformed the comparative figures for the three months ended November 30, 2023 to the current period presentation.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property, equipment and leasehold improvements ("PPE"),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accounts receivable, investments in mutual funds and derivative instruments. The maximum credit exposure of our cash, cash equivalents,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and investments in mutual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November 30, 2024 and August 31, 2024, our accounts receivable reserve was $15.8 million and $14.6 million, respectively. We do not require collateral from our clients; however, no single client represented more than 3.5% of our total revenues for the three months ended November 30, 2024 and November 30, 2023.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three months ended November 30, 2024 and November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three months ended November 30, 2024 and November 30, 2023. We maintain back-up facilities and other redundancies at our data centers, take security measures and have emergency planning procedures to minimize the risk that an event will disrupt our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November 30, 2024 that had a material impact on our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 Disaggregation of Income Statement Expenses</w:t>
      </w:r>
      <w:r>
        <w:rPr>
          <w:rFonts w:ascii="Times New Roman" w:cs="Times New Roman" w:eastAsia="Times New Roman" w:hAnsi="Times New Roman"/>
          <w:sz w:val="18"/>
          <w:szCs w:val="18"/>
          <w:color w:val="auto"/>
        </w:rPr>
        <w:t>. This ASU requires disaggregation of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into specified 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 xml:space="preserve">In March 2024, the SEC adopted a final rule under SEC Release Nos. 33-11275 and 34-99678, </w:t>
      </w:r>
      <w:r>
        <w:rPr>
          <w:rFonts w:ascii="Times New Roman" w:cs="Times New Roman" w:eastAsia="Times New Roman" w:hAnsi="Times New Roman"/>
          <w:sz w:val="17"/>
          <w:szCs w:val="17"/>
          <w:i w:val="1"/>
          <w:iCs w:val="1"/>
          <w:color w:val="auto"/>
        </w:rPr>
        <w:t>The Enhancement and Standardization of Climate-Related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 for Investors</w:t>
      </w:r>
      <w:r>
        <w:rPr>
          <w:rFonts w:ascii="Times New Roman" w:cs="Times New Roman" w:eastAsia="Times New Roman" w:hAnsi="Times New Roman"/>
          <w:sz w:val="17"/>
          <w:szCs w:val="17"/>
          <w:color w:val="auto"/>
        </w:rPr>
        <w:t>, which would require disclosure of certain climate-related information in various filings with the SEC. In April 2024, the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stayed implementation of the final rule pending completion of judicial review. We are currently assessing the potential impact of the rule on our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Codification Improvements - Amendments to Remove References to the Concepts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This ASU amends the FASB Accounting Standards Codification ("the Codification") to remove references to various FASB Concepts Statements and impacts a variety of topics in the Codification. The amendments apply to all reporting entities within the scope of the affected accounting guidance, but in most instances the references removed are extraneous and not required to understand or apply the guidance. The amendments in this ASU are to be applied prospectively, although retrospective application is permitted, and are effective for our interim and annual financial statements starting in fiscal 2026. Early adoption is permitted. This ASU is not expected to have a material impact on our Consolidated Financial Statements or related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three months ended November 30, 2024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3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vMerge w:val="continue"/>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367,242</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348,367</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37"/>
        </w:trPr>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5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0" w:type="dxa"/>
            <w:vAlign w:val="bottom"/>
          </w:tcPr>
          <w:p>
            <w:pPr>
              <w:spacing w:after="0"/>
              <w:rPr>
                <w:sz w:val="1"/>
                <w:szCs w:val="1"/>
                <w:color w:val="auto"/>
              </w:rPr>
            </w:pPr>
          </w:p>
        </w:tc>
      </w:tr>
      <w:tr>
        <w:trPr>
          <w:trHeight w:val="878"/>
        </w:trPr>
        <w:tc>
          <w:tcPr>
            <w:tcW w:w="5120" w:type="dxa"/>
            <w:vAlign w:val="bottom"/>
          </w:tcPr>
          <w:p>
            <w:pPr>
              <w:spacing w:after="0"/>
              <w:rPr>
                <w:sz w:val="24"/>
                <w:szCs w:val="24"/>
                <w:color w:val="auto"/>
              </w:rPr>
            </w:pPr>
          </w:p>
        </w:tc>
        <w:tc>
          <w:tcPr>
            <w:tcW w:w="344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November 30, 2024 and August 31, 2024. We did not have any transfers between levels of fair value measurements during the three months ended November 30, 2024 and the fiscal year ended August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Fair Value Measurements as of November 30, 2024</w:t>
            </w:r>
          </w:p>
        </w:tc>
        <w:tc>
          <w:tcPr>
            <w:tcW w:w="108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48,317</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69,623</w:t>
            </w: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69,623</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16,930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16,930 $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Fair Value Measurements as of August 31, 2024</w:t>
            </w:r>
          </w:p>
        </w:tc>
        <w:tc>
          <w:tcPr>
            <w:tcW w:w="108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320" w:type="dxa"/>
            <w:vAlign w:val="bottom"/>
            <w:shd w:val="clear" w:color="auto" w:fill="CCEEFF"/>
          </w:tcPr>
          <w:p>
            <w:pPr>
              <w:spacing w:after="0"/>
              <w:rPr>
                <w:sz w:val="23"/>
                <w:szCs w:val="23"/>
                <w:color w:val="auto"/>
              </w:rPr>
            </w:pP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201,873</w:t>
            </w: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4,193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4,193 $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r>
    </w:tbl>
    <w:p>
      <w:pPr>
        <w:spacing w:after="0" w:line="184" w:lineRule="exact"/>
        <w:rPr>
          <w:sz w:val="20"/>
          <w:szCs w:val="20"/>
          <w:color w:val="auto"/>
        </w:rPr>
      </w:pPr>
    </w:p>
    <w:p>
      <w:pPr>
        <w:ind w:left="260" w:hanging="252"/>
        <w:spacing w:after="0" w:line="280" w:lineRule="auto"/>
        <w:tabs>
          <w:tab w:leader="none" w:pos="2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56"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Our mutual funds are included in Investments within the Consolidated Balance Sheets.</w:t>
      </w:r>
    </w:p>
    <w:p>
      <w:pPr>
        <w:spacing w:after="0" w:line="76"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5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include our foreign exchange forward contracts and interest rate swap agreements.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 a present value of future cash flows, leveraging a model-derived valuation that uses observable inputs such as interest rate yield curves. Refer to Note 5,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xml:space="preserve"> for more information on our derivative instruments and their classification within the Consolidated Balance Sheets.</w:t>
      </w:r>
    </w:p>
    <w:p>
      <w:pPr>
        <w:spacing w:after="0" w:line="87" w:lineRule="exact"/>
        <w:rPr>
          <w:rFonts w:ascii="Times New Roman" w:cs="Times New Roman" w:eastAsia="Times New Roman" w:hAnsi="Times New Roman"/>
          <w:sz w:val="16"/>
          <w:szCs w:val="16"/>
          <w:color w:val="auto"/>
        </w:rPr>
      </w:pPr>
    </w:p>
    <w:p>
      <w:pPr>
        <w:jc w:val="both"/>
        <w:ind w:left="260" w:hanging="252"/>
        <w:spacing w:after="0" w:line="256" w:lineRule="auto"/>
        <w:tabs>
          <w:tab w:leader="none" w:pos="2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contingent liabilities resulted from the acquisition of Platform Group Limited ("Irwin") during fiscal 2025 and the acquisition of another business during fiscal 2023. These liabilities reflect the present value of potential future payments that are contingent upon the achievement of certain specified milestones. The acquisition date fair value of the contingent liabilities for fiscal 2025 and 2023 was $12.7 million and $7.9 million, respectively, and was valued using a scenario-based method. This method incorporates unobservable inputs and assumptions made by management, including the probability of achieving specified milestones, expected time until payment and the discount rate. The fair value of the contingent liabilities is reduced by milestone achievement and remeasured each reporting period until the contingencies are resolved, with any changes in fair value recorded in SG&amp;A within the Consolidated Statements of Income. Aside from milestone achievement, the remaining changes in the fair value of the contingent liabilities from their respective acquisition dates through November 30, 2024 were driven by the passage of time, with no changes made to key assumptions used in our fair value estimates. Refer to Note 6,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Irwin transaction.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which includes our Current debt and Long-term debt, at fair value on the Consolidated Balance Sheets. The carrying value of our debt is net of related unamortized discounts and debt issuance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debt is comprised of our Senior Notes and 2022 Credit Facilities. 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2022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November 30, 2024 and August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November 30, 2024</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gridSpan w:val="2"/>
            <w:vMerge w:val="continue"/>
          </w:tcPr>
          <w:p>
            <w:pPr>
              <w:spacing w:after="0"/>
              <w:rPr>
                <w:sz w:val="20"/>
                <w:szCs w:val="20"/>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479,760</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246,578</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82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125,242</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1,300,960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1,359,103</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utilize derivative instruments to manage risk and not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 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floating interest rate exposure, respectively. Our foreign currency forward contracts and interest rate swap agreements are designated as cash flow hedges at inception.</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highly effective cash flows hedges, the change in the derivative's fair value is recorded in Accumulated other comprehensive loss ("AOCL"), net of tax, in the Consolidated Balance Sheets. Our cash flow hedges were highly effective with no amount of ineffectiveness recorded in the Consolidated Statements of Income during the three months ended November 30, 2024 and November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Realized gains or losses from the settlement of our foreign currency forward contracts and interest rate swap agreements are subsequently reclassified into SG&amp;A and Interest expense, respectively, in the Consolidated Statements of Income. There was no discontinuance of our cash flow hedges during the three months ended November 30, 2024 and November 30, 2023. As such, no corresponding gains or losses were reclassified into earnings prior to settlement during those respective periods.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three months ended November 30, 2024 and November 30, 2023, we maintained a series of foreign currency forward contracts to hedge a portion of our projected operating expenses in our primary currency exposures, namely the British Pound Sterling, Euro, Indian Rupee and Philippine Peso. As of November 30, 2024, the hedge maturity periods of our outstanding foreign currency forward contracts range from the second quarter of fiscal 2025 through the first quarter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 November 30, 2024 and August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November 30, 2024</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55,341</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4,347,919</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1,952,008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180,419</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further discussion on our exposure to foreign exchange rate fluctuations.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Secured Overnight Financing Rate ("SOFR") debt with a fixed interest rate of 5.145%. The notional amount of the 2024 Swap Agreement declines by $50.0 million on a quarterly basis beginning May 31, 2024. As of November 30, 2024, the notional amount of the 2024 Swap Agreement was $50.0 million. The 2024 Swap Agreement matures on February 28,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Effective December 30, 2022, we partially novated our 2022 Swap Agreement to equally apportion the then-outstanding notional amount of the interest rate swap between two counterparties. No other terms of the 2022 Swap Agreement were amended, terminated, or otherwise modified prior to its maturity. The 2022 Swap Agreement matured on February 28, 2024.</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rate debt and refer to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in this Quarterly Report on Form 10-Q for further discussion of our exposure to interest rate risk on our outstanding floating rate debt.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96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27"/>
        </w:trPr>
        <w:tc>
          <w:tcPr>
            <w:tcW w:w="12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Gross Notional Value</w:t>
            </w:r>
          </w:p>
        </w:tc>
      </w:tr>
      <w:tr>
        <w:trPr>
          <w:trHeight w:val="324"/>
        </w:trPr>
        <w:tc>
          <w:tcPr>
            <w:tcW w:w="7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2024</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43"/>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r>
      <w:tr>
        <w:trPr>
          <w:trHeight w:val="243"/>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77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288,155</w:t>
            </w:r>
          </w:p>
        </w:tc>
      </w:tr>
      <w:tr>
        <w:trPr>
          <w:trHeight w:val="22"/>
        </w:trPr>
        <w:tc>
          <w:tcPr>
            <w:tcW w:w="1280" w:type="dxa"/>
            <w:vAlign w:val="bottom"/>
            <w:shd w:val="clear" w:color="auto" w:fill="CCEEFF"/>
          </w:tcPr>
          <w:p>
            <w:pPr>
              <w:spacing w:after="0" w:line="20" w:lineRule="exact"/>
              <w:rPr>
                <w:sz w:val="1"/>
                <w:szCs w:val="1"/>
                <w:color w:val="auto"/>
              </w:rPr>
            </w:pPr>
          </w:p>
        </w:tc>
        <w:tc>
          <w:tcPr>
            <w:tcW w:w="6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20" w:type="dxa"/>
            <w:vAlign w:val="bottom"/>
            <w:vMerge w:val="continue"/>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Derivative Assets</w:t>
            </w:r>
          </w:p>
        </w:tc>
        <w:tc>
          <w:tcPr>
            <w:tcW w:w="1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8"/>
                <w:szCs w:val="18"/>
                <w:color w:val="auto"/>
              </w:rPr>
              <w:t>Derivative Liabilities</w:t>
            </w: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Derivatives designated as</w:t>
            </w:r>
          </w:p>
        </w:tc>
        <w:tc>
          <w:tcPr>
            <w:tcW w:w="1600" w:type="dxa"/>
            <w:vAlign w:val="bottom"/>
          </w:tcPr>
          <w:p>
            <w:pPr>
              <w:ind w:left="36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November 30,</w:t>
            </w:r>
          </w:p>
        </w:tc>
        <w:tc>
          <w:tcPr>
            <w:tcW w:w="1300" w:type="dxa"/>
            <w:vAlign w:val="bottom"/>
          </w:tcPr>
          <w:p>
            <w:pPr>
              <w:spacing w:after="0"/>
              <w:rPr>
                <w:sz w:val="14"/>
                <w:szCs w:val="14"/>
                <w:color w:val="auto"/>
              </w:rPr>
            </w:pPr>
          </w:p>
        </w:tc>
        <w:tc>
          <w:tcPr>
            <w:tcW w:w="1780" w:type="dxa"/>
            <w:vAlign w:val="bottom"/>
          </w:tcPr>
          <w:p>
            <w:pPr>
              <w:ind w:left="380"/>
              <w:spacing w:after="0" w:line="169" w:lineRule="exact"/>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Pr>
          <w:p>
            <w:pPr>
              <w:spacing w:after="0"/>
              <w:rPr>
                <w:sz w:val="14"/>
                <w:szCs w:val="14"/>
                <w:color w:val="auto"/>
              </w:rPr>
            </w:pPr>
          </w:p>
        </w:tc>
        <w:tc>
          <w:tcPr>
            <w:tcW w:w="124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November 30,</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August 31, 2024</w:t>
            </w:r>
          </w:p>
        </w:tc>
        <w:tc>
          <w:tcPr>
            <w:tcW w:w="1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currency forward</w:t>
            </w:r>
          </w:p>
        </w:tc>
        <w:tc>
          <w:tcPr>
            <w:tcW w:w="16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 other current assets</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cash flow hedge accounting on our AOCL for the three months ended November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Gain (Loss) Recognized in AOCL</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on Derivatives</w:t>
            </w:r>
          </w:p>
        </w:tc>
        <w:tc>
          <w:tcPr>
            <w:tcW w:w="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3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November 30,</w:t>
            </w:r>
          </w:p>
        </w:tc>
        <w:tc>
          <w:tcPr>
            <w:tcW w:w="4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4"/>
                <w:szCs w:val="24"/>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180"/>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80" w:type="dxa"/>
            <w:vAlign w:val="bottom"/>
          </w:tcPr>
          <w:p>
            <w:pPr>
              <w:spacing w:after="0"/>
              <w:rPr>
                <w:sz w:val="15"/>
                <w:szCs w:val="15"/>
                <w:color w:val="auto"/>
              </w:rPr>
            </w:pPr>
          </w:p>
        </w:tc>
        <w:tc>
          <w:tcPr>
            <w:tcW w:w="10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Reclassified from AOCL into</w:t>
            </w:r>
          </w:p>
        </w:tc>
        <w:tc>
          <w:tcPr>
            <w:tcW w:w="14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2024, we estimate that net pre-tax derivative losses of $1.9 million included in AOCL will be reclassified into earnings within the next 12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November 30, 2024 and August 31, 2024, there were no material amounts recorded net in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$123.2 million, net of cash acquired, and inclusive of preliminary working capital adjustments. The purchase price includes contingent consideration of $12.7 million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 The Irwin purchase price was in excess of the fair value of net assets acquired, resulting in the recognition of goodwill. The preliminary purchase price allocation is subject to change pending a final valuation of the assets and liabilities acquired and the finalization of working capital adjustments. We expect to finalize the allocation of the purchase price for Irwin as soon as possible, but in any event, no later than one year from the acquisition date.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values of major classes of assets acquired and liabilities assumed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Acquisition Date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r>
      <w:tr>
        <w:trPr>
          <w:trHeight w:val="228"/>
        </w:trPr>
        <w:tc>
          <w:tcPr>
            <w:tcW w:w="5720" w:type="dxa"/>
            <w:vAlign w:val="bottom"/>
          </w:tcPr>
          <w:p>
            <w:pPr>
              <w:spacing w:after="0"/>
              <w:rPr>
                <w:sz w:val="19"/>
                <w:szCs w:val="19"/>
                <w:color w:val="auto"/>
              </w:rPr>
            </w:pPr>
          </w:p>
        </w:tc>
        <w:tc>
          <w:tcPr>
            <w:tcW w:w="2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Acquisition Date Fair Value</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Useful 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57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00" w:type="dxa"/>
            <w:vAlign w:val="bottom"/>
            <w:tcBorders>
              <w:bottom w:val="single" w:sz="8" w:color="auto"/>
            </w:tcBorders>
          </w:tcPr>
          <w:p>
            <w:pPr>
              <w:spacing w:after="0"/>
              <w:rPr>
                <w:sz w:val="20"/>
                <w:szCs w:val="20"/>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4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10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12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11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92,310</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8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740" w:type="dxa"/>
            <w:vAlign w:val="bottom"/>
            <w:tcBorders>
              <w:bottom w:val="single" w:sz="8" w:color="auto"/>
            </w:tcBorders>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123,192</w:t>
            </w:r>
          </w:p>
        </w:tc>
        <w:tc>
          <w:tcPr>
            <w:tcW w:w="18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$92.3 million represents the excess of the Irwin purchase price over the fair value of net assets acquired and considers future economic benefits that we expect to achieve as a result of the acquisition. The goodwill is included in the Americas segment, subject to final allocation, and is not deductible for income tax purposes.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Irwin's operations have been included in our Consolidated Financial Statements, within the Americas, EMEA and Asia Pacific segments, beginning with the closing of the acquisition on November 5, 2024. Pro forma information has not been presented because the effect of the Irwin acquisition is not material to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three months ended November 30,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704,454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1,011,129</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92,310</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92,310</w:t>
            </w: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796,121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1,092,202</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reportable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2024 utilizing a qualitative analysis. We concluded there was no impairment as it was more likely than not that the fair value of each of our reporting units was not less than its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 carrying value. No events or circumstances were identified during the three months ended November 30, 2024 that would indicate it is more likely than not that goodwill has been impaired.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amounts and accumulated amortization related to our identifiable intangible assets as of November 30, 2024 and August 31, 2024: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November 30, 2024</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2024</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1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Estimated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5"/>
                <w:szCs w:val="15"/>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5"/>
                <w:szCs w:val="15"/>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5"/>
                <w:szCs w:val="15"/>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80"/>
        </w:trPr>
        <w:tc>
          <w:tcPr>
            <w:tcW w:w="2380" w:type="dxa"/>
            <w:vAlign w:val="bottom"/>
            <w:vMerge w:val="continue"/>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1,462,076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1,473,070</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266,037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82,667</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183,370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80,904</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199,093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81,370</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117,723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178,579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117,606</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60,973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26,496</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44,611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2,311,888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1,870,332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1,844,141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November 30, 2024 was 31.4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three months ended November 30, 2024 and November 30, 2023. Our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29,872</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22,165</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2024, estimated intangible asset amortization expense for each of the next five years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4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92,467</w:t>
            </w: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116,708</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91,107</w:t>
            </w: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68,980</w:t>
            </w: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64,344</w:t>
            </w:r>
          </w:p>
        </w:tc>
      </w:tr>
      <w:tr>
        <w:trPr>
          <w:trHeight w:val="230"/>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1,436,726</w:t>
            </w:r>
          </w:p>
        </w:tc>
      </w:tr>
      <w:tr>
        <w:trPr>
          <w:trHeight w:val="223"/>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1,870,332</w:t>
            </w:r>
          </w:p>
        </w:tc>
      </w:tr>
      <w:tr>
        <w:trPr>
          <w:trHeight w:val="864"/>
        </w:trPr>
        <w:tc>
          <w:tcPr>
            <w:tcW w:w="3880" w:type="dxa"/>
            <w:vAlign w:val="bottom"/>
          </w:tcPr>
          <w:p>
            <w:pPr>
              <w:spacing w:after="0"/>
              <w:rPr>
                <w:sz w:val="24"/>
                <w:szCs w:val="24"/>
                <w:color w:val="auto"/>
              </w:rPr>
            </w:pPr>
          </w:p>
        </w:tc>
        <w:tc>
          <w:tcPr>
            <w:tcW w:w="392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tc>
        <w:tc>
          <w:tcPr>
            <w:tcW w:w="1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7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179,739</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175,196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29,717</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26,641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the three months ended November 30, 2024 was 16.5%, compared with 15.2% for the three months ended November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the revaluation of a deferred tax asset associated with a foreign tax rate change.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statutory federal income tax rate primarily due to excess tax benefits from stock-based compensation, utilization of foreign tax credits, and research and development ("R&amp;D") tax credits, partially offset by our net state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After considering the applicable tax law changes associated with Pillar Two legislation, we determined there was no material impact to our provision for income taxes for the three months ended November 30,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November 30, 2024, we recognized $117.5 million of Lease ROU assets, net and $192.8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a remaining lease term ranging from</w:t>
      </w:r>
      <w:r>
        <w:rPr>
          <w:rFonts w:ascii="Times New Roman" w:cs="Times New Roman" w:eastAsia="Times New Roman" w:hAnsi="Times New Roman"/>
          <w:sz w:val="18"/>
          <w:szCs w:val="18"/>
          <w:color w:val="auto"/>
        </w:rPr>
        <w:t xml:space="preserve"> less than one year to just over 11 years. Our lease agreements may include options to extend or terminate the lease which are included in the measurement of our lease term when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November 30, 2024</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Minimum Lease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18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9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Payments</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29,747</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60,475</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222,928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192,806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400" w:type="dxa"/>
            <w:vAlign w:val="bottom"/>
          </w:tcPr>
          <w:p>
            <w:pPr>
              <w:spacing w:after="0"/>
              <w:rPr>
                <w:sz w:val="21"/>
                <w:szCs w:val="21"/>
                <w:color w:val="auto"/>
              </w:rPr>
            </w:pPr>
          </w:p>
        </w:tc>
        <w:tc>
          <w:tcPr>
            <w:tcW w:w="21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2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November 30,</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4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212529"/>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7,572</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0" w:type="dxa"/>
            <w:vAlign w:val="bottom"/>
          </w:tcPr>
          <w:p>
            <w:pPr>
              <w:spacing w:after="0"/>
              <w:rPr>
                <w:sz w:val="1"/>
                <w:szCs w:val="1"/>
                <w:color w:val="auto"/>
              </w:rPr>
            </w:pPr>
          </w:p>
        </w:tc>
      </w:tr>
      <w:tr>
        <w:trPr>
          <w:trHeight w:val="31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As of November 30, 2024</w:t>
            </w: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elected not to carry our debt at fair value. The carrying value of our debt is net of related unamortized discounts and debt issuance costs. Our debt obligations as of November 30, 2024 and August 31, 2024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tcPr>
          <w:p>
            <w:pPr>
              <w:spacing w:after="0"/>
              <w:rPr>
                <w:sz w:val="17"/>
                <w:szCs w:val="17"/>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gridSpan w:val="2"/>
            <w:vMerge w:val="continue"/>
          </w:tcPr>
          <w:p>
            <w:pPr>
              <w:spacing w:after="0"/>
              <w:rPr>
                <w:sz w:val="21"/>
                <w:szCs w:val="21"/>
                <w:color w:val="auto"/>
              </w:rPr>
            </w:pPr>
          </w:p>
        </w:tc>
        <w:tc>
          <w:tcPr>
            <w:tcW w:w="16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Issuance Date</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2024</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Term Facility</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debt issuance costs on Current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debt</w:t>
            </w:r>
          </w:p>
        </w:tc>
        <w:tc>
          <w:tcPr>
            <w:tcW w:w="16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124,842</w:t>
            </w:r>
          </w:p>
        </w:tc>
        <w:tc>
          <w:tcPr>
            <w:tcW w:w="0" w:type="dxa"/>
            <w:vAlign w:val="bottom"/>
          </w:tcPr>
          <w:p>
            <w:pPr>
              <w:spacing w:after="0"/>
              <w:rPr>
                <w:sz w:val="1"/>
                <w:szCs w:val="1"/>
                <w:color w:val="auto"/>
              </w:rPr>
            </w:pPr>
          </w:p>
        </w:tc>
      </w:tr>
      <w:tr>
        <w:trPr>
          <w:trHeight w:val="250"/>
        </w:trPr>
        <w:tc>
          <w:tcPr>
            <w:tcW w:w="760" w:type="dxa"/>
            <w:vAlign w:val="bottom"/>
            <w:shd w:val="clear" w:color="auto" w:fill="CCEEFF"/>
          </w:tcPr>
          <w:p>
            <w:pPr>
              <w:spacing w:after="0"/>
              <w:rPr>
                <w:sz w:val="21"/>
                <w:szCs w:val="21"/>
                <w:color w:val="auto"/>
              </w:rPr>
            </w:pPr>
          </w:p>
        </w:tc>
        <w:tc>
          <w:tcPr>
            <w:tcW w:w="36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Facility</w:t>
            </w:r>
          </w:p>
        </w:tc>
        <w:tc>
          <w:tcPr>
            <w:tcW w:w="16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3/1/2027</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2032</w:t>
            </w: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3/1/2022</w:t>
            </w:r>
          </w:p>
        </w:tc>
        <w:tc>
          <w:tcPr>
            <w:tcW w:w="13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3/1/2032</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6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2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1,296,643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1,241,131</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tcPr>
          <w:p>
            <w:pPr>
              <w:spacing w:after="0"/>
              <w:rPr>
                <w:sz w:val="21"/>
                <w:szCs w:val="21"/>
                <w:color w:val="auto"/>
              </w:rPr>
            </w:pPr>
          </w:p>
        </w:tc>
        <w:tc>
          <w:tcPr>
            <w:tcW w:w="368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Total debt</w:t>
            </w:r>
          </w:p>
        </w:tc>
        <w:tc>
          <w:tcPr>
            <w:tcW w:w="36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1,359,103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1,365,973</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2024, annual maturities on our debt obligations, based on contractual maturity dates,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During the three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November 30, 2024, we borrowed an additional $55.0 million under the 2022 Revolving Facility.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of up to $750.0 million under the 2022 Revolving Facility from lenders or other financial institutions. The 2022 Revolving Facility, together with the 2022 Term Facility, are referred to as the "2022 Credit Facilities".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the March 1, 2022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months ended November 30, 2024, we repaid $62.5 million under the 2022 Term Facility, inclusive of voluntary prepayments of $50.0 million. Since loan inception on March 1, 2022, we have repaid $937.5 million under the 2022 Term Facility, inclusive of voluntary prepayments of $812.5 million.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November 30,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November 30, 2024.</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November 30, 2024. We were in compliance with all covenants and requirements of the 2022 Credit Agreement as of November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the 2024 Swap Agreement to hedge a portion of our outstanding floating SOFR debt with a fixed interest rate of 5.145%. The 2024 Swap Agreement matures on February 28,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entered into the 2022 Swap Agreement to hedge a portion of our outstanding floating SOFR debt with a fixed interest rate of 1.162%. Effective December 30, 2022, we apportioned the then outstanding notional amount of the 2022 Swap Agreement between two counterparties. The 2022 Swap Agreement matured on February 28,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2024 Swap Agreement and the 2022 Swap Agreement.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14,367</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w:t>
            </w:r>
          </w:p>
        </w:tc>
      </w:tr>
    </w:tbl>
    <w:p>
      <w:pPr>
        <w:spacing w:after="0" w:line="175" w:lineRule="exact"/>
        <w:rPr>
          <w:sz w:val="20"/>
          <w:szCs w:val="20"/>
          <w:color w:val="auto"/>
        </w:rPr>
      </w:pPr>
    </w:p>
    <w:p>
      <w:pPr>
        <w:ind w:left="260" w:hanging="252"/>
        <w:spacing w:after="0" w:line="298" w:lineRule="auto"/>
        <w:tabs>
          <w:tab w:leader="none" w:pos="37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2024 for further details.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obligations as of August 31, 2024 primarily related to hosting services, acquisition of data and, to a lesser extent, third-party software providers. For the three months ended November 30, 2024, there were no new material purchase obligations.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both November 30, 2024 and August 31, 2024, we had $0.4 million of standby letters of credit outstanding, respectively. No liabilities related to these arrangements are reflected in the Consolidated Balance Sheets.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2022 Revolving Facility allows for the availability of up to $100.0 million in the form of letters of credit. We have not obtained any letters of credit under the 2022 Revolving Facility since its inception.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2022 Revolving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at November 30, 2024,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On February 20, 2024, we received a "Notice of Selection for Audit" for sales tax for the period from July 1, 2021 through December 31, 2023.</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 We entered into an agreement with the Commonwealth which fully resolved all matters relating to the Sales Taxes and do not anticipate taking additional charges with respect to this matter.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Repurchases</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8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November 30,</w:t>
            </w:r>
          </w:p>
        </w:tc>
      </w:tr>
      <w:tr>
        <w:trPr>
          <w:trHeight w:val="270"/>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under the share repurchase program</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135,950</w:t>
            </w:r>
          </w:p>
        </w:tc>
      </w:tr>
      <w:tr>
        <w:trPr>
          <w:trHeight w:val="229"/>
        </w:trPr>
        <w:tc>
          <w:tcPr>
            <w:tcW w:w="8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cost of common stock repurchased under the share repurchase program</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 vesting of stock-based awards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29,093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w:t>
            </w:r>
          </w:p>
        </w:tc>
      </w:tr>
      <w:tr>
        <w:trPr>
          <w:trHeight w:val="184"/>
        </w:trPr>
        <w:tc>
          <w:tcPr>
            <w:tcW w:w="8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Total cost of repurchases of common stock to satisfy withholding requirements due upon vesting of stock-based</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w:t>
            </w:r>
          </w:p>
        </w:tc>
      </w:tr>
    </w:tbl>
    <w:p>
      <w:pPr>
        <w:spacing w:after="0" w:line="256" w:lineRule="exact"/>
        <w:rPr>
          <w:sz w:val="20"/>
          <w:szCs w:val="20"/>
          <w:color w:val="auto"/>
        </w:rPr>
      </w:pPr>
    </w:p>
    <w:p>
      <w:pPr>
        <w:ind w:left="340" w:hanging="251"/>
        <w:spacing w:after="0" w:line="298" w:lineRule="auto"/>
        <w:tabs>
          <w:tab w:leader="none" w:pos="32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November 30, 2024, amount excludes a 1% excise tax of $0.8 million on corporate stock repurchases required under the Inflation Reduction Act of 2022.</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 On September 17, 2024, our Board of Directors authorized up to $300 million for share repurchases during fiscal 2025. As of November 30, 2024, $251.2 million remained authorized under our share repurchase program. Refer to Part II, Item 2. </w:t>
      </w:r>
      <w:r>
        <w:rPr>
          <w:rFonts w:ascii="Times New Roman" w:cs="Times New Roman" w:eastAsia="Times New Roman" w:hAnsi="Times New Roman"/>
          <w:sz w:val="18"/>
          <w:szCs w:val="18"/>
          <w:i w:val="1"/>
          <w:iCs w:val="1"/>
          <w:color w:val="auto"/>
        </w:rPr>
        <w:t>Unregistered Sales of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months ended November 30, 2024 and November 30, 2023.</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Dividends per</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Total Amount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560" w:type="dxa"/>
            <w:vAlign w:val="bottom"/>
          </w:tcPr>
          <w:p>
            <w:pPr>
              <w:spacing w:after="0"/>
              <w:rPr>
                <w:sz w:val="15"/>
                <w:szCs w:val="15"/>
                <w:color w:val="auto"/>
              </w:rPr>
            </w:pPr>
          </w:p>
        </w:tc>
        <w:tc>
          <w:tcPr>
            <w:tcW w:w="1520" w:type="dxa"/>
            <w:vAlign w:val="bottom"/>
          </w:tcPr>
          <w:p>
            <w:pPr>
              <w:jc w:val="center"/>
              <w:ind w:right="230"/>
              <w:spacing w:after="0" w:line="181" w:lineRule="exact"/>
              <w:rPr>
                <w:sz w:val="20"/>
                <w:szCs w:val="20"/>
                <w:color w:val="auto"/>
              </w:rPr>
            </w:pPr>
            <w:r>
              <w:rPr>
                <w:rFonts w:ascii="Times New Roman" w:cs="Times New Roman" w:eastAsia="Times New Roman" w:hAnsi="Times New Roman"/>
                <w:sz w:val="18"/>
                <w:szCs w:val="18"/>
                <w:color w:val="auto"/>
                <w:w w:val="99"/>
              </w:rPr>
              <w:t>Share of</w:t>
            </w:r>
          </w:p>
        </w:tc>
        <w:tc>
          <w:tcPr>
            <w:tcW w:w="1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Record Date</w:t>
            </w:r>
          </w:p>
        </w:tc>
        <w:tc>
          <w:tcPr>
            <w:tcW w:w="4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9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gridSpan w:val="2"/>
            <w:vMerge w:val="continue"/>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Common Stock</w:t>
            </w:r>
          </w:p>
        </w:tc>
        <w:tc>
          <w:tcPr>
            <w:tcW w:w="156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1.04 November 29, 2024</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39,572 December 19, 2024</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0.98 November 30, 2023</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37,299 December 21, 2023</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Future cash dividend payments are subject to final determination by our Board of Directors and will depend on our earnings, capital requirements, financial condition and other relevant factors.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as of November 30, 2024 and August 31, 2024 were as follows: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2024</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(99,075)</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(81,456)</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(79,613)</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w:t>
            </w: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19"/>
                <w:szCs w:val="19"/>
                <w:color w:val="auto"/>
              </w:rPr>
            </w:pPr>
          </w:p>
        </w:tc>
        <w:tc>
          <w:tcPr>
            <w:tcW w:w="6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vMerge w:val="continue"/>
          </w:tcPr>
          <w:p>
            <w:pPr>
              <w:spacing w:after="0"/>
              <w:rPr>
                <w:sz w:val="20"/>
                <w:szCs w:val="20"/>
                <w:color w:val="auto"/>
              </w:rPr>
            </w:pPr>
          </w:p>
        </w:tc>
        <w:tc>
          <w:tcPr>
            <w:tcW w:w="574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721</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5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913"/>
        </w:trPr>
        <w:tc>
          <w:tcPr>
            <w:tcW w:w="4600" w:type="dxa"/>
            <w:vAlign w:val="bottom"/>
          </w:tcPr>
          <w:p>
            <w:pPr>
              <w:spacing w:after="0"/>
              <w:rPr>
                <w:sz w:val="24"/>
                <w:szCs w:val="24"/>
                <w:color w:val="auto"/>
              </w:rPr>
            </w:pPr>
          </w:p>
        </w:tc>
        <w:tc>
          <w:tcPr>
            <w:tcW w:w="574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28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stock-based compensation expense consists of:</w:t>
      </w:r>
    </w:p>
    <w:p>
      <w:pPr>
        <w:spacing w:after="0" w:line="63" w:lineRule="exact"/>
        <w:rPr>
          <w:sz w:val="20"/>
          <w:szCs w:val="20"/>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restricted stock units ("RSUs") and performance share units ("PSUs") issued to eligible employees under the FactSet Research Systems Inc. Stock Option and Award Plan, as Amended and Restated (the "LTIP").</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RSUs issued to non-employee members of the Board of Directors ("non-employee directors") under the FactSet Research Systems Inc. Non-Employee Directors’ Stock Option and Award Plan, as Amended and Restated (the "Director Plan").</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purchased by eligible employees under the FactSet Research Systems Inc. Employee Stock Purchase Plan, as Amended and Restated (the "ESPP").</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a lattice-binomial option-pricing model ("binomial model") to estimate the grant date fair value for our employee stock options and the Black-Scholes model to estimate the grant date fair value for non-employee director stock options and common stock purchased by eligible employees under our ESPP.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the binomial model and Black-Scholes model involve certain estimates and assumptions such as:</w:t>
      </w:r>
    </w:p>
    <w:p>
      <w:pPr>
        <w:spacing w:after="0" w:line="181" w:lineRule="exact"/>
        <w:rPr>
          <w:sz w:val="20"/>
          <w:szCs w:val="20"/>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10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binomial model also incorporates market conditions, vesting restrictions and exercise patterns.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stock options and RSU grants, the amount of stock-based compensation expense recognized on any date is at least equal to the vested portion of the award on that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for the periods presented:</w:t>
      </w:r>
    </w:p>
    <w:p>
      <w:pPr>
        <w:spacing w:after="0" w:line="225"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8"/>
          <w:szCs w:val="18"/>
          <w:color w:val="auto"/>
        </w:rPr>
        <w:t>November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52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13,592</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14,310</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November 30, 2024, $161.6 million of total unrecognized compensation expense related to non-vested stock-based awards is expected to be recognized over the remaining weighted average vesting period of 3.4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employee stock option grant, made during the first quarter of each fiscal year, makes up the majority of our employee stock options granted under the LTIP in each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under the LTIP for the three months ended November 30, 2024 and November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5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56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00" w:type="dxa"/>
            <w:vAlign w:val="bottom"/>
          </w:tcPr>
          <w:p>
            <w:pPr>
              <w:spacing w:after="0"/>
              <w:rPr>
                <w:sz w:val="19"/>
                <w:szCs w:val="19"/>
                <w:color w:val="auto"/>
              </w:rPr>
            </w:pPr>
          </w:p>
        </w:tc>
      </w:tr>
      <w:tr>
        <w:trPr>
          <w:trHeight w:val="234"/>
        </w:trPr>
        <w:tc>
          <w:tcPr>
            <w:tcW w:w="56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3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242,371</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5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bl>
    <w:p>
      <w:pPr>
        <w:spacing w:after="0" w:line="189" w:lineRule="exact"/>
        <w:rPr>
          <w:sz w:val="20"/>
          <w:szCs w:val="20"/>
          <w:color w:val="auto"/>
        </w:rPr>
      </w:pPr>
    </w:p>
    <w:p>
      <w:pPr>
        <w:ind w:left="260" w:hanging="252"/>
        <w:spacing w:after="0" w:line="280" w:lineRule="auto"/>
        <w:tabs>
          <w:tab w:leader="none" w:pos="24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annual employee grant on November 1, 2024 and November 1, 2023, respectively which vest 20% annually on the anniversary date of the grant and are fully vested after five years, expiring ten years from the date of grant.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November 1, 2024 annual employee grant, the estimated grant date fair value, using the binomial model, leveraged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2024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405"/>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granted</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- 4.87%</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24.49 %</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employee Restricted Stock Awards grant, made during the first quarter of each fiscal year, makes up the majority of our employee Restricted Stock Awards granted under the LTIP in each fiscal year. These awards entitle the holders to shares of common stock as the Restricted Stock Awards vest, but not to dividends declared on the underlying shares while the stock, subject to the Restricted Stock Awards, is unvested.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under the LTIP for the three months ended November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November 30,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8"/>
        </w:trPr>
        <w:tc>
          <w:tcPr>
            <w:tcW w:w="5100" w:type="dxa"/>
            <w:vAlign w:val="bottom"/>
          </w:tcPr>
          <w:p>
            <w:pPr>
              <w:spacing w:after="0"/>
              <w:rPr>
                <w:sz w:val="15"/>
                <w:szCs w:val="15"/>
                <w:color w:val="auto"/>
              </w:rPr>
            </w:pPr>
          </w:p>
        </w:tc>
        <w:tc>
          <w:tcPr>
            <w:tcW w:w="13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5"/>
                <w:szCs w:val="15"/>
                <w:color w:val="auto"/>
              </w:rPr>
            </w:pPr>
          </w:p>
        </w:tc>
        <w:tc>
          <w:tcPr>
            <w:tcW w:w="174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7"/>
              </w:rPr>
              <w:t>Weighted Average</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5"/>
                <w:szCs w:val="15"/>
                <w:color w:val="auto"/>
              </w:rPr>
            </w:pPr>
          </w:p>
        </w:tc>
        <w:tc>
          <w:tcPr>
            <w:tcW w:w="1740" w:type="dxa"/>
            <w:vAlign w:val="bottom"/>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80"/>
        </w:trPr>
        <w:tc>
          <w:tcPr>
            <w:tcW w:w="5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Per Award</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Per Award</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117,568</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line="280" w:lineRule="auto"/>
        <w:tabs>
          <w:tab w:leader="none" w:pos="24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annual employee grant on November 1, 2024 and November 1, 2023, respectively which vest 20% annually on the anniversary date of the grant and are fully vested after five years.</w:t>
      </w:r>
    </w:p>
    <w:p>
      <w:pPr>
        <w:spacing w:after="0" w:line="16" w:lineRule="exact"/>
        <w:rPr>
          <w:rFonts w:ascii="Times New Roman" w:cs="Times New Roman" w:eastAsia="Times New Roman" w:hAnsi="Times New Roman"/>
          <w:sz w:val="16"/>
          <w:szCs w:val="16"/>
          <w:color w:val="auto"/>
        </w:rPr>
      </w:pPr>
    </w:p>
    <w:p>
      <w:pPr>
        <w:jc w:val="both"/>
        <w:ind w:left="260" w:hanging="252"/>
        <w:spacing w:after="0" w:line="281" w:lineRule="auto"/>
        <w:tabs>
          <w:tab w:leader="none" w:pos="25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annual employee grant on November 1, 2024 and November 1, 2023, respectively, which cliff vest on the third anniversary of the grant date, subject to the achievement of certain performance metrics. The ultimate number of common shares that may be earned pursuant to our PSU awards depends on the level of our achievement of stated financial performance objectives. The achievement range was 0% to 200% for both the November 1, 2024 and November 1, 2023 annual grants.</w:t>
      </w:r>
    </w:p>
    <w:p>
      <w:pPr>
        <w:spacing w:after="0" w:line="15" w:lineRule="exact"/>
        <w:rPr>
          <w:rFonts w:ascii="Times New Roman" w:cs="Times New Roman" w:eastAsia="Times New Roman" w:hAnsi="Times New Roman"/>
          <w:sz w:val="16"/>
          <w:szCs w:val="16"/>
          <w:color w:val="auto"/>
        </w:rPr>
      </w:pPr>
    </w:p>
    <w:p>
      <w:pPr>
        <w:ind w:left="260" w:right="20" w:hanging="252"/>
        <w:spacing w:after="0" w:line="280" w:lineRule="auto"/>
        <w:tabs>
          <w:tab w:leader="none" w:pos="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granted during the first quarter of fiscal 2025 and fiscal 2024 based on performance above the specified target level of achievement for PSUs granted on November 1, 2021 and November 9, 2020,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we had 3.3 million employee stock-based awards available for grant under the LTIP and 0.2 million non-employee director stock-based awards available for grant under the Director Plan. In accordance with the LTIP and Director Plan, each Restricted Stock Award granted or canceled/forfeited is equivalent to 2.5 shares deducted from or added back to, respectively, the aggregate number of stock-based awards available for grant.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Chief Executive Officer functions as our CODM.</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367,242</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568,667</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191,335</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r>
      <w:tr>
        <w:trPr>
          <w:trHeight w:val="423"/>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542,216</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189,040</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November 30, 2024 and August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2024</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2024</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3,301,189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3,178,800</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527,332</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600,206</w:t>
            </w:r>
          </w:p>
        </w:tc>
      </w:tr>
      <w:tr>
        <w:trPr>
          <w:trHeight w:val="229"/>
        </w:trPr>
        <w:tc>
          <w:tcPr>
            <w:tcW w:w="7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220,064</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276,034</w:t>
            </w:r>
          </w:p>
        </w:tc>
      </w:tr>
      <w:tr>
        <w:trPr>
          <w:trHeight w:val="223"/>
        </w:trPr>
        <w:tc>
          <w:tcPr>
            <w:tcW w:w="7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4,048,585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4,055,040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2024,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2024.</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November 30, 2024, we had more than 8,200 clients comprised of over 218,000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The CUSIP Global Services ("CGS") business supports security master files relied on by the investment industry for critical front, middle and back-office functions. All of our platforms and solutions are supported by our dedicated client service team.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Within each segment, we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firms in the financial services ecosystem including data, analytics and technology platform providers. "CGS" is a leader in securities identification, managed on behalf of the American Bankers Association to bring reliability to all sectors of the global financial markets.</w:t>
      </w:r>
    </w:p>
    <w:p>
      <w:pPr>
        <w:spacing w:after="0" w:line="1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5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w:t>
      </w:r>
      <w:r>
        <w:rPr>
          <w:rFonts w:ascii="Times New Roman" w:cs="Times New Roman" w:eastAsia="Times New Roman" w:hAnsi="Times New Roman"/>
          <w:sz w:val="18"/>
          <w:szCs w:val="18"/>
          <w:color w:val="auto"/>
        </w:rPr>
        <w:t>We continue to scale up our data ecosystem to provide a comprehensive inventory of industry, proprietary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data. This includes granular data for key industry verticals, real-time market data, fund data and sustainable finance. We believe that our breadth of high-quality, connected data will serve as critical raw material for large language models. In addition to using our growing data catalog to power our artificial intelligence ("AI") powered workstation products, we aim to continue to expand our data delivery capabilities in the cloud and through other methods to advance our position as an enterprise data provider for our clients.</w:t>
      </w:r>
    </w:p>
    <w:p>
      <w:pPr>
        <w:spacing w:after="0" w:line="138"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Our artificial intelligence roadmap, driven by our FactSet AI Blueprint, continues to resonate with our clients. We recently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launched new AI-powered solutions for generating portfolio performance commentary, analyzing earnings call transcripts, and requesting FactSet data using natural language queries in client-built environments and chatbots. We believe that our pragmatic, open and flexible approach to leveraging AI to enhance our clients’ workflows will differentiate FactSet from our competitors and drive growth.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First Quarter in Review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first quarter of fiscal 2025 were $568.7 million, an increase of 4.9% from the comparable prior year period. This 4.9% growth in revenues was driven by a 4.7% increase in organic revenues, a 0.1% increase from acquisition-related revenues and a net increase of 0.1% from foreign currency exchange rate fluctuations. Revenues increased in all our segments, primarily in the Americas. Revenues increased due to higher demand and price increases primarily from workstations, CGS and data solutions. Refer to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Non-GAAP Financial Measures, </w:t>
      </w:r>
      <w:r>
        <w:rPr>
          <w:rFonts w:ascii="Times New Roman" w:cs="Times New Roman" w:eastAsia="Times New Roman" w:hAnsi="Times New Roman"/>
          <w:sz w:val="18"/>
          <w:szCs w:val="18"/>
          <w:color w:val="auto"/>
        </w:rPr>
        <w:t>of this Quarterly Report on Form 10-Q for a definition of organic revenues and a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revenues and organic revenues.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November 30, 2024, organic annual subscription value ("Organic ASV") totaled $2,258.8 million, an increase of 4.5% over the prior year. Organic ASV increased in all our segments, with the majority of the increase in the Americas. The Organic ASV increase was driven by higher demand and price increases primarily from workstations and, to a lesser extent, CGS. Refer to Part I, Item 2. </w:t>
      </w:r>
      <w:r>
        <w:rPr>
          <w:rFonts w:ascii="Times New Roman" w:cs="Times New Roman" w:eastAsia="Times New Roman" w:hAnsi="Times New Roman"/>
          <w:sz w:val="18"/>
          <w:szCs w:val="18"/>
          <w:i w:val="1"/>
          <w:iCs w:val="1"/>
          <w:color w:val="auto"/>
        </w:rPr>
        <w:t>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Results of Operations, Annual Subscription Value, </w:t>
      </w:r>
      <w:r>
        <w:rPr>
          <w:rFonts w:ascii="Times New Roman" w:cs="Times New Roman" w:eastAsia="Times New Roman" w:hAnsi="Times New Roman"/>
          <w:sz w:val="18"/>
          <w:szCs w:val="18"/>
          <w:color w:val="auto"/>
        </w:rPr>
        <w:t>of this Quarterly Report on Form 10-Q for the definitions of Organic ASV.</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decreased to 33.6% during the three months ended November 30, 2024, compared with 34.9% in the prior year period. When expenses are expressed as a percentage of revenues, this decrease in operating margin was mainly due to higher amortization of intangible assets and professional fees, partially offset by growth in revenues and a decrease in employee compensation costs. Diluted earnings per common share ("Diluted EPS") for the three months ended November 30, 2024 was $3.89, an increase of 1.3% compared with the prior 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$88.0 million to our stockholders in the form of share repurchases and dividends during the three months ended November 30,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our client and user count was 8,249 and 218,267, respectively. Our employee headcount was 12,575 as of November 30, 2024, up 0.5% compared to the prior year. This increase was driven by net headcount growth of 1.4% in Asia Pacific and 0.3% in EMEA, while the Americas experienced a net headcount reduction of 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spacing w:after="0" w:line="276"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Beginning in fiscal 2025, we are reporting Organic ASV, rather than Organic ASV plus professional services, to focus on the recurring nature of our revenues. This underscores the shift of FactSet's offerings toward providing more managed services and less project-based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0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November 30, 2024.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As of November 30, 2024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2,265.9</w:t>
            </w:r>
          </w:p>
        </w:tc>
      </w:tr>
      <w:tr>
        <w:trPr>
          <w:trHeight w:val="229"/>
        </w:trPr>
        <w:tc>
          <w:tcPr>
            <w:tcW w:w="88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Acquisition ASV</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2,258.8</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annual growth rate</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r>
    </w:tbl>
    <w:p>
      <w:pPr>
        <w:spacing w:after="0" w:line="189"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Acquired ASV from acquisitions completed within the last 12 months.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2024, Organic ASV was $2,258.8 million, an increase of 4.5% compared with November 30, 2023. Organic ASV increased in all our segments, with the majority of the increase in the Americas. The increase in Organic ASV was driven by higher sales to existing clients, price increases to existing clients and sales to new clients, partially offset by existing client cancellations. These higher sales and price increases were primarily attributable to workstations and, to a lesser extent, CGS.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ASV from the Americas represented 65% of total ASV and was $1,464.5 million, an increase from $1,393.1 million as of November 30, 2023. Americas Organic ASV was $1,456.4 million as of November 30, 2024, a 4.5% increase from the prior year period. The Organic ASV increase in the Americas was driven by higher demand and price increases primarily from workstations and, to a lesser extent, CGS.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ASV from EMEA represented 25% of total ASV and was $572.4 million, an increase from $551.7 million as of November 30, 2023. EMEA Organic ASV was $572.4 million as of November 30, 2024, a 3.6% increase from the prior year period. The EMEA Organic ASV increase was driven by higher demand and price increases mainly from middle office solutions, data solutions and CGS.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ASV from Asia Pacific represented 10% of total ASV and was $229.0 million, an increase from $214.6 million as of November 30, 2023. Asia Pacific Organic ASV was $230.0 million as of November 30, 2024, a 7.0% increase from the prior year period. The Asia Pacific Organic ASV increase was driven by higher demand and price increases primarily from data solutions and workstations.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November 30, 2024 were 4.3% and 3.5%, respectively. Buy-side clients account for approximately 82% of our Organic ASV, consistent with the prior year period, and primarily include institutional asset managers, wealth managers, asset owners, partners, hedge funds and corporate clients. The remaining Organic ASV is derived from sell-side firms, primarily including broker-dealers, banking and advisory firms, and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6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As of November 30, 2024</w:t>
            </w:r>
          </w:p>
        </w:tc>
        <w:tc>
          <w:tcPr>
            <w:tcW w:w="2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As of November 30, 2023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(1)(2)</w:t>
            </w:r>
          </w:p>
        </w:tc>
        <w:tc>
          <w:tcPr>
            <w:tcW w:w="3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8,249</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30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r>
              <w:rPr>
                <w:rFonts w:ascii="Times New Roman" w:cs="Times New Roman" w:eastAsia="Times New Roman" w:hAnsi="Times New Roman"/>
                <w:sz w:val="23"/>
                <w:szCs w:val="23"/>
                <w:color w:val="auto"/>
                <w:vertAlign w:val="superscript"/>
              </w:rPr>
              <w:t>(2)</w:t>
            </w:r>
          </w:p>
        </w:tc>
        <w:tc>
          <w:tcPr>
            <w:tcW w:w="3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218,267</w:t>
            </w: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207,083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44"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client count includes clients with ASV of $10,000 and above.</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client and user count does not reflect the acquisition of Platform Group Limited ("Irwin").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8,249 as of November 30, 2024, a net increase of 3.8% or 304 clients in the last 12 months, mainly due to an increase in corporate clients and wealth management clients.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2024, there were 218,267 professionals using FactSet, representing a net increase of 5.4% or 11,184 users in the last 12 months, primarily driven by an increase in wealth users.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for the period ended November 30, 2024 and November 30, 2023. When expressed as a percentage of clients, annual retention was 91% for the period ended November 30, 2024, compared with 90% for the period ended November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our net employee headcount increased by 0.5% to 12,575, compared with 12,515 employees as of November 30, 2023. This net headcount growth was primarily driven by an increase in employees based in India, as a result of our continued investment in our centers of excellence ("COEs"). Approximately 68% of our employees are located in our COEs.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compared to November 30, 2023, our net headcount growth was 1.4% in Asia Pacific and 0.3% in EMEA, while the Americas experienced a net headcount reduction of 2.6%. As of November 30, 2024, we had 8,715 employees located in Asia Pacific, 2,436 in the Americas and 1,424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months ended November 30, 2024 and November 30, 2023, the following discussion should be read in conjunction with the Consolidated Financial Statements and related Notes presented in Part I, Item 1.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6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0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1060" w:type="dxa"/>
            <w:vAlign w:val="bottom"/>
          </w:tcPr>
          <w:p>
            <w:pPr>
              <w:spacing w:after="0"/>
              <w:rPr>
                <w:sz w:val="23"/>
                <w:szCs w:val="23"/>
                <w:color w:val="auto"/>
              </w:rPr>
            </w:pPr>
          </w:p>
        </w:tc>
      </w:tr>
      <w:tr>
        <w:trPr>
          <w:trHeight w:val="378"/>
        </w:trPr>
        <w:tc>
          <w:tcPr>
            <w:tcW w:w="7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258,779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3"/>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191,335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0"/>
        </w:trPr>
        <w:tc>
          <w:tcPr>
            <w:tcW w:w="756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060" w:type="dxa"/>
            <w:vAlign w:val="bottom"/>
            <w:shd w:val="clear" w:color="auto" w:fill="CCEEFF"/>
          </w:tcPr>
          <w:p>
            <w:pPr>
              <w:spacing w:after="0"/>
              <w:rPr>
                <w:sz w:val="19"/>
                <w:szCs w:val="19"/>
                <w:color w:val="auto"/>
              </w:rPr>
            </w:pPr>
          </w:p>
        </w:tc>
      </w:tr>
      <w:tr>
        <w:trPr>
          <w:trHeight w:val="234"/>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November 30, 2024 were $568.7 million, an increase of 4.9%. This 4.9% growth in revenues was driven by a 4.7% increase in organic revenues, which totaled $567.7 million for the three months ended November 30, 2024, a 0.1% increase from acquisition-related revenues and a net increase of 0.1% from foreign currency exchange rate fluctuations. Revenues increased in all our segments, primarily in the Americas. The increase in revenues was driven by higher demand and price increases primarily from workstations, CGS and data solutions.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4"/>
                <w:szCs w:val="24"/>
                <w:color w:val="auto"/>
              </w:rPr>
            </w:pPr>
          </w:p>
        </w:tc>
      </w:tr>
      <w:tr>
        <w:trPr>
          <w:trHeight w:val="270"/>
        </w:trPr>
        <w:tc>
          <w:tcPr>
            <w:tcW w:w="6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367,242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348,367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64.6 %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64.3 %</w:t>
            </w:r>
          </w:p>
        </w:tc>
        <w:tc>
          <w:tcPr>
            <w:tcW w:w="118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143,725</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139,561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25.3 %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118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57,700</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8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568,667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542,216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revenues increased 5.4% to $367.2 million during the three months ended November 30, 2024, compared with $348.3 million from the same period a year ago. This growth in revenues was reflective of a 5.2% increase in organic revenues and a 0.2% increase from acquisition-related revenues. The increase in revenues was driven by higher demand and price increases primarily from workstations and, to a lesser extent, CGS.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revenues increased 3.0% to $143.8 million during the three months ended November 30, 2024, compared with $139.6 million from the same period a year ago. This growth in revenues was reflective of organic revenues growth of 2.7%, a net increase of 0.2% from foreign currency exchange rate fluctuations and a 0.1% increase from acquisition-related revenues. The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revenues was driven by higher demand and price increases primarily from middle office solutions, CGS and data solutions.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revenues increased 6.3% to $57.7 million during the three months ended November 30, 2024, compared with $54.3 million from the same period a year ago. This growth in revenues was reflective of a 6.2% increase in organic revenues and a 0.1% increase from acquisition-related revenues. The increase in revenues was driven by higher demand and price increases primarily from workstations and data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r>
      <w:tr>
        <w:trPr>
          <w:trHeight w:val="270"/>
        </w:trPr>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258,779</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251,621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118,553</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101,555</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377,332</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353,176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70"/>
        </w:trPr>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191,335</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189,040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4300" w:type="dxa"/>
            <w:vAlign w:val="bottom"/>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33.6 %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34.9 %</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2.8% to $258.8 million for the three months ended November 30, 2024, compared with $251.6 million for the same period a year ago, primarily due to an increase in amortization of intangible assets, partially offset by a decrease in employee compensation costs.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45.5% for the three months ended November 30, 2024, a decrease of 90 basis points compared with the same period a year ago. This decrease was primarily due to lower employee compensation costs, partially offset by an increase in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by 180 basis points primarily driven by a decrease in variable compensation costs.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120 basis points mainly due to higher amortization from increased capitalized costs related to the development of our internal-use software.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increased 16.7% to $118.6 million for the three months ended November 30, 2024, compared with $101.6 million from the same period a year ago, primarily driven by higher employee compensation costs and professional fees.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SG&amp;A, when expressed as a percentage of revenues, was 20.8% for the three months ended November 30, 2024, an increase of 210 basis points compared with the same period a year ago. This increase was primarily driven by higher employee compensation costs and professional fees.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100 basis points, primarily driven by an increase in variable compensation costs, higher restructuring charges (as the prior year benefited from the release of certain severance-related accruals) and an increase in employee-benefit costs driven by lower capitalized SG&amp;A expenses associated with the development of our internal-use software.</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by 70 basis points mainly due to costs incurred in connection with the acquisition of Irwin.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1.2% to $191.3 million for the three months ended November 30, 2024, compared with $189.0 million in the prior year period. This increase was primarily driven by growth in revenues, partially offset by an increase in amortization of intangible assets, employee compensation costs and professional fees. Foreign currency exchange rate fluctuations, net of hedge activity, decreased operating income by $1.1 million for the three months ended November 30, 2024 compared with the three months ended November 30, 2023.</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33.6% during the three months ended November 30, 2024, compared with 34.9% in the prior year period. When expenses are expressed as a percentage of revenues, this decrease in operating margin was mainly due to higher amortization of intangible assets and professional fees, partially offset by growth in revenues and a decrease in employee compensation costs.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November 30,</w:t>
            </w:r>
          </w:p>
        </w:tc>
        <w:tc>
          <w:tcPr>
            <w:tcW w:w="118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5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81,798</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40,499</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5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191,335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859"/>
        </w:trPr>
        <w:tc>
          <w:tcPr>
            <w:tcW w:w="3860" w:type="dxa"/>
            <w:vAlign w:val="bottom"/>
          </w:tcPr>
          <w:p>
            <w:pPr>
              <w:spacing w:after="0"/>
              <w:rPr>
                <w:sz w:val="24"/>
                <w:szCs w:val="24"/>
                <w:color w:val="auto"/>
              </w:rPr>
            </w:pPr>
          </w:p>
        </w:tc>
        <w:tc>
          <w:tcPr>
            <w:tcW w:w="35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2024 compared with three months ended November 30,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operating income increased 1.2% to $81.8 million during the three months ended November 30, 2024, compared with $80.8 million in the same period a year ago. This increase was primarily due to growth in revenues of 5.4%, partially offset by higher amortization of intangible assets and employee compensation costs. Amortization of intangible assets increased mainly due to higher amortization from increased capitalized costs related to the development of our internal-use software. Employee compensation costs increased primarily due to higher variable compensation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EMEA operating income increased 0.3% to $69.0 million during the three months ended November 30, 2024, compared with $68.9 million in the same period a year ago. This increase was primarily due to growth in revenues of 3.0%, partially offset by an increase in bad debt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3.0% to $40.5 million during the three months ended November 30, 2024, compared with $39.3 million in the same period a year ago. This increase was mainly due to growth in revenues of 6.3%, partially offset by an increase in employee compensation costs. Employee compensation costs increased primarily due to higher annual base salaries driven by annual merit increases and a net headcount increase of 120 employees, partially offset by a decrease in variable compensation costs and post-employment benefits.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2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99"/>
              </w:rPr>
              <w:t>2023</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179,739</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175,196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29,717</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26,641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15.2 %</w:t>
            </w: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("U.S.") and various foreign jurisdictions in which we conduct our business.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for the three months ended November 30, 2024 was 16.5%, compared with 15.2% for the three months ended November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the revaluation of a deferred tax asset associated with a foreign tax rate change.</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statutory federal income tax rate primarily due to excess tax benefits from stock-based compensation, utilization of foreign tax credits, and research and development ("R&amp;D") tax credits, partially offset by our net state taxes.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2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580" w:type="dxa"/>
            <w:vAlign w:val="bottom"/>
          </w:tcPr>
          <w:p>
            <w:pPr>
              <w:spacing w:after="0"/>
              <w:rPr>
                <w:sz w:val="19"/>
                <w:szCs w:val="19"/>
                <w:color w:val="auto"/>
              </w:rPr>
            </w:pPr>
          </w:p>
        </w:tc>
        <w:tc>
          <w:tcPr>
            <w:tcW w:w="22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November 30,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gridSpan w:val="2"/>
            <w:vMerge w:val="continue"/>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148,555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38,643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income and Diluted EPS for the three months ended November 30, 2024, compared to the respective prior year period, was primarily driven by higher operating income and a decrease in interest expense, partially offset by an increase in the 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Organic revenues exclude the current year impact of revenues from acquisitions and dispositions completed within the past 12 months ("Acquisition revenues" and "Disposition revenues", respectively) and the current year impact from changes in foreign currency. The table below provides an unaudited reconciliation of revenues to organic 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November 30,</w:t>
            </w:r>
          </w:p>
        </w:tc>
        <w:tc>
          <w:tcPr>
            <w:tcW w:w="126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568,667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3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6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567,673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859"/>
        </w:trPr>
        <w:tc>
          <w:tcPr>
            <w:tcW w:w="3860" w:type="dxa"/>
            <w:vAlign w:val="bottom"/>
          </w:tcPr>
          <w:p>
            <w:pPr>
              <w:spacing w:after="0"/>
              <w:rPr>
                <w:sz w:val="24"/>
                <w:szCs w:val="24"/>
                <w:color w:val="auto"/>
              </w:rPr>
            </w:pPr>
          </w:p>
        </w:tc>
        <w:tc>
          <w:tcPr>
            <w:tcW w:w="36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9"/>
                <w:szCs w:val="19"/>
                <w:color w:val="auto"/>
              </w:rPr>
            </w:pPr>
          </w:p>
        </w:tc>
        <w:tc>
          <w:tcPr>
            <w:tcW w:w="23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November 30,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191,335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189,040</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16,581</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17,344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2,398</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(2,419)</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213,750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203,965</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150,022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1.0 %</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229,856</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and related costs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38,517</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tax dispute relates to a resolved matter with the Massachusetts Department of Revenue.</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ind w:left="260" w:hanging="252"/>
        <w:spacing w:after="0" w:line="280" w:lineRule="auto"/>
        <w:tabs>
          <w:tab w:leader="none" w:pos="2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November 30, 2024 and November 30, 2023 were taxed at an adjusted tax rate of 25.2% and 28.7%, respectively.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As of November 30, 2024, Cash and cash equivalents were $289.2 million, compared with $423.0 million as of August 31, 2024. Refer to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Flows </w:t>
      </w:r>
      <w:r>
        <w:rPr>
          <w:rFonts w:ascii="Times New Roman" w:cs="Times New Roman" w:eastAsia="Times New Roman" w:hAnsi="Times New Roman"/>
          <w:sz w:val="18"/>
          <w:szCs w:val="18"/>
          <w:color w:val="auto"/>
        </w:rPr>
        <w:t>within this section below, for more information on cash flows during the first quarter of fiscal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$130.8 million in the Americas, $100.5 million in EMEA (predominantly in the UK) and the remaining $57.9 million in Asia Pacific (predominantly in the Philippines and India) as of November 30, 2024.</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our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During the three months ended November 30, 2024, we borrowed an additional $55.0 million under the 2022 Revolving Facility.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of up to $750.0 million under the 2022 Revolving Facility from lenders or other financial institutions. The 2022 Revolving Facility, together with the 2022 Term Facility, are referred to as the "2022 Credit Facilities".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used the March 1, 2022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months ended November 30, 2024, we repaid $62.5 million under the 2022 Term Facility, inclusive of voluntary prepayments of $50.0 million. Since loan inception on March 1, 2022, we have repaid $937.5 million under the 2022 Term Facility, inclusive of voluntary prepayments of $812.5 million. As of November 30, 2024, we had short-term liquidity requirements of $62.5 million related to the outstanding balance of the 2022 Term Facility which becomes due March 1, 2025.</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Secured Overnight Financing Rate ("SOFR") plus a 1.1% spread (comprised of a 1.0% interest rate margin based on a debt leverage pricing grid plus a 0.1% credit spread adjustment). From December 1, 2023 through November 30,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November 30, 2024.</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3.50 to 1.00 as of November 30, 2024. We were in compliance with all covenants and requirements of the 2022 Credit Agreement as of November 30, 2024.</w:t>
      </w:r>
    </w:p>
    <w:p>
      <w:pPr>
        <w:spacing w:after="0" w:line="14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 2022 Credit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Swap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2024, we entered into an interest rate swap agreement ("2024 Swap Agreement") to hedge a portion of our outstanding floating SOFR debt with a fixed interest rate of 5.145%. The 2024 Swap Agreement matures on February 28, 2025.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2024 Swap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we entered into an interest rate swap agreement (the "2022 Swap Agreement") to hedge a portion of our outstanding floating SOFR debt with a fixed interest rate of 1.162%. The 2022 Swap Agreement matured on February 28, 2024.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2022 Swap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 Interest on the Senior Notes is payable semiannually in arrears on March 1 and September 1 of each year.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$88.0 million and $97.0 million to our stockholders in the form of share repurchases and dividends during the three months ended November 30, 2024 and November 30, 2023, respectively. Over the last 12 months, we returned $377.0 million to our stockholders in the form of share repurchases and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three months ended November 30, 2024 and November 30, 2023, we repurchased 104,475 shares for $48.8 million and 135,950 shares for $59.9 million,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On September 17, 2024, our Board of Directors authorized up to $300 million for share repurchases during fiscal 2025. As of November 30, 2024, $251.2 million remained authorized under our share repurchase program. 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2024 and November 30, 2023, we paid dividends of $39.2 million and $37.1 million, respectively. Future cash dividend payments are subject to final determination by our Board of Directors and will depend on our earnings, capital requirements, financial condition and other relevant factors.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2024, capital expenditures increased by 57.1% to $25.9 million, compared with $16.5 million for the same period a year ago. This increase was primarily due to higher capitalized costs related to the development of our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$123.2 million, net of cash acquired, and inclusive of preliminary working capital adjustments. The purchase price includes contingent consideration of $12.7 million which reflects the acquisition date fair value of potential future payments that are contingent upon the achievement of certain specified milestones. Irwin is a leading investor relations and capital markets platform for public companies and their advisors. This acquisition builds on a recent successful partnership between FactSet and Irwin, and expands our ability to address the holistic workflow needs of investor relations professionals with an integrated, modern solution. Refer to Note 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this acquisition.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2024, we had total purchase obligations with suppliers and vendors of $382.6 million. Our total purchase obligations as of August 31, 2024 primarily related to hosting services, acquisition of data and, to a lesser extent, third-party software providers. For the three months ended November 30, 2024, there were no new material contractual obligations.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86,372</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(68,772)</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74,493</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(120,222)</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2024, net cash provided by operating activities was $86.4 million, which included net income of $150.0 million, non-cash charges of $79.8 million and a net cash outflow of $143.4 million to support our working capital requirements. The non-cash charges were primarily driven by depreciation and amortization and deferred income taxes. The change in our working capital was primarily driven by cash outflows related to payments of our annual variable compensation, payments to resolve an outstanding sales tax dispute and timing of income tax and vendor payments.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30, 2023, net cash provided by operating activities was $155.1 million, which included net income of $148.6 million, non-cash charges of $59.5 million and a net cash outflow of $53.0 million to support our working capital requirements. The non-cash charges were primarily driven by depreciation and amortization and stock-based compensation expense. The change in our working capital was primarily driven by a cash outflow related to our annual variable compensation payment, partially offset by the timing of payments related to accrued expenses.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2024, net cash used in investing activities was $145.1 million. The cash used in investing activities primarily consisted of $115.2 million of acquisition-related consideration, mainly related to the Irwin transaction, and $25.9 million of capital expenditures driven by the capitalization of internal-use software development costs.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2023, net cash used in investing activities was $25.2 million. The cash used in investing activities was primarily related to capital expenditures of $16.5 million mainly due to the capitalization of compensation costs related to the development of our internal-use software and investments in network-related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2024, net cash used in financing activities was $70.1 million, consisting mainly of $62.5 million related to the partial repayment of the 2022 Term Facility and $48.8 million of share repurchases, partially offset by $55 million of proceeds related to additional borrowings under the 2022 Revolving Facility.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2023, net cash used in financing activities was $144.6 million, consisting mainly of $62.5 million related to the partial repayment of the 2022 Term Facility, $59.9 million of share repurchases and $37.1 million of dividend payments, partially offset by $28.4 million of proceeds from employee stock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86,372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155,144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(68,772)</w:t>
            </w:r>
          </w:p>
        </w:tc>
        <w:tc>
          <w:tcPr>
            <w:tcW w:w="0" w:type="dxa"/>
            <w:vAlign w:val="bottom"/>
          </w:tcPr>
          <w:p>
            <w:pPr>
              <w:spacing w:after="0"/>
              <w:rPr>
                <w:sz w:val="1"/>
                <w:szCs w:val="1"/>
                <w:color w:val="auto"/>
              </w:rPr>
            </w:pPr>
          </w:p>
        </w:tc>
      </w:tr>
      <w:tr>
        <w:trPr>
          <w:trHeight w:val="184"/>
        </w:trPr>
        <w:tc>
          <w:tcPr>
            <w:tcW w:w="6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6"/>
                <w:szCs w:val="16"/>
                <w:color w:val="auto"/>
              </w:rPr>
            </w:pPr>
          </w:p>
        </w:tc>
        <w:tc>
          <w:tcPr>
            <w:tcW w:w="11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rPr>
              <w:t>(25,874)</w:t>
            </w:r>
          </w:p>
        </w:tc>
        <w:tc>
          <w:tcPr>
            <w:tcW w:w="540" w:type="dxa"/>
            <w:vAlign w:val="bottom"/>
          </w:tcPr>
          <w:p>
            <w:pPr>
              <w:spacing w:after="0"/>
              <w:rPr>
                <w:sz w:val="16"/>
                <w:szCs w:val="16"/>
                <w:color w:val="auto"/>
              </w:rPr>
            </w:pP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(16,466)</w:t>
            </w:r>
          </w:p>
        </w:tc>
        <w:tc>
          <w:tcPr>
            <w:tcW w:w="2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14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82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60,498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138,678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free cash flow of $60.5 million during the three months ended November 30, 2024, a decrease of $78.2 million compared with the same period a year ago. This decrease was driven by a $68.8 million reduction in cash provided by operating activities, primarily due to an increase in working capital requirements, and higher capitalized costs mainly related to the development of our internal-use software. The increase in working capital was mainly due to the resolution of a sales tax dispute and the timing of income tax and vendor payments.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November 30, 2024 and August 31, 2024, we had no off-balance sheet financing other than letters of credit incurred in the ordinary course of business.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2024 and August 31, 2024,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three months ended November 30, 2024 and November 30, 2023, we maintained a series of foreign currency forward contracts to hedge a portion of our projected operating expenses in our primary currency exposures, namely the British Pound Sterling, Euro, Indian Rupee and Philippine Peso. As of November 30, 2024, the hedge maturity periods of our outstanding foreign currency forward contracts range from the second quarter of fiscal 2025 through the first quarter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November 30, 2024</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2024</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vMerge w:val="continue"/>
          </w:tcPr>
          <w:p>
            <w:pPr>
              <w:spacing w:after="0"/>
              <w:rPr>
                <w:sz w:val="21"/>
                <w:szCs w:val="21"/>
                <w:color w:val="auto"/>
              </w:rPr>
            </w:pP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55,341</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4,347,919</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4,651,351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1,952,008</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1,850,674</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180,419</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188,155</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2024. These accounting policies were consistently applied in preparing our Consolidated Financial Statements for the three months ended November 30, 2024.</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2024.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three months ended November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three months ended November 30, 2024, we maintained a series of foreign currency forward contracts to hedge a portion of our projected operating expenses in these primary currency exposures, namely the British Pound Sterling, Euro, Indian Rupee and Philippine Peso. As of November 30, 2024, the hedge maturity periods of our outstanding foreign currency forward contracts range from the second quarter of fiscal 2025 through the first quarter of fiscal 2026. Foreign currency exchange rate fluctuations, net of hedge activity, decreased operating income by $1.1 million for the three months ended November 30, 2024, when compared to the same respective period a year ago. We utilize cash flow hedges to manage risk and not for speculative or trading purposes.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November 30, 2024, relative to the other foreign currencies in which we transact. The sensitivity analysis indicated that a devaluation of the U.S. dollar by 10% would have increased the fair value of our outstanding forward contracts by approximately $17 million as of November 30, 2024 and decreased our operating income, excluding these forward contracts, by an estimated $11 million for three months ended November 30, 2024.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39"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November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2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2024, we had Cash and cash equivalents of $289.2 million and Investments of $69.6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2024, our outstanding floating rate debt included $62.5 million under the 2022 Term Facility and $305.0 million under the 2022 Revolving Facility. As of November 30, 2024, the outstanding borrowings under the 2022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Facilities bore interest at a rate equal to the applicable one-month Term SOFR plus a 0.975% spread (comprised of a 0.875% interest rate margin based on a debt leverage pricing grid plus a 0.1% credit spread adjustment).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2024 Swap Agreement on March 1, 2024, to hedge a portion of our outstanding floating SOFR debt with a fixed interest rate of 5.145%. As of November 30, 2024, the 2024 Swap Agreement has a notional amount of $50.0 million and matures on February 28, 2025.</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 As such, our interest rate exposure is limited to the outstanding principal balance of our floating rate debt under our 2022 Credit Facilities in excess of our swap agreements. As of November 30, 2024, our interest rate exposure on our floating rate debt, net of our 2024 Swap Agreement, was $317.5 million. Assuming the principal balance of our outstanding floating rate debt, net of the 2024 Swap Agreement, remained at $317.5 million, a hypothetical 25 basis point change (up or down) in the one-month SOFR would result in an approximate $1 million change to our annual interest expense as of November 30, 2024.</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swap agreements and outstanding borrowings as of November 30,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Based on the evaluation of our disclosure controls and procedures, our Principal Executive Officer and Principal Financial Officer have concluded that, as a result of material weaknesses in our internal control over financial reporting identified in connection with the preparation and audit of our Consolidated Financial Statements for the year ended August 31, 2024, our disclosure controls and procedures were not effective as of November 30, 2024.</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the material weakness, management has concluded the Consolidated Financial Statements included in this Quarterly Report on Form 10-Q present fairly, in all material respects, our financial position, results of operations and cash flows for the periods presented in conformity with U.S. GAAP.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included in our Annual Report on Form 10-K for the fiscal year ended August 31, 2024, management identified certain control deficiencies related to the design and operation of our information technology (“IT”) general controls (“ITGCs”) that support our revenues, accounts receivable, and deferred revenues processes which, in the aggregate, rise to a material weakness in internal control over financial reporting. The deficiencies related to program change management and user access in connection with segregation of duties and restriction to appropriate users. As a result, the automated controls and IT dependent manual business process controls that rely upon information from the affected financial applications were also deemed not effective. Management has also concluded the material weakness existed in the prior year.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full consideration to the material weakness, and the additional analyses and other procedures we performed to ensure that our Consolidated Financial Statements included in this Quarterly Report on Form 10-Q were prepared in accordance with GAAP, our management has concluded that our Consolidated Financial Statements present fairly, in all material respects, our financial position, results of operations and cash flows for the periods disclosed in conformity with GAAP. We have developed and are implementing a remediation plan for the material weakness, which is described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committed to remediating the material weakness in a timely manner. We are in the process of implementing and enhancing our internal controls related to the design and operation of our ITGCs that support our revenues, accounts receivable, and deferred revenues processes. As previously disclosed in our Annual Report on Form 10-K for the fiscal year ended August 31, 2024, our remediation plan includes, but is not limited to: (i) increasing timely reviews of IT system changes made; (ii) rationalizing access privileges for developer system users; (iii) implementing or modifying controls related to program change management and certain computer operations; and (iv) training of relevant personnel on the design and operation of any new or modified ITGCs.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steps are subject to ongoing management review, as well as oversight by the Audit Committee of our Board of Directors. Additional or modified measures may also be required to remediate the material weakness. We believe that these actions, collectively, will remediate the material weakness identified. However, we will not be able to conclude that we have completely remediated the material weakness until the applicable controls are fully implemented and operated for a sufficient period of time and management has concluded, through formal testing, that the remediated controls are operating effectively. We expect to complete these remediation measures as early as practicable in fiscal 2025. We will continue to monitor the design and effectiveness of these and other processes, procedures, and controls and will make any further changes management deems appropriate.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we are implementing our remediation plan related to the material weakness. There have been no changes in our internal control over financial reporting (as such term is defined in Rules 13a-15(f) and 15d-15(f) under the Exchange Act) during the three months ended November 30, 2024 that have materially affected, or are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7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November 30, 2024:</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5"/>
                <w:szCs w:val="15"/>
                <w:color w:val="auto"/>
              </w:rPr>
            </w:pPr>
          </w:p>
        </w:tc>
        <w:tc>
          <w:tcPr>
            <w:tcW w:w="1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47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24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color w:val="auto"/>
              </w:rPr>
              <w:t>(1)</w:t>
            </w: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297,906</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271,862</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251,210</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133,568</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104,475</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60" w:hanging="328"/>
        <w:spacing w:after="0" w:line="290"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104,475 shares purchased under the stock repurchase program, as well as 29,093 shares repurchased to satisfy withholding tax obligations due upon the vesting of stock-based awards.</w:t>
      </w:r>
    </w:p>
    <w:p>
      <w:pPr>
        <w:jc w:val="both"/>
        <w:ind w:left="660" w:hanging="328"/>
        <w:spacing w:after="0" w:line="260"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September 17, 2024, our Board of Directors authorized up to $300 million for share repurchases, which are available during fiscal 2025. As of November 30, 2024, $251.2 million remained authorized under our share repurchase program.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w:t>
      </w:r>
      <w:r>
        <w:rPr>
          <w:rFonts w:ascii="Times New Roman" w:cs="Times New Roman" w:eastAsia="Times New Roman" w:hAnsi="Times New Roman"/>
          <w:sz w:val="16"/>
          <w:szCs w:val="16"/>
          <w:i w:val="1"/>
          <w:iCs w:val="1"/>
          <w:color w:val="auto"/>
        </w:rPr>
        <w:t xml:space="preserve">Management's Discussion and Analysis of Financial Condition and Results of Operations, Liquidity and Capital Resources, </w:t>
      </w:r>
      <w:r>
        <w:rPr>
          <w:rFonts w:ascii="Times New Roman" w:cs="Times New Roman" w:eastAsia="Times New Roman" w:hAnsi="Times New Roman"/>
          <w:sz w:val="16"/>
          <w:szCs w:val="16"/>
          <w:color w:val="auto"/>
        </w:rPr>
        <w:t>of this Quarterly Report on Form 10-Q for further discussion on our share repurchase program.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2024, we entered into an agreement to adopt a trading arrangement for the repurchase of shares of our common stock in the open market consistent with the provisions of Rule 10b5-1 of the Exchange Act. The arrangement provides for the repurchase of up to $250 million of our common stock during the period from September 27, 2024 through August 28, 2025 pursuant to a written algorithm for determining the amount, price and date for purchase of shares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September 26, 2024, F. Philip Snow, our Chief Executive Officer, adopted a trading plan for the monthly exercise of non-qualified stock options and the sale of shares of FactSet common stock issued upon exercise of those options, with an effective date of January 2, 2025 and an expiration date of December 5, 2025. This plan is intended to satisfy the affirmative defense conditions of Rule 10b5-1(c) of the Exchange Act. Pursuant to the plan, the aggregate number of options to be exercised, and the aggregate number of shares of common stock to be sold upon exercise of those options, is not to exceed 36,000.</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other directors or officers (as defined in Section 16 of the Exchange Act), adopted or terminated a Rule 10b5-1 trading arrangement or a non-Rule 10b5-1 trading arrangement (each as defined in Item 408(a) and (c) of Regulation S-K) during the three months ended November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80"/>
        </w:trPr>
        <w:tc>
          <w:tcPr>
            <w:tcW w:w="12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3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Exhibit No.  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tcBorders>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8, 2025</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3" w:name="page54"/>
    <w:bookmarkEnd w:id="5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4" w:name="page55"/>
    <w:bookmarkEnd w:id="5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January 8,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2024,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8, 2025</w:t>
      </w:r>
    </w:p>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2024,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endash "/>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Roman"/>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2025-01-08T06:46:37Z</dcterms:created>
  <dcterms:modified xsi:type="dcterms:W3CDTF">2025-01-08T06:46:37Z</dcterms:modified>
</cp:coreProperties>
</file>