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February 28, 2026</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March 26, 2026 was 36,431,127.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February 28, 2026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4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9"/>
        </w:trPr>
        <w:tc>
          <w:tcPr>
            <w:tcW w:w="940" w:type="dxa"/>
            <w:vAlign w:val="bottom"/>
            <w:vMerge w:val="continue"/>
          </w:tcPr>
          <w:p>
            <w:pPr>
              <w:spacing w:after="0"/>
              <w:rPr>
                <w:sz w:val="19"/>
                <w:szCs w:val="19"/>
                <w:color w:val="auto"/>
              </w:rPr>
            </w:pPr>
          </w:p>
        </w:tc>
        <w:tc>
          <w:tcPr>
            <w:tcW w:w="974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Statements of Income for the three and six months ended February 28, 2026 and February 28,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six months ended February 28, 2026 and February 28, 2025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Balance Sheets at February 28, 2026 and August 31,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Cash Flows for the six months ended February 28, 2026 and February 28, 2025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974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six months ended February 28, 2026 and February 28,</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40"/>
        </w:trPr>
        <w:tc>
          <w:tcPr>
            <w:tcW w:w="940" w:type="dxa"/>
            <w:vAlign w:val="bottom"/>
          </w:tcPr>
          <w:p>
            <w:pPr>
              <w:spacing w:after="0"/>
              <w:rPr>
                <w:sz w:val="12"/>
                <w:szCs w:val="12"/>
                <w:color w:val="auto"/>
              </w:rPr>
            </w:pPr>
          </w:p>
        </w:tc>
        <w:tc>
          <w:tcPr>
            <w:tcW w:w="9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97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Mine Safety Disclosures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Signatures</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express management's current views concerning expectations, estimates, trends, forecasts and projections about future events, trends, contingencies, and circumstances, industries in which FactSet operates and the beliefs and assumptions of management. These statements may include projections of our future financial performance and anticipated trends in our business. In some cases, you can identify these statements by words such as "may," "might," "will," "should," "expects," "plans," "anticipates," "believes," "estimates," "intends," "projects," "indicates," "predicts," "potential," or "continue," and the negatives of those terms and similar expressions. Statements concerning our financial position, business strategy and plans or objectives for future operations are forward-looking statements.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Forward-looking statements are not guarantees of future performance and involve a number of known and unknown risks, uncertainties and assumptions. Factors that could cause our actual results, level of activity, performance or achievements to differ materially from those expressed or implied in forward-looking statements include, among others, the factors discussed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2025, and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that should be specifically considered. FactSet cautions readers not to place undue reliance on any forward-looking statements, which speak only as of the dates on which they are made. FactSet undertakes no obligations to update or revise any forward-looking statement to reflect results, revised expectations, events or circumstances arising after the date on which it is made, except as required by applicable law.</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26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80" w:type="dxa"/>
            <w:vAlign w:val="bottom"/>
          </w:tcPr>
          <w:p>
            <w:pPr>
              <w:spacing w:after="0"/>
              <w:rPr>
                <w:sz w:val="20"/>
                <w:szCs w:val="20"/>
                <w:color w:val="auto"/>
              </w:rPr>
            </w:pPr>
          </w:p>
        </w:tc>
      </w:tr>
      <w:tr>
        <w:trPr>
          <w:trHeight w:val="27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611,019</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570,660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1,218,640</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1,139,327</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296,742</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269,604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584,658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528,383</w:t>
            </w: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129,316</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115,564</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256,950</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234,117</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426,058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385,168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841,608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762,500</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184,961</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377,032</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376,827</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(28,316)</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(24,768)</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161,111</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172,320</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351,224</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352,059</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65,588</w:t>
            </w: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57,177</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133,056</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285,636</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294,882</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36,927</w:t>
            </w: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38,015</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37,168</w:t>
            </w: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37,063</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38,510</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37,339</w:t>
            </w:r>
          </w:p>
        </w:tc>
        <w:tc>
          <w:tcPr>
            <w:tcW w:w="5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38,513</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76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2"/>
        </w:trPr>
        <w:tc>
          <w:tcPr>
            <w:tcW w:w="1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1"/>
                <w:szCs w:val="21"/>
                <w:color w:val="auto"/>
              </w:rPr>
            </w:pPr>
          </w:p>
        </w:tc>
        <w:tc>
          <w:tcPr>
            <w:tcW w:w="24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1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00" w:type="dxa"/>
            <w:vAlign w:val="bottom"/>
          </w:tcPr>
          <w:p>
            <w:pPr>
              <w:spacing w:after="0"/>
              <w:rPr>
                <w:sz w:val="20"/>
                <w:szCs w:val="20"/>
                <w:color w:val="auto"/>
              </w:rPr>
            </w:pPr>
          </w:p>
        </w:tc>
      </w:tr>
      <w:tr>
        <w:trPr>
          <w:trHeight w:val="27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23"/>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133,056</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285,636</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294,882</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6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unrealized gain (loss) on cash flow hedges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r>
      <w:tr>
        <w:trPr>
          <w:trHeight w:val="229"/>
        </w:trPr>
        <w:tc>
          <w:tcPr>
            <w:tcW w:w="56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Post-employment benefit obligations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(29,545)</w:t>
            </w:r>
          </w:p>
        </w:tc>
      </w:tr>
      <w:tr>
        <w:trPr>
          <w:trHeight w:val="223"/>
        </w:trPr>
        <w:tc>
          <w:tcPr>
            <w:tcW w:w="56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(33,140)</w:t>
            </w:r>
          </w:p>
        </w:tc>
      </w:tr>
      <w:tr>
        <w:trPr>
          <w:trHeight w:val="248"/>
        </w:trPr>
        <w:tc>
          <w:tcPr>
            <w:tcW w:w="56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132,528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261,742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line="280" w:lineRule="auto"/>
        <w:tabs>
          <w:tab w:leader="none" w:pos="2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expense of $133 thousand and a tax benefit of $154 thousand for the three months ended February 28, 2026 and February 28, 2025, respectively. Presented net of a tax benefit of $893 thousand and $1,259 thousand for the six months ended February 28, 2026 and February 28, 2025, respectively.</w:t>
      </w:r>
    </w:p>
    <w:p>
      <w:pPr>
        <w:spacing w:after="0" w:line="137" w:lineRule="exact"/>
        <w:rPr>
          <w:rFonts w:ascii="Times New Roman" w:cs="Times New Roman" w:eastAsia="Times New Roman" w:hAnsi="Times New Roman"/>
          <w:sz w:val="16"/>
          <w:szCs w:val="16"/>
          <w:color w:val="auto"/>
        </w:rPr>
      </w:pPr>
    </w:p>
    <w:p>
      <w:pPr>
        <w:ind w:left="260" w:hanging="252"/>
        <w:spacing w:after="0" w:line="280"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benefit of $2,096 thousand for the three and six months ended February 28, 2026 related to the labor codes reform implemented by the Government of India effective November 21, 2025.</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6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97"/>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2026</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337,651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$12,323 at February 28, 2026 and $13,789 at August 31, 2025</w:t>
            </w: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320,233</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270,684</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89,997</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70,379</w:t>
            </w: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724,178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729,759</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85,203</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1,287,221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1,284,708</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1,884,910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1,916,102</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61,226</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120,460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121,776</w:t>
            </w: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57,139</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105,498</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4,219,830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4,304,272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135,262</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130,596</w:t>
            </w: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167,852</w:t>
            </w: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taxes payable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40,305</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41,410</w:t>
            </w:r>
          </w:p>
        </w:tc>
      </w:tr>
      <w:tr>
        <w:trPr>
          <w:trHeight w:val="223"/>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505,931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521,306</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1,369,216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1,368,260</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14,902</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41,387</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45,095</w:t>
            </w: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157,104</w:t>
            </w: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2,090,718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2,117,859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11)</w:t>
            </w:r>
          </w:p>
        </w:tc>
        <w:tc>
          <w:tcPr>
            <w:tcW w:w="2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3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43,160,328 and 43,013,266 shares</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776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36,640,727 and 37,645,870 shares outstanding at February 28, 2026 and August 31, 2025,</w:t>
            </w: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4"/>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1,677,738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1,621,753</w:t>
            </w:r>
          </w:p>
        </w:tc>
      </w:tr>
      <w:tr>
        <w:trPr>
          <w:trHeight w:val="175"/>
        </w:trPr>
        <w:tc>
          <w:tcPr>
            <w:tcW w:w="77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6,519,601 and 5,367,396 shares at February 28, 2026 and August 31, 2025,</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(2,007,132)</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(1,695,429)</w:t>
            </w: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2,527,769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2,323,407</w:t>
            </w: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(69,695)</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(63,748)</w:t>
            </w:r>
          </w:p>
        </w:tc>
      </w:tr>
      <w:tr>
        <w:trPr>
          <w:trHeight w:val="223"/>
        </w:trPr>
        <w:tc>
          <w:tcPr>
            <w:tcW w:w="7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2,129,112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2,186,413</w:t>
            </w:r>
          </w:p>
        </w:tc>
      </w:tr>
      <w:tr>
        <w:trPr>
          <w:trHeight w:val="22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4,219,830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4,304,272</w:t>
            </w:r>
          </w:p>
        </w:tc>
      </w:tr>
      <w:tr>
        <w:trPr>
          <w:trHeight w:val="20"/>
        </w:trPr>
        <w:tc>
          <w:tcPr>
            <w:tcW w:w="12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4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285,636</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87,838</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74,127</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39,324</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(51,015)</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(46,225)</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(61,915)</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20,222</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(20,597)</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332,972</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260,327</w:t>
            </w:r>
          </w:p>
        </w:tc>
        <w:tc>
          <w:tcPr>
            <w:tcW w:w="0" w:type="dxa"/>
            <w:vAlign w:val="bottom"/>
          </w:tcPr>
          <w:p>
            <w:pPr>
              <w:spacing w:after="0"/>
              <w:rPr>
                <w:sz w:val="1"/>
                <w:szCs w:val="1"/>
                <w:color w:val="auto"/>
              </w:rPr>
            </w:pPr>
          </w:p>
        </w:tc>
      </w:tr>
      <w:tr>
        <w:trPr>
          <w:trHeight w:val="148"/>
        </w:trPr>
        <w:tc>
          <w:tcPr>
            <w:tcW w:w="862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(56,844)</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(342,461)</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maturity or sale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(338,124)</w:t>
            </w:r>
          </w:p>
        </w:tc>
        <w:tc>
          <w:tcPr>
            <w:tcW w:w="0" w:type="dxa"/>
            <w:vAlign w:val="bottom"/>
          </w:tcPr>
          <w:p>
            <w:pPr>
              <w:spacing w:after="0"/>
              <w:rPr>
                <w:sz w:val="1"/>
                <w:szCs w:val="1"/>
                <w:color w:val="auto"/>
              </w:rPr>
            </w:pPr>
          </w:p>
        </w:tc>
      </w:tr>
      <w:tr>
        <w:trPr>
          <w:trHeight w:val="149"/>
        </w:trPr>
        <w:tc>
          <w:tcPr>
            <w:tcW w:w="862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(82,379)</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(78,817)</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60,344</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(302,930)</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(113,142)</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acquisition consideration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(386,656)</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(45,542)</w:t>
            </w:r>
          </w:p>
        </w:tc>
        <w:tc>
          <w:tcPr>
            <w:tcW w:w="0" w:type="dxa"/>
            <w:vAlign w:val="bottom"/>
          </w:tcPr>
          <w:p>
            <w:pPr>
              <w:spacing w:after="0"/>
              <w:rPr>
                <w:sz w:val="1"/>
                <w:szCs w:val="1"/>
                <w:color w:val="auto"/>
              </w:rPr>
            </w:pPr>
          </w:p>
        </w:tc>
      </w:tr>
      <w:tr>
        <w:trPr>
          <w:trHeight w:val="148"/>
        </w:trPr>
        <w:tc>
          <w:tcPr>
            <w:tcW w:w="862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(74,283)</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(131,387)</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351,695</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422,979</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277,412</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291,592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right="2900"/>
        <w:spacing w:after="0" w:line="286" w:lineRule="auto"/>
        <w:rPr>
          <w:sz w:val="20"/>
          <w:szCs w:val="20"/>
          <w:color w:val="auto"/>
        </w:rPr>
      </w:pPr>
      <w:r>
        <w:rPr>
          <w:rFonts w:ascii="Times New Roman" w:cs="Times New Roman" w:eastAsia="Times New Roman" w:hAnsi="Times New Roman"/>
          <w:sz w:val="18"/>
          <w:szCs w:val="18"/>
          <w:color w:val="auto"/>
        </w:rPr>
        <w:t>Restricted cash included in Prepaid expenses and other current assets Restricted cash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268,338</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278,548</w:t>
            </w:r>
          </w:p>
        </w:tc>
      </w:tr>
      <w:tr>
        <w:trPr>
          <w:trHeight w:val="229"/>
        </w:trPr>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r>
      <w:tr>
        <w:trPr>
          <w:trHeight w:val="234"/>
        </w:trPr>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277,412</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291,592</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2">
            <w:col w:w="7900" w:space="720"/>
            <w:col w:w="262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28,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9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3"/>
        </w:trPr>
        <w:tc>
          <w:tcPr>
            <w:tcW w:w="27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43,110,694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1,648,754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5,866,870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(1,842,292)</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2,435,018</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2,167,884</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133,056</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133,056</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44,170</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8,117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8,118</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651,750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(163,031)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(163,031)</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20,867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20,867</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(40,305)</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(40,305)</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43,160,328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1,677,738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6,519,601</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(2,007,132)</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2,527,769</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(69,695)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2,129,112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Six Months Ended February 28,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78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8"/>
                <w:szCs w:val="8"/>
                <w:color w:val="auto"/>
              </w:rPr>
            </w:pPr>
          </w:p>
        </w:tc>
        <w:tc>
          <w:tcPr>
            <w:tcW w:w="980" w:type="dxa"/>
            <w:vAlign w:val="bottom"/>
            <w:vMerge w:val="restart"/>
          </w:tcPr>
          <w:p>
            <w:pPr>
              <w:jc w:val="center"/>
              <w:ind w:right="48"/>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43,013,266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1,621,753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5,367,396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(1,695,429)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2,323,407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2,186,413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285,636</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285,636</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(5,947)</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85,161</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16,662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16,663</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(5,958)</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1,129,850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(302,930)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(302,930)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39,324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39,324</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(81,274)</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(81,274)</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43,160,328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1,677,738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6,519,601</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(2,007,132)</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2,527,769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(69,695)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2,129,112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28,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restart"/>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2"/>
                <w:szCs w:val="2"/>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2"/>
                <w:szCs w:val="2"/>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278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8"/>
                <w:szCs w:val="8"/>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8"/>
                <w:szCs w:val="8"/>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42,830,024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1,531,278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4,780,213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(1,438,678)</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1,998,954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1,991,561</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144,860</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144,860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(12,332)</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73,939</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21,494</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21,495</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136,714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(64,352)</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16,547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16,547</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(39,511)</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(39,511)</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42,910,088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1,569,319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4,918,704</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(1,504,381)</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2,104,303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(112,753)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2,056,917</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Six Months Ended February 28, 2025</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vMerge w:val="restart"/>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4"/>
                <w:szCs w:val="4"/>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4"/>
                <w:szCs w:val="4"/>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75"/>
        </w:trPr>
        <w:tc>
          <w:tcPr>
            <w:tcW w:w="2780" w:type="dxa"/>
            <w:vAlign w:val="bottom"/>
            <w:vMerge w:val="continue"/>
          </w:tcPr>
          <w:p>
            <w:pPr>
              <w:spacing w:after="0"/>
              <w:rPr>
                <w:sz w:val="6"/>
                <w:szCs w:val="6"/>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6"/>
                <w:szCs w:val="6"/>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6"/>
                <w:szCs w:val="6"/>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42,598,915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1,478,839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4,646,645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(1,375,696)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1,912,460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294,882</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294,882</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(33,140)</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235,036</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60,342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60,174</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76,137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(14,058)</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241,189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(113,142)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(113,142)</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30,139</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30,139</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(79,083)</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(79,083)</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42,910,088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1,569,319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4,918,704</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(1,504,381)</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2,104,303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(112,753)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2,056,917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9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9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shd w:val="clear" w:color="auto" w:fill="CCEEFF"/>
          </w:tcPr>
          <w:p>
            <w:pPr>
              <w:spacing w:after="0"/>
              <w:rPr>
                <w:sz w:val="18"/>
                <w:szCs w:val="18"/>
                <w:color w:val="auto"/>
              </w:rPr>
            </w:pPr>
          </w:p>
        </w:tc>
      </w:tr>
      <w:tr>
        <w:trPr>
          <w:trHeight w:val="864"/>
        </w:trPr>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540" w:type="dxa"/>
            <w:vAlign w:val="bottom"/>
            <w:tcBorders>
              <w:top w:val="single" w:sz="8" w:color="0000FF"/>
            </w:tcBorders>
            <w:gridSpan w:val="10"/>
          </w:tcPr>
          <w:p>
            <w:pPr>
              <w:spacing w:after="0"/>
              <w:rPr>
                <w:sz w:val="24"/>
                <w:szCs w:val="24"/>
                <w:color w:val="auto"/>
              </w:rPr>
            </w:pPr>
          </w:p>
        </w:tc>
        <w:tc>
          <w:tcPr>
            <w:tcW w:w="1680" w:type="dxa"/>
            <w:vAlign w:val="bottom"/>
            <w:tcBorders>
              <w:top w:val="single" w:sz="8" w:color="CCEEFF"/>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470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artificial intelligence ("AI")-powered technologies used by global financial professionals to power their critical investment workflows. As of February 28, 2026, we had more than 9,000 clients comprised of over 241,000 investment professionals, including institutional asset managers, bankers, wealth managers, asset owners,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drive our business based on a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solutions, cloud-based digital solutions, and application programming interfaces ("APIs"). AI is embedded across these offerings to enhance data discovery, automate routine workflows and improve the speed and accuracy of client insights. The CUSIP Global Services ("CGS") business supports security master files relied on by the investment industry for critical front, middle and back-office functions. All of our platforms and solutions are supported by our client service team.</w:t>
      </w:r>
    </w:p>
    <w:p>
      <w:pPr>
        <w:spacing w:after="0" w:line="14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on our segments. Within each segment, we offer data, products and analytical applications by firm type: Institutional Buyside, Dealmakers, Wealth, and Market Infrastructure. In fiscal 2026, we renamed "Partnerships and CGS" to "Market Infrastructure".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2025. The accompanying unaudited Consolidated Financial Statements include our accounts and those of our wholly-owned subsidiaries; all intercompany activity and balances have been eliminated.</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non-current were included within Other liabilities in the Consolidated Balance Sheets in the current year presentation. We conformed the comparative prior year figures to the current year presentation.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acquisition consideration, previously included within Other financing activities, was presented as a separate component of Cash Flows from Financing Activities in the Consolidated Statements of Cash Flows in the current period presentation. We conformed the comparative figures for the six months ended February 28, 2025 to the current period presentation.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estimation may be involved in the accounting for income taxes, stock-based compensation, goodwill, business combinations, property, equipment and leasehold improvements ("PPE"), intangible assets and contingencies.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arises from the potential nonperformance by counterparties to fulfill their financial obligations. Our financial instruments that potentially subject us to concentrations of credit risk consist primarily of our cash, cash equivalents, restricted cash, investments in mutual funds, accounts receivable and derivative instruments. The maximum credit exposure of our cash, cash equivalents, restricted cash, investments in mutual funds and accounts receivable is their carrying values as of the balance sheet date. The maximum credit exposure related to our derivative instruments is based upon their respective gross fair values as of the balance sheet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Investments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credit risk on our cash, cash equivalents, restricted cash and investments in mutual funds in the event of default by the financial and governmental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and governmental institutions that we believe are high-quality and credit-worthy. We have not experienced any credit losses relating to our cash, cash equivalents, restricted cash and investments in mutual funds.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As of February 28, 2026, our accounts receivable reserve was $12.3 million. We do not require collateral from our clients; however, no single client represented more than 3.5% of our total revenues for the six months ended February 28, 2026. Due to our large and geographically dispersed client base, our concentration of credit risk related to our accounts receivable is generally limited.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one data supplier representing more than 10% of our total data costs for the six months ended February 28,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Cloud Providers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the six months ended February 28, 2026. We maintain back-up facilities and other redundancies at our data centers, take security measures and have emergency planning procedures to minimize the risk that an event will disrupt our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the six months ended February 28, 2026 that had a material impact on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 Internal-Use Software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("ASU") 2025-06, </w:t>
      </w:r>
      <w:r>
        <w:rPr>
          <w:rFonts w:ascii="Times New Roman" w:cs="Times New Roman" w:eastAsia="Times New Roman" w:hAnsi="Times New Roman"/>
          <w:sz w:val="18"/>
          <w:szCs w:val="18"/>
          <w:i w:val="1"/>
          <w:iCs w:val="1"/>
          <w:color w:val="auto"/>
        </w:rPr>
        <w:t>Intangibles - Goodwill and Other - Internal-Use Software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350-40) - Targeted Improvements to the Accounting for Internal-Use Software</w:t>
      </w:r>
      <w:r>
        <w:rPr>
          <w:rFonts w:ascii="Times New Roman" w:cs="Times New Roman" w:eastAsia="Times New Roman" w:hAnsi="Times New Roman"/>
          <w:sz w:val="18"/>
          <w:szCs w:val="18"/>
          <w:color w:val="auto"/>
        </w:rPr>
        <w:t>. This ASU removes all references to prescriptive and sequential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stages, and requires entities to start capitalizing eligible software costs when management has authorized and committed to funding the software project and it is probable that the project will be completed and the software will be used to perform the function intended. The amendments in this ASU can be applied using a prospective, modified, or retrospective transition approach, and are effective for our interim and annual periods starting in fiscal 2029. Early adoption is permitted at the beginning of an annual period. We are currently assessing the impact of the new requirements on our Consolidated Financial Statements and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Disaggregation of Income Statement Expenses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 Disaggregation of Income Statement Expenses</w:t>
      </w:r>
      <w:r>
        <w:rPr>
          <w:rFonts w:ascii="Times New Roman" w:cs="Times New Roman" w:eastAsia="Times New Roman" w:hAnsi="Times New Roman"/>
          <w:sz w:val="18"/>
          <w:szCs w:val="18"/>
          <w:color w:val="auto"/>
        </w:rPr>
        <w:t>. This ASU requires disaggregation of certain income statement expense captions into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to be disclosed within the footnotes to the financial statements. This ASU does not change the expense captions on the income statement. The amendments in this ASU are to be applied prospectively, although retrospective application is permitted, and are effective for our annual financial statements starting in fiscal 2028 and interim periods starting in fiscal 2029. Early adoption is permitted. This ASU is not expected to have a material impact on our Consolidated Financial Statements. We are currently assessing the impact of the new requirements on our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Securities and Exchange Commission ("SEC") Disclosures - The Enhancement and Standardization of Climate-Related Disclosures for Investors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SEC adopted a final rule under SEC Release Nos. 33-11275 and 34-99678, </w:t>
      </w:r>
      <w:r>
        <w:rPr>
          <w:rFonts w:ascii="Times New Roman" w:cs="Times New Roman" w:eastAsia="Times New Roman" w:hAnsi="Times New Roman"/>
          <w:sz w:val="18"/>
          <w:szCs w:val="18"/>
          <w:i w:val="1"/>
          <w:iCs w:val="1"/>
          <w:color w:val="auto"/>
        </w:rPr>
        <w:t>The Enhancement and Standardization of Climate-Related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which would require disclosure of certain climate-related information in various filings with the SEC. In April 2024,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stayed implementation of the final rule pending completion of judicial review. In March 2025, the SEC stated that it has ended its defense of the rule. We are currently monitoring the legal challenges and assessing the potential impact of the rule on our disclosures.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will result in additional disclosures with no impact to our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 - Codification Amendment in Response to the SEC's Disclosure Update and Simplification Initiative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six months ended February 28, 2026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most of our revenues by delivering client access to our multi-asset class solutions powered by our platform of connected data and technology that is available over the contractual term (referred to as the "Hosted Platform"). The Hosted Platform is a subscription-based service that provides client access to various combinations of products and services including workstations, portfolio analytics and enterprise solutions. We also derive revenues through the CGS platform, a subscription-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service that provides access to a database of universally recognized security identifiers and related descriptive data for issuers and their financial instruments (referred to as the "Identifier Platform").</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each of our contracts with clients, whether for the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products and services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We record revenues net of sales taxes which are subsequently remitted to taxing authorities and are excluded from the transaction price. There are no significant judgments that would impact the timing of revenue recognition.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disaggregate revenues from our client contracts by segment based on the geographic region where the sale originated. Our business segmentation by geography is aligned with the operational and economic characteristics of our business.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segment:</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24"/>
                <w:szCs w:val="24"/>
                <w:color w:val="auto"/>
              </w:rPr>
            </w:pPr>
          </w:p>
        </w:tc>
        <w:tc>
          <w:tcPr>
            <w:tcW w:w="26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399,683</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369,661</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795,859</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736,903</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149,120</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143,387</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298,637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287,112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62,216</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124,144</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115,312</w:t>
            </w: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611,019</w:t>
            </w:r>
          </w:p>
        </w:tc>
        <w:tc>
          <w:tcPr>
            <w:tcW w:w="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570,660</w:t>
            </w:r>
          </w:p>
        </w:tc>
        <w:tc>
          <w:tcPr>
            <w:tcW w:w="3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1,218,640</w:t>
            </w:r>
          </w:p>
        </w:tc>
        <w:tc>
          <w:tcPr>
            <w:tcW w:w="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1,139,327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February 28, 2026 and August 31, 2025. We did not have any transfers between levels of fair value measurements during the six months ended February 28, 2026 and the fiscal year ended August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0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color w:val="auto"/>
                <w:w w:val="98"/>
              </w:rPr>
              <w:t>Fair Value Measurements as of February 28, 2026</w:t>
            </w:r>
          </w:p>
        </w:tc>
        <w:tc>
          <w:tcPr>
            <w:tcW w:w="110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60" w:type="dxa"/>
            <w:vAlign w:val="bottom"/>
          </w:tcPr>
          <w:p>
            <w:pPr>
              <w:ind w:left="9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33,389</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50,794</w:t>
            </w:r>
          </w:p>
        </w:tc>
      </w:tr>
      <w:tr>
        <w:trPr>
          <w:trHeight w:val="256"/>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liabilities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13,080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13,080 $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r>
      <w:tr>
        <w:trPr>
          <w:trHeight w:val="7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gridSpan w:val="5"/>
          </w:tcPr>
          <w:p>
            <w:pPr>
              <w:jc w:val="center"/>
              <w:ind w:left="710"/>
              <w:spacing w:after="0"/>
              <w:rPr>
                <w:sz w:val="20"/>
                <w:szCs w:val="20"/>
                <w:color w:val="auto"/>
              </w:rPr>
            </w:pPr>
            <w:r>
              <w:rPr>
                <w:rFonts w:ascii="Times New Roman" w:cs="Times New Roman" w:eastAsia="Times New Roman" w:hAnsi="Times New Roman"/>
                <w:sz w:val="18"/>
                <w:szCs w:val="18"/>
                <w:color w:val="auto"/>
                <w:w w:val="99"/>
              </w:rPr>
              <w:t>Fair Value Measurements as of August 31, 2025</w:t>
            </w:r>
          </w:p>
        </w:tc>
        <w:tc>
          <w:tcPr>
            <w:tcW w:w="1100" w:type="dxa"/>
            <w:vAlign w:val="bottom"/>
          </w:tcPr>
          <w:p>
            <w:pPr>
              <w:spacing w:after="0"/>
              <w:rPr>
                <w:sz w:val="24"/>
                <w:szCs w:val="24"/>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166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29,684</w:t>
            </w:r>
          </w:p>
        </w:tc>
      </w:tr>
      <w:tr>
        <w:trPr>
          <w:trHeight w:val="257"/>
        </w:trPr>
        <w:tc>
          <w:tcPr>
            <w:tcW w:w="20" w:type="dxa"/>
            <w:vAlign w:val="bottom"/>
          </w:tcPr>
          <w:p>
            <w:pPr>
              <w:spacing w:after="0"/>
              <w:rPr>
                <w:sz w:val="22"/>
                <w:szCs w:val="22"/>
                <w:color w:val="auto"/>
              </w:rPr>
            </w:pPr>
          </w:p>
        </w:tc>
        <w:tc>
          <w:tcPr>
            <w:tcW w:w="5120" w:type="dxa"/>
            <w:vAlign w:val="bottom"/>
            <w:gridSpan w:val="3"/>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liabilities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24,126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24,126 $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24,934</w:t>
            </w:r>
          </w:p>
        </w:tc>
      </w:tr>
    </w:tbl>
    <w:p>
      <w:pPr>
        <w:spacing w:after="0" w:line="170" w:lineRule="exact"/>
        <w:rPr>
          <w:sz w:val="20"/>
          <w:szCs w:val="20"/>
          <w:color w:val="auto"/>
        </w:rPr>
      </w:pPr>
    </w:p>
    <w:p>
      <w:pPr>
        <w:jc w:val="both"/>
        <w:ind w:left="260" w:hanging="252"/>
        <w:spacing w:after="0" w:line="272"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money market funds are readily convertible into cash and are reported based on their net asset value, which represents its fair value, on the last day of the reporting period. The net asset values are readily determinable and represent the prices of active trading in the market. Our money market funds are included in Cash and cash equivalents within the Consolidated Balance Sheets.</w:t>
      </w:r>
    </w:p>
    <w:p>
      <w:pPr>
        <w:spacing w:after="0" w:line="62"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4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mutual funds' fair value is based on the fair value of the underlying investments held by the mutual funds, allocated to each share of the mutual fund using a net asset value approach. The fair value of each underlying investment is based on observable inputs, when available, or pricing from valuation agencies. Our mutual funds are included in Investments within the Consolidated Balance Sheets.</w:t>
      </w:r>
    </w:p>
    <w:p>
      <w:pPr>
        <w:spacing w:after="0" w:line="74" w:lineRule="exact"/>
        <w:rPr>
          <w:rFonts w:ascii="Times New Roman" w:cs="Times New Roman" w:eastAsia="Times New Roman" w:hAnsi="Times New Roman"/>
          <w:sz w:val="16"/>
          <w:szCs w:val="16"/>
          <w:color w:val="auto"/>
        </w:rPr>
      </w:pPr>
    </w:p>
    <w:p>
      <w:pPr>
        <w:jc w:val="both"/>
        <w:ind w:left="260" w:hanging="252"/>
        <w:spacing w:after="0" w:line="260" w:lineRule="auto"/>
        <w:tabs>
          <w:tab w:leader="none" w:pos="27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derivative instruments consist of foreign exchange forward contracts and, when applicable, an interest rate swap agreement, refer to Note 10, </w:t>
      </w:r>
      <w:r>
        <w:rPr>
          <w:rFonts w:ascii="Times New Roman" w:cs="Times New Roman" w:eastAsia="Times New Roman" w:hAnsi="Times New Roman"/>
          <w:sz w:val="16"/>
          <w:szCs w:val="16"/>
          <w:i w:val="1"/>
          <w:iCs w:val="1"/>
          <w:color w:val="auto"/>
        </w:rPr>
        <w:t>Debt</w:t>
      </w:r>
      <w:r>
        <w:rPr>
          <w:rFonts w:ascii="Times New Roman" w:cs="Times New Roman" w:eastAsia="Times New Roman" w:hAnsi="Times New Roman"/>
          <w:sz w:val="16"/>
          <w:szCs w:val="16"/>
          <w:color w:val="auto"/>
        </w:rPr>
        <w:t xml:space="preserve"> for more information. We utilized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agreements, we utilized a present value of future cash flows, leveraging a model-derived valuation that uses observable inputs such as interest rate yield curves. Our derivative instruments in an asset position are included in Prepaid expenses and other current assets and those in a liability position are included in Accounts payable and accrued expenses within the Consolidated Balance Sheets.</w:t>
      </w:r>
    </w:p>
    <w:p>
      <w:pPr>
        <w:spacing w:after="0" w:line="75" w:lineRule="exact"/>
        <w:rPr>
          <w:rFonts w:ascii="Times New Roman" w:cs="Times New Roman" w:eastAsia="Times New Roman" w:hAnsi="Times New Roman"/>
          <w:sz w:val="16"/>
          <w:szCs w:val="16"/>
          <w:color w:val="auto"/>
        </w:rPr>
      </w:pPr>
    </w:p>
    <w:p>
      <w:pPr>
        <w:ind w:left="260" w:hanging="252"/>
        <w:spacing w:after="0" w:line="280" w:lineRule="auto"/>
        <w:tabs>
          <w:tab w:leader="none" w:pos="25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contingent liabilities resulted from the acquisitions of various businesses. These liabilities reflect the present value of potential future payments that are contingent upon the achievement of certain specified milestones and are valued using a scenario-based method. This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60"/>
        <w:spacing w:after="0" w:line="272" w:lineRule="auto"/>
        <w:rPr>
          <w:sz w:val="20"/>
          <w:szCs w:val="20"/>
          <w:color w:val="auto"/>
        </w:rPr>
      </w:pPr>
      <w:r>
        <w:rPr>
          <w:rFonts w:ascii="Times New Roman" w:cs="Times New Roman" w:eastAsia="Times New Roman" w:hAnsi="Times New Roman"/>
          <w:sz w:val="16"/>
          <w:szCs w:val="16"/>
          <w:color w:val="auto"/>
        </w:rPr>
        <w:t xml:space="preserve">method incorporates unobservable inputs and assumptions made by management, including the probability of achieving specified milestones, expected time until payment and the discount rate. Refer to Note 5,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xml:space="preserve"> for more information on the contingent liabilities associated with the Liquid Holdings LLC ("LiquidityBook") and Platform Group Limited ("Irwin") acquisitions.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primarily include our PPE, lease right-of-use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elected not to carry our debt at fair value on the Consolidated Balance Sheets. Our Senior Notes are publicly traded; therefore, the fair value of our Senior Notes is estimated based on quoted prices in active markets as of the last business day of the reporting period, which are considered Level 1 inputs. The fair value of our 2025 Credit Facilities was estimated based on quoted market prices for similar instruments, adjusted for unobservable inputs for comparability to our investment rating, maturity terms and principal outstanding, which are considered Level 3 inputs.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and more information on, our Senior Notes and 2025 Credit Facilities.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February 28, 2026 and August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February 28, 2026</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2025</w:t>
            </w:r>
          </w:p>
        </w:tc>
        <w:tc>
          <w:tcPr>
            <w:tcW w:w="0" w:type="dxa"/>
            <w:vAlign w:val="bottom"/>
          </w:tcPr>
          <w:p>
            <w:pPr>
              <w:spacing w:after="0"/>
              <w:rPr>
                <w:sz w:val="1"/>
                <w:szCs w:val="1"/>
                <w:color w:val="auto"/>
              </w:rPr>
            </w:pPr>
          </w:p>
        </w:tc>
      </w:tr>
      <w:tr>
        <w:trPr>
          <w:trHeight w:val="180"/>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jc w:val="center"/>
              <w:ind w:left="410"/>
              <w:spacing w:after="0" w:line="181" w:lineRule="exact"/>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43"/>
        </w:trPr>
        <w:tc>
          <w:tcPr>
            <w:tcW w:w="4680" w:type="dxa"/>
            <w:vAlign w:val="bottom"/>
            <w:tcBorders>
              <w:bottom w:val="single" w:sz="8" w:color="auto"/>
            </w:tcBorders>
            <w:gridSpan w:val="2"/>
            <w:vMerge w:val="continue"/>
          </w:tcPr>
          <w:p>
            <w:pPr>
              <w:spacing w:after="0"/>
              <w:rPr>
                <w:sz w:val="21"/>
                <w:szCs w:val="21"/>
                <w:color w:val="auto"/>
              </w:rPr>
            </w:pP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Hierarchy</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490,565</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458,165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460,440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7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373,983</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374,866</w:t>
            </w:r>
          </w:p>
        </w:tc>
        <w:tc>
          <w:tcPr>
            <w:tcW w:w="0" w:type="dxa"/>
            <w:vAlign w:val="bottom"/>
          </w:tcPr>
          <w:p>
            <w:pPr>
              <w:spacing w:after="0"/>
              <w:rPr>
                <w:sz w:val="1"/>
                <w:szCs w:val="1"/>
                <w:color w:val="auto"/>
              </w:rPr>
            </w:pPr>
          </w:p>
        </w:tc>
      </w:tr>
      <w:tr>
        <w:trPr>
          <w:trHeight w:val="223"/>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7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1,325,871</w:t>
            </w: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unamortized discounts and debt issuance costs</w:t>
            </w:r>
            <w:r>
              <w:rPr>
                <w:rFonts w:ascii="Times New Roman" w:cs="Times New Roman" w:eastAsia="Times New Roman" w:hAnsi="Times New Roman"/>
                <w:sz w:val="23"/>
                <w:szCs w:val="23"/>
                <w:color w:val="auto"/>
                <w:vertAlign w:val="superscript"/>
              </w:rPr>
              <w:t>(1)</w:t>
            </w:r>
          </w:p>
        </w:tc>
        <w:tc>
          <w:tcPr>
            <w:tcW w:w="1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net carrying value of debt</w:t>
            </w:r>
            <w:r>
              <w:rPr>
                <w:rFonts w:ascii="Times New Roman" w:cs="Times New Roman" w:eastAsia="Times New Roman" w:hAnsi="Times New Roman"/>
                <w:sz w:val="23"/>
                <w:szCs w:val="23"/>
                <w:color w:val="auto"/>
                <w:vertAlign w:val="superscript"/>
              </w:rPr>
              <w:t>(1)</w:t>
            </w:r>
          </w:p>
        </w:tc>
        <w:tc>
          <w:tcPr>
            <w:tcW w:w="17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1,369,216</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1,368,260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260" w:right="20" w:hanging="252"/>
        <w:spacing w:after="0" w:line="260" w:lineRule="auto"/>
        <w:tabs>
          <w:tab w:leader="none" w:pos="2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the unamortized debt issuance costs related to the 2025 Revolving Facility which are presented within Other assets on the Consolidated Balance Sheets.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ACQUISITIONS</w:t>
      </w:r>
    </w:p>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acquisitions with the most significant cash flows during fiscal 2025 through the second quarter of fiscal 2026 included Liquid Holdings, LLC ("LiquidityBook") and Platform Group Limited ("Irwin").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Holdings, LLC ("LiquidityBook")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7, 2025, we completed the acquisition of LiquidityBook for a purchase price of $243.2 million, net of cash acquired, and inclusive of working capital adjustments. The purchase price included contingent consideration of $11.9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LiquidityBook's operations have been included within the Americas, EMEA and Asia Pacific segments in our Consolidated Financial Statements. Pro forma information has not been presented because the effect of the LiquidityBook acquisition was not material to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finalized the purchase accounting for the LiquidityBook acquisition during the second quarter of fiscal 2026 and did not record any material changes to the preliminary purchase price allocation. The acquisition date fair values of major classes of assets acquired and liabilities assumed are as follows:</w:t>
      </w:r>
    </w:p>
    <w:tbl>
      <w:tblPr>
        <w:tblLayout w:type="fixed"/>
        <w:tblInd w:w="0" w:type="dxa"/>
        <w:tblCellMar>
          <w:top w:w="0" w:type="dxa"/>
          <w:left w:w="0" w:type="dxa"/>
          <w:bottom w:w="0" w:type="dxa"/>
          <w:right w:w="0" w:type="dxa"/>
        </w:tblCellMar>
      </w:tblPr>
      <w:tr>
        <w:trPr>
          <w:trHeight w:val="191"/>
        </w:trPr>
        <w:tc>
          <w:tcPr>
            <w:tcW w:w="5520" w:type="dxa"/>
            <w:vAlign w:val="bottom"/>
          </w:tcPr>
          <w:p>
            <w:pPr>
              <w:spacing w:after="0"/>
              <w:rPr>
                <w:sz w:val="16"/>
                <w:szCs w:val="16"/>
                <w:color w:val="auto"/>
              </w:rPr>
            </w:pPr>
          </w:p>
        </w:tc>
        <w:tc>
          <w:tcPr>
            <w:tcW w:w="19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 Date Fair</w:t>
            </w:r>
          </w:p>
        </w:tc>
        <w:tc>
          <w:tcPr>
            <w:tcW w:w="1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 Date Useful</w:t>
            </w:r>
          </w:p>
        </w:tc>
        <w:tc>
          <w:tcPr>
            <w:tcW w:w="1860" w:type="dxa"/>
            <w:vAlign w:val="bottom"/>
          </w:tcPr>
          <w:p>
            <w:pPr>
              <w:spacing w:after="0"/>
              <w:rPr>
                <w:sz w:val="16"/>
                <w:szCs w:val="16"/>
                <w:color w:val="auto"/>
              </w:rPr>
            </w:pPr>
          </w:p>
        </w:tc>
      </w:tr>
      <w:tr>
        <w:trPr>
          <w:trHeight w:val="228"/>
        </w:trPr>
        <w:tc>
          <w:tcPr>
            <w:tcW w:w="5520" w:type="dxa"/>
            <w:vAlign w:val="bottom"/>
          </w:tcPr>
          <w:p>
            <w:pPr>
              <w:spacing w:after="0"/>
              <w:rPr>
                <w:sz w:val="19"/>
                <w:szCs w:val="19"/>
                <w:color w:val="auto"/>
              </w:rPr>
            </w:pPr>
          </w:p>
        </w:tc>
        <w:tc>
          <w:tcPr>
            <w:tcW w:w="12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Amortization Method</w:t>
            </w:r>
          </w:p>
        </w:tc>
      </w:tr>
      <w:tr>
        <w:trPr>
          <w:trHeight w:val="236"/>
        </w:trPr>
        <w:tc>
          <w:tcPr>
            <w:tcW w:w="55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860" w:type="dxa"/>
            <w:vAlign w:val="bottom"/>
            <w:tcBorders>
              <w:bottom w:val="single" w:sz="8" w:color="auto"/>
            </w:tcBorders>
          </w:tcPr>
          <w:p>
            <w:pPr>
              <w:spacing w:after="0"/>
              <w:rPr>
                <w:sz w:val="20"/>
                <w:szCs w:val="20"/>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Software technology</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Client relationships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164,787</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243,182</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$164.8 million represents the excess of the LiquidityBook purchase price over the fair value of net assets acquired and considers future economic benefits that we expect to achieve as a result of the acquisition. The goodwill is included in the Americas, EMEA and Asia Pacific segments and is deductible for income tax purposes.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Group Limited ("Irwin")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November 5, 2024, we completed the acquisition of Irwin for a purchase price of $120.2 million, net of cash acquired, and inclusive of working capital adjustments. The purchase price included contingent consideration of $9.6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successful partnership between FactSet and Irwin, and expands our ability to address the holistic workflow needs of investor relations professionals with an integrated, modern solution.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Irwin's operations have been included within the Americas, EMEA and Asia Pacific segments in our Consolidated Financial Statements. Pro forma information has not been presented because the effect of the Irwin acquisition was not material to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finalized the purchase accounting for the Irwin acquisition during the third quarter of fiscal 2025 and did not record any material changes to the preliminary purchase price allocation. The acquisition date fair values of major classes of assets acquired and liabilities assumed are as follows:</w:t>
      </w: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9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 Date Fair</w:t>
            </w: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 Date</w:t>
            </w:r>
          </w:p>
        </w:tc>
        <w:tc>
          <w:tcPr>
            <w:tcW w:w="1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Amortization</w:t>
            </w:r>
          </w:p>
        </w:tc>
      </w:tr>
      <w:tr>
        <w:trPr>
          <w:trHeight w:val="228"/>
        </w:trPr>
        <w:tc>
          <w:tcPr>
            <w:tcW w:w="6360" w:type="dxa"/>
            <w:vAlign w:val="bottom"/>
          </w:tcPr>
          <w:p>
            <w:pPr>
              <w:spacing w:after="0"/>
              <w:rPr>
                <w:sz w:val="19"/>
                <w:szCs w:val="19"/>
                <w:color w:val="auto"/>
              </w:rPr>
            </w:pPr>
          </w:p>
        </w:tc>
        <w:tc>
          <w:tcPr>
            <w:tcW w:w="12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w:t>
            </w:r>
          </w:p>
        </w:tc>
      </w:tr>
      <w:tr>
        <w:trPr>
          <w:trHeight w:val="236"/>
        </w:trPr>
        <w:tc>
          <w:tcPr>
            <w:tcW w:w="6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340" w:type="dxa"/>
            <w:vAlign w:val="bottom"/>
            <w:tcBorders>
              <w:bottom w:val="single" w:sz="8" w:color="auto"/>
            </w:tcBorders>
          </w:tcPr>
          <w:p>
            <w:pPr>
              <w:spacing w:after="0"/>
              <w:rPr>
                <w:sz w:val="20"/>
                <w:szCs w:val="20"/>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91,376</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6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120,186</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$91.4 million represents the excess of the Irwin purchase price over the fair value of net assets acquired and considers future economic benefits that we expect to achieve as a result of the acquisition. The goodwill is included in the Americas and EMEA segments and is not deductible for income tax purposes.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GOODWILL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for the six months ended February 28, 2026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925,752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1,284,708</w:t>
            </w:r>
          </w:p>
        </w:tc>
      </w:tr>
      <w:tr>
        <w:trPr>
          <w:trHeight w:val="230"/>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February 28, 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926,295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1,287,221</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Goodwill impairment is tested at the reporting unit level, which is consistent with our segments. We test goodwill annually during the fourth quarter of each fiscal year or more frequently if events and circumstances occur indicating that it is more likely than not that the fair value of any one of our reporting units is less than its respective carrying value. If the carrying value of the reporting unit exceeds the fair value, then the goodwill is considered impaired and written down to the reporting unit’s fair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tested our goodwill for impairment during the fourth quarter of fiscal 2025 utilizing a qualitative analysis. We concluded there was no impairment as it was more likely than not that the fair value of each of our reporting units was not less than its respective carrying value. No events or circumstances were identified during the six months ended February 28, 2026 that would indicate it is more likely than not that goodwill has been impaired.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INTANGIBLE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straight-line basis over their estimated useful lives. The following table presents the estimated useful life, gross carrying amount and accumulated amortization related to our identifiable intangible assets as of February 28, 2026 and August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February 28, 2026</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2025</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w:t>
            </w: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Estimated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4"/>
                <w:szCs w:val="14"/>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4"/>
                <w:szCs w:val="14"/>
                <w:color w:val="auto"/>
              </w:rPr>
            </w:pPr>
          </w:p>
        </w:tc>
        <w:tc>
          <w:tcPr>
            <w:tcW w:w="116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Net Carrying</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4"/>
                <w:szCs w:val="14"/>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4"/>
                <w:szCs w:val="14"/>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5"/>
        </w:trPr>
        <w:tc>
          <w:tcPr>
            <w:tcW w:w="2380" w:type="dxa"/>
            <w:vAlign w:val="bottom"/>
            <w:vMerge w:val="continue"/>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Useful Life</w:t>
            </w: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life)</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1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1,407,111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1,429,097</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280,556</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100,708</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179,848</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280,065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185,700</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302,944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163,922</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139,022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132,485</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to 12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254,557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140,047</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114,510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122,168</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47,012</w:t>
            </w:r>
          </w:p>
        </w:tc>
        <w:tc>
          <w:tcPr>
            <w:tcW w:w="16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39,971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86,416</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41,926</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10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4,351</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2,513,260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1,884,910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2,468,743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1,916,102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 average useful life of our intangible assets as of February 28, 2026 was 30.4 years. We review our intangible assets to determine if any indicators of impairment are present on a quarterly basis or whenever events or changes in circumstances indicate that the carrying amount of an asset group may not be recoverable. If indicators of impairment are present, our intangible assets are tested for impairment by comparing the carrying value to undiscounted cash flows and, if impaired, written down to fair value based on discounted cash flows. We did not identify a material impairment nor a material change to the estimated remaining useful lives of our intangible assets during the six months ended February 28, 2026 and February 28, 2025. Our intangible assets have no assigned residual values.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for our intangible assets which is included in Cost of services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5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5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3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60" w:type="dxa"/>
            <w:vAlign w:val="bottom"/>
          </w:tcPr>
          <w:p>
            <w:pPr>
              <w:spacing w:after="0"/>
              <w:rPr>
                <w:sz w:val="19"/>
                <w:szCs w:val="19"/>
                <w:color w:val="auto"/>
              </w:rPr>
            </w:pPr>
          </w:p>
        </w:tc>
        <w:tc>
          <w:tcPr>
            <w:tcW w:w="16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37,249 $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75,001 $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62,461</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28, 2026, estimated intangible asset amortization expense for each of the next five years and thereafter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10"/>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six months)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74,054</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104,791</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74,425</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1,421,254</w:t>
            </w:r>
          </w:p>
        </w:tc>
      </w:tr>
      <w:tr>
        <w:trPr>
          <w:trHeight w:val="22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1,884,910</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INCOME TAXES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United States ("U.S.") and various state, local and foreign jurisdictions in which we conduct our business. Income tax expense is based on taxable income determined in accordance with current enacted laws and tax rates.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are recorded for the temporary differences between the financial statement carrying amounts and the tax basis of our assets and liabilities using currently enacted tax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 and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7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9"/>
                <w:szCs w:val="19"/>
                <w:color w:val="auto"/>
              </w:rPr>
            </w:pPr>
          </w:p>
        </w:tc>
        <w:tc>
          <w:tcPr>
            <w:tcW w:w="270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8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vMerge w:val="continue"/>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161,111</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172,320</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351,224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352,059</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28,055</w:t>
            </w: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27,460</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65,588</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57,177</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pretax income (or loss) attributable to, and subject to tax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months ended February 28, 2026 and February 28, 2025 was 17.4% and 15.9%, respectively. The increase was primarily due to the limitation on the deductibility of executive compensation and lower excess tax benefits from stock-based compensation, partially offset by a favorable resolution of uncertain tax positions in the U.S.</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six months ended February 28, 2026 and February 28, 2025 was 18.7% and 16.2%, respectively. The increase was primarily due to a stock-based compensation tax shortfall for the six months ended February 28, 2026, compared to an excess tax benefit for the prior year period.</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applicable U.S. corporate income tax rate ("U.S. tax rate") primarily due to the U.S. tax impact of foreign earnings, research and development ("R&amp;D") tax credits, and a foreign derived intangible income ("FDII") tax deduction, partially offset by the impact of state income taxes. In addition, our effective tax rate was lower than the U.S. tax rate for the three months ended February 28, 2026 due to a favorable resolution of uncertain tax positions in the U.S., and for the three and six months ended February 28, 2025 due to excess tax benefits from stock-based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Erosion and Profit Shifting Pillar Two</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released Base Erosion and Profit Shifting Pillar Two rules (“Pillar Two”) to introduce a global minimum corporate tax of 15% for companies with global revenues and profits above certain thresholds. Certain aspects of Pillar Two are effective for tax years beginning on or after January 1, 2024. Although the U.S. has not yet enacted legislation to adopt Pillar Two, certain countries in which we operate have already adopted, or are in the process of adopting, legislation to implement Pillar Two. We have determined that Pillar Two would not have a material impact to our Consolidated Financial Statements, related disclosures, or effective tax rate. However, as the Pillar Two rules continue to evolve, we are closely monitoring legislative developments globally to evaluate potential impacts on our financial statements, as more countries adopt and implement these regulations.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Big Beautiful Bill Act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legislation includes a broad range of tax reform provisions affecting businesses including, but not limited to, the expansion of bonus depreciation, immediate expensing of domestic R&amp;D costs, and revisions to the U.S. taxation of profits derived from international operations. The legislation has multiple effective dates, with certain provisions taking effect in fiscal 2025 and others phased in through fiscal 2027. The Act did not have a material impact on our Consolidated Financial Statements as of and for the three and six months ended February 28, 2026.</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LEASES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operating lease arrangements relate to our office space and data centers.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or modification date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w:t>
      </w:r>
      <w:r>
        <w:rPr>
          <w:rFonts w:ascii="Times New Roman" w:cs="Times New Roman" w:eastAsia="Times New Roman" w:hAnsi="Times New Roman"/>
          <w:sz w:val="18"/>
          <w:szCs w:val="18"/>
          <w:color w:val="000000"/>
        </w:rPr>
        <w:t>incremental borrowing rate ("IBR")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calculate our lease 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Selling, general and administrative ("SG&amp;A") expense) in our Consolidated Statements of Income.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February 28, 2026, we recognized $120.5 million of Lease ROU assets, net and $184.4 million of combined Current lease liabilities and Long-term lease liabilities in the Consolidated Balance Sheets. Our leases </w:t>
      </w:r>
      <w:r>
        <w:rPr>
          <w:rFonts w:ascii="Times New Roman" w:cs="Times New Roman" w:eastAsia="Times New Roman" w:hAnsi="Times New Roman"/>
          <w:sz w:val="18"/>
          <w:szCs w:val="18"/>
          <w:color w:val="212529"/>
        </w:rPr>
        <w:t>have remaining lease terms ranging from</w:t>
      </w:r>
      <w:r>
        <w:rPr>
          <w:rFonts w:ascii="Times New Roman" w:cs="Times New Roman" w:eastAsia="Times New Roman" w:hAnsi="Times New Roman"/>
          <w:sz w:val="18"/>
          <w:szCs w:val="18"/>
          <w:color w:val="auto"/>
        </w:rPr>
        <w:t xml:space="preserve"> less than one year to just over 10 years. Our lease agreements may include options to extend or terminate the lease, which would be included in the measurement of our lease term if it is reasonably certain that we will exercise the option.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w:t>
      </w:r>
      <w:r>
        <w:rPr>
          <w:rFonts w:ascii="Times New Roman" w:cs="Times New Roman" w:eastAsia="Times New Roman" w:hAnsi="Times New Roman"/>
          <w:sz w:val="18"/>
          <w:szCs w:val="18"/>
          <w:color w:val="212529"/>
        </w:rPr>
        <w:t>ollowing table presents our future minimum lease payments and a reconciliation to the combined</w:t>
      </w:r>
      <w:r>
        <w:rPr>
          <w:rFonts w:ascii="Times New Roman" w:cs="Times New Roman" w:eastAsia="Times New Roman" w:hAnsi="Times New Roman"/>
          <w:sz w:val="18"/>
          <w:szCs w:val="18"/>
          <w:color w:val="auto"/>
        </w:rPr>
        <w:t xml:space="preserve"> Current lease 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February 28, 2026</w:t>
      </w:r>
      <w:r>
        <w:rPr>
          <w:rFonts w:ascii="Times New Roman" w:cs="Times New Roman" w:eastAsia="Times New Roman" w:hAnsi="Times New Roman"/>
          <w:sz w:val="18"/>
          <w:szCs w:val="18"/>
          <w:color w:val="212529"/>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Minimum Lease</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Payments</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six months)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213,524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includes components of our occupancy costs:</w:t>
            </w:r>
          </w:p>
        </w:tc>
        <w:tc>
          <w:tcPr>
            <w:tcW w:w="1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60" w:type="dxa"/>
            <w:vAlign w:val="bottom"/>
          </w:tcPr>
          <w:p>
            <w:pPr>
              <w:spacing w:after="0"/>
              <w:rPr>
                <w:sz w:val="21"/>
                <w:szCs w:val="21"/>
                <w:color w:val="auto"/>
              </w:rPr>
            </w:pPr>
          </w:p>
        </w:tc>
        <w:tc>
          <w:tcPr>
            <w:tcW w:w="27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2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3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Pr>
          <w:p>
            <w:pPr>
              <w:spacing w:after="0"/>
              <w:rPr>
                <w:sz w:val="19"/>
                <w:szCs w:val="19"/>
                <w:color w:val="auto"/>
              </w:rPr>
            </w:pPr>
          </w:p>
        </w:tc>
        <w:tc>
          <w:tcPr>
            <w:tcW w:w="14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February 28,</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21252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98"/>
              </w:rPr>
              <w:t>8,188</w:t>
            </w:r>
          </w:p>
        </w:tc>
        <w:tc>
          <w:tcPr>
            <w:tcW w:w="9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0" w:type="dxa"/>
            <w:vAlign w:val="bottom"/>
          </w:tcPr>
          <w:p>
            <w:pPr>
              <w:spacing w:after="0"/>
              <w:rPr>
                <w:sz w:val="1"/>
                <w:szCs w:val="1"/>
                <w:color w:val="auto"/>
              </w:rPr>
            </w:pPr>
          </w:p>
        </w:tc>
      </w:tr>
      <w:tr>
        <w:trPr>
          <w:trHeight w:val="31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(2)</w:t>
            </w:r>
          </w:p>
        </w:tc>
        <w:tc>
          <w:tcPr>
            <w:tcW w:w="13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4,369</w:t>
            </w:r>
          </w:p>
        </w:tc>
        <w:tc>
          <w:tcPr>
            <w:tcW w:w="9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 w:hanging="252"/>
        <w:spacing w:after="0" w:line="301" w:lineRule="auto"/>
        <w:tabs>
          <w:tab w:leader="none" w:pos="25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complied with the practical expedients and exceptions we elected.</w:t>
      </w:r>
    </w:p>
    <w:p>
      <w:pPr>
        <w:spacing w:after="0" w:line="40"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5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costs include costs that are not fixed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weighted average remaining lease term and weighted average discount rate related to our operating leases recorded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As of February 28, 2026</w:t>
            </w:r>
          </w:p>
        </w:tc>
        <w:tc>
          <w:tcPr>
            <w:tcW w:w="2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As of August 31, 2025</w:t>
            </w: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4.9 %</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Borders>
              <w:bottom w:val="single" w:sz="8" w:color="auto"/>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19,893</w:t>
            </w:r>
          </w:p>
        </w:tc>
        <w:tc>
          <w:tcPr>
            <w:tcW w:w="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19,645</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17,069</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right="20" w:hanging="252"/>
        <w:spacing w:after="0" w:line="280" w:lineRule="auto"/>
        <w:tabs>
          <w:tab w:leader="none" w:pos="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new lease arrangements entered into during the respective period and contract modifications that extend our lease terms and/or provide additional rights.</w:t>
      </w:r>
    </w:p>
    <w:p>
      <w:pPr>
        <w:spacing w:after="0" w:line="56" w:lineRule="exact"/>
        <w:rPr>
          <w:rFonts w:ascii="Times New Roman" w:cs="Times New Roman" w:eastAsia="Times New Roman" w:hAnsi="Times New Roman"/>
          <w:sz w:val="16"/>
          <w:szCs w:val="16"/>
          <w:color w:val="auto"/>
        </w:rPr>
      </w:pPr>
    </w:p>
    <w:p>
      <w:pPr>
        <w:ind w:left="260" w:hanging="252"/>
        <w:spacing w:after="0" w:line="298" w:lineRule="auto"/>
        <w:tabs>
          <w:tab w:leader="none" w:pos="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lease term reassessments based on contractual options to early terminate, resulting in a reduction to the lease liability and the corresponding lease ROU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DEBT</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elected the fair value option and report our debt at amortized cost. Our debt obligations as of February 28, 2026 and August 31, 2025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auto"/>
            </w:tcBorders>
            <w:gridSpan w:val="2"/>
            <w:vMerge w:val="continue"/>
          </w:tcPr>
          <w:p>
            <w:pPr>
              <w:spacing w:after="0"/>
              <w:rPr>
                <w:sz w:val="21"/>
                <w:szCs w:val="21"/>
                <w:color w:val="auto"/>
              </w:rPr>
            </w:pPr>
          </w:p>
        </w:tc>
        <w:tc>
          <w:tcPr>
            <w:tcW w:w="20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Issuance Date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Maturity Date</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February 28, 2026</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2025</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20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4/8/2025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20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Unamortized discounts and debt issuance costs</w:t>
            </w:r>
            <w:r>
              <w:rPr>
                <w:rFonts w:ascii="Times New Roman" w:cs="Times New Roman" w:eastAsia="Times New Roman" w:hAnsi="Times New Roman"/>
                <w:sz w:val="23"/>
                <w:szCs w:val="23"/>
                <w:color w:val="auto"/>
                <w:vertAlign w:val="superscript"/>
              </w:rPr>
              <w:t>(1)</w:t>
            </w:r>
          </w:p>
        </w:tc>
        <w:tc>
          <w:tcPr>
            <w:tcW w:w="20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(1)</w:t>
            </w:r>
          </w:p>
        </w:tc>
        <w:tc>
          <w:tcPr>
            <w:tcW w:w="20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1,369,216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1,368,260</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60" w:right="20" w:hanging="252"/>
        <w:spacing w:after="0" w:line="260" w:lineRule="auto"/>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the unamortized debt issuance costs related to the 2025 Revolving Facility which are presented within Other assets on the Consolidated Balance Sheets.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28, 2026, annual ma</w:t>
      </w:r>
      <w:r>
        <w:rPr>
          <w:rFonts w:ascii="Times New Roman" w:cs="Times New Roman" w:eastAsia="Times New Roman" w:hAnsi="Times New Roman"/>
          <w:sz w:val="17"/>
          <w:szCs w:val="17"/>
          <w:color w:val="auto"/>
        </w:rPr>
        <w:t>turities on our debt obligations, based on contractual maturity dates,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6"/>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6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six months)</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Revolving Facility provides for up to $100.0 million in the form of letters of credit, and up to $100.0 million in the form of swingline loans. We may seek additional commitments of up to $1.0 billion under the 2025 Revolving Facility from lenders or other financial institutions. The 2025 Term Facility matures on April 8, 2028, and the 2025 Revolving Facility matures on April 8, 2030.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Term Facility is subject to scheduled quarterly principal payments, commencing on August 31, 2025, with each quarterly principal payment equal to 1.25% of the original principal amount of the 2025 Term Facility. The 2025 Credit Facilities are not otherwise subject to any other mandatory repayments. We may voluntarily prepay loans under the 2025 Credit Facilities at any time without premium or penalty. Prepayments of the 2025 Term Facility shall be applied to reduce the subsequent scheduled quarterly principal payments in direct order of maturity. We have satisfied all scheduled quarterly principal payments through maturity.</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2026, our outstanding debt under the 2025 Term Facility was $375.0 million and there were no borrowings under the 2025 Revolving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borrowing date through February 28, 2026, the outstanding borrowings under the 2025 Credit Facilities bore interest at a rate equal to the applicable one-month Term Secured Overnight Financing Rate ("SOFR") plus a 0.975% spread (comprised of a 0.875% interest rate margin, based on a pricing grid determined by reference to our senior unsecured non-credit enhanced long-term debt rating and our total leverage ratio, plus a 0.1% credit spread adjustment).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2025 Revolving Facility using a pricing grid based on our senior unsecured non-credit enhanced long-term debt rating and our total leverage ratio. The commitment fee remained consistent at 0.1% through February 28, 2026.</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Debt issuance costs related to the 2025 Credit Facilities were $3.4 million. These debt issuance costs are presented in the Consolidated Balance Sheets as a direct deduction from the carrying amount of the debt liability for the 2025 Term Facility and within Other assets for the 2025 Revolving Facility. Debt issuance costs are amortized to Interest expense in the Consolidated Statements of Income on a straight-line basis over the contractual term of the debt (which approximates the effective interest method for the 2025 Term Facility).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Credit Agreement contains usual and customary event of default provisions for facilities of this type, which are subject to usual and customary grace periods and materiality thresholds. If an event of default occurs under the 2025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February 28,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 The 2022 Credit Agreement was terminated on April 8, 2025, concurrent with entering into the 2025 Credit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during fiscal 2022. Debt discounts and debt issuance costs are presented in the Consolidated Balance Sheets as a net direct deduction from the carrying amount of the debt liability. The debt discounts and debt issuance costs are amortized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 the Consolidated Statements of Income over the contractual term of the debt, leveraging the effective interest method.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leverage interest rate swap agreements to manage our floating interest rate exposure with a fixed interest rate. Our interest rate swap agreements are designated as cash flow hedges at inception.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2025, we entered into an interest rate swap agreement ("2025 Swap Agreement") with a notional amount of $200.0 million to hedge a portion of our outstanding floating SOFR debt with a fixed interest rate of 4.086%. The notional amount of the 2025 Swap Agreement declined by $50.0 million on a quarterly basis beginning May 31, 2025. The 2025 Swap Agreement matured on February 28,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a component of Interest expense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5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5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2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tcPr>
          <w:p>
            <w:pPr>
              <w:spacing w:after="0"/>
              <w:rPr>
                <w:sz w:val="19"/>
                <w:szCs w:val="19"/>
                <w:color w:val="auto"/>
              </w:rPr>
            </w:pPr>
          </w:p>
        </w:tc>
        <w:tc>
          <w:tcPr>
            <w:tcW w:w="16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rPr>
              <w:t>$</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212529"/>
              </w:rPr>
              <w:t xml:space="preserve">13,035 </w:t>
            </w:r>
            <w:r>
              <w:rPr>
                <w:rFonts w:ascii="Times New Roman" w:cs="Times New Roman" w:eastAsia="Times New Roman" w:hAnsi="Times New Roman"/>
                <w:sz w:val="18"/>
                <w:szCs w:val="18"/>
                <w:color w:val="00000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26,404 $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28,266</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hanging="252"/>
        <w:spacing w:after="0" w:line="280" w:lineRule="auto"/>
        <w:tabs>
          <w:tab w:leader="none" w:pos="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our outstanding debt includes the related amortization of debt issuance costs and debt discounts. Interest expense is net of the effects of our interest rate swap agreements.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COMMITMENTS AND CONTINGENCIES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Contingent gains are recognized only when realized.</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Income tax contingencies related to uncertain tax positions are accounted for in accordance with applicable accounting guidance. Refer to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 Income Taxes </w:t>
      </w:r>
      <w:r>
        <w:rPr>
          <w:rFonts w:ascii="Times New Roman" w:cs="Times New Roman" w:eastAsia="Times New Roman" w:hAnsi="Times New Roman"/>
          <w:sz w:val="18"/>
          <w:szCs w:val="18"/>
          <w:color w:val="auto"/>
        </w:rPr>
        <w:t>in the Notes to the Consolidated Financial Statements included in Part II, Item 8. of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2025 for further details.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2025, we had total purchase obligations with suppliers and vendors of approximately $352 million. Our total purchase obligations as of August 31, 2025 primarily related to hosting services, acquisition of data and, to a lesser extent, third-party software providers. During the second quarter of fiscal 2026, we entered into a multi-year contract renewal with a supplier, resulting in total purchase commitments of approximately $62.5 million.</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respectively, for more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Our 2025 Revolving Facility allows for the availability of up to $100.0 million in the form of letters of credit. We have not obtained any letters of credit under the 2025 Revolving Facility since its inception. We had $0.7 million of standby letters of credit outstanding as of February 28, 2026 and August 31, 2025. No liabilities related to these arrangements are reflected in the Consolidated Balance Sheets.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the 2025 Revolving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our business, we are, or may be, engaged in various legal proceedings, claims, litigation and regulatory proceedings. In view of the uncertainty inherent in litigation and regulatory matters, we cannot predict the eventual outcome of such matters or the timing of their resolution, or in most cases reasonably estimate what the eventual judgments, damages, fines, penalties or impact of activity (if any) restrictions may be. While we cannot predict the outcome of these matters, based on information available as of February 28, 2026,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August 2019 through February 2024, we received various assessment and audit notices from the Commonwealth of Massachusetts Department of Revenue (the "Commonwealth") with respect to sales taxes, interest and underpayment penalties relating to the tax periods from January 1, 2006 through December 31, 2023 ("Sales Tax Dispute"). We entered into an agreement with the Commonwealth on November 26, 2024 which fully resolved all matters relating to the Sales Tax Dispute.</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2025 and the fourth quarter of fiscal 2024, we took charges of approximately $2.4 million and $54.0 million, respectively, related to this dispute and made corresponding payments of $56.4 million to the Commonwealth during the first quarter of fiscal 2025. In addition to reserves taken in prior fiscal years, this brought our total charge and cash payments with respect to this matter to approximately $66.2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STOCKHOLDERS' EQUITY</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shares of common stock repurchased under our share repurchase program and acquired from holders of our stock-based awards upon vesting to satisfy tax withholding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52"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7"/>
          <w:szCs w:val="17"/>
          <w:color w:val="auto"/>
        </w:rPr>
        <w:t>Repurchases of common stock under the share repurchase program</w:t>
      </w:r>
      <w:r>
        <w:rPr>
          <w:rFonts w:ascii="Times New Roman" w:cs="Times New Roman" w:eastAsia="Times New Roman" w:hAnsi="Times New Roman"/>
          <w:sz w:val="22"/>
          <w:szCs w:val="22"/>
          <w:color w:val="auto"/>
          <w:vertAlign w:val="superscript"/>
        </w:rPr>
        <w:t>(1)</w:t>
      </w:r>
    </w:p>
    <w:p>
      <w:pPr>
        <w:ind w:left="20"/>
        <w:spacing w:after="0" w:line="220" w:lineRule="auto"/>
        <w:rPr>
          <w:sz w:val="20"/>
          <w:szCs w:val="20"/>
          <w:color w:val="auto"/>
        </w:rPr>
      </w:pPr>
      <w:r>
        <w:rPr>
          <w:rFonts w:ascii="Times New Roman" w:cs="Times New Roman" w:eastAsia="Times New Roman" w:hAnsi="Times New Roman"/>
          <w:sz w:val="18"/>
          <w:szCs w:val="18"/>
          <w:color w:val="auto"/>
        </w:rPr>
        <w:t>Repurchases of common stock to</w:t>
      </w:r>
    </w:p>
    <w:p>
      <w:pPr>
        <w:spacing w:after="0" w:line="1" w:lineRule="exact"/>
        <w:rPr>
          <w:sz w:val="20"/>
          <w:szCs w:val="20"/>
          <w:color w:val="auto"/>
        </w:rPr>
      </w:pPr>
    </w:p>
    <w:p>
      <w:pPr>
        <w:ind w:left="20" w:right="20"/>
        <w:spacing w:after="0" w:line="218" w:lineRule="auto"/>
        <w:rPr>
          <w:sz w:val="20"/>
          <w:szCs w:val="20"/>
          <w:color w:val="auto"/>
        </w:rPr>
      </w:pPr>
      <w:r>
        <w:rPr>
          <w:rFonts w:ascii="Times New Roman" w:cs="Times New Roman" w:eastAsia="Times New Roman" w:hAnsi="Times New Roman"/>
          <w:sz w:val="18"/>
          <w:szCs w:val="18"/>
          <w:color w:val="auto"/>
        </w:rPr>
        <w:t>satisfy tax withholding requirements due upon vesting of stock-based awards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28,</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February 28,</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Borders>
              <w:bottom w:val="single" w:sz="8" w:color="auto"/>
            </w:tcBorders>
          </w:tcPr>
          <w:p>
            <w:pPr>
              <w:spacing w:after="0"/>
              <w:rPr>
                <w:sz w:val="23"/>
                <w:szCs w:val="23"/>
                <w:color w:val="auto"/>
              </w:rPr>
            </w:pPr>
          </w:p>
        </w:tc>
      </w:tr>
      <w:tr>
        <w:trPr>
          <w:trHeight w:val="237"/>
        </w:trPr>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399"/>
        </w:trPr>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651,750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163,031</w:t>
            </w:r>
          </w:p>
        </w:tc>
        <w:tc>
          <w:tcPr>
            <w:tcW w:w="80" w:type="dxa"/>
            <w:vAlign w:val="bottom"/>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136,714</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64,352</w:t>
            </w:r>
          </w:p>
        </w:tc>
        <w:tc>
          <w:tcPr>
            <w:tcW w:w="8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1,129,850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302,930</w:t>
            </w:r>
          </w:p>
        </w:tc>
        <w:tc>
          <w:tcPr>
            <w:tcW w:w="10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241,189</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113,142</w:t>
            </w:r>
          </w:p>
        </w:tc>
      </w:tr>
      <w:tr>
        <w:trPr>
          <w:trHeight w:val="769"/>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-753745</wp:posOffset>
            </wp:positionV>
            <wp:extent cx="6978015"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7801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60"/>
            <w:col w:w="8500"/>
          </w:cols>
          <w:pgMar w:left="320" w:top="121" w:right="339" w:bottom="1440" w:gutter="0" w:footer="0" w:header="0"/>
          <w:type w:val="continuous"/>
        </w:sectPr>
      </w:pPr>
    </w:p>
    <w:p>
      <w:pPr>
        <w:spacing w:after="0" w:line="56" w:lineRule="exact"/>
        <w:rPr>
          <w:sz w:val="20"/>
          <w:szCs w:val="20"/>
          <w:color w:val="auto"/>
        </w:rPr>
      </w:pPr>
    </w:p>
    <w:p>
      <w:pPr>
        <w:ind w:left="260" w:right="20" w:hanging="252"/>
        <w:spacing w:after="0" w:line="298" w:lineRule="auto"/>
        <w:tabs>
          <w:tab w:leader="none" w:pos="25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we are subject to a 1% excise tax on corporate stock repurchases required under the Inflation Reduction Act of 2022 of $1.5 million and $0.5 million for three months ended February 28, 2026 and 2025, respectively, and $2.8 million and $1.3 million for the six months ended February 28, 2026 and 2025, respectively.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There is no defined number of shares to be repurchased over a specified timeframe through the life of our share repurchase program.</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2025, our Board of Directors authorized up to $400 million for share repurchases on or after September 1, 2025. On December 16, 2025, our Board of Directors approved an additional $600 million in share repurchase authority, which was available immediately with no expiration date. The additional authorization also removed the expiration date from the June 17, 2025 authorization. As of February 28, 2026, $697.1 million remained available under our share repurchase program.</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six months ended February 28, 2026 and February 28,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Board of Directors approved the following dividends:</w:t>
            </w:r>
          </w:p>
        </w:tc>
        <w:tc>
          <w:tcPr>
            <w:tcW w:w="1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Dividends per</w:t>
            </w: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Total Amount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460" w:type="dxa"/>
            <w:vAlign w:val="bottom"/>
          </w:tcPr>
          <w:p>
            <w:pPr>
              <w:spacing w:after="0"/>
              <w:rPr>
                <w:sz w:val="15"/>
                <w:szCs w:val="15"/>
                <w:color w:val="auto"/>
              </w:rPr>
            </w:pPr>
          </w:p>
        </w:tc>
        <w:tc>
          <w:tcPr>
            <w:tcW w:w="138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Share of</w:t>
            </w:r>
          </w:p>
        </w:tc>
        <w:tc>
          <w:tcPr>
            <w:tcW w:w="19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Record Date</w:t>
            </w:r>
          </w:p>
        </w:tc>
        <w:tc>
          <w:tcPr>
            <w:tcW w:w="3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9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30"/>
        </w:trPr>
        <w:tc>
          <w:tcPr>
            <w:tcW w:w="260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w:t>
            </w:r>
          </w:p>
        </w:tc>
        <w:tc>
          <w:tcPr>
            <w:tcW w:w="19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November 28,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40,969</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9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40,305</w:t>
            </w:r>
          </w:p>
        </w:tc>
        <w:tc>
          <w:tcPr>
            <w:tcW w:w="1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9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November 29, 2024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39,572</w:t>
            </w:r>
          </w:p>
        </w:tc>
        <w:tc>
          <w:tcPr>
            <w:tcW w:w="1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39,511</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913"/>
        </w:trPr>
        <w:tc>
          <w:tcPr>
            <w:tcW w:w="2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Future cash dividend payments are subject to final determination by our Board of Directors and will depend on our earnings, capital requirements, financial condition and other relevant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("AOCL") as of February 28, 2026 and August 31, 2025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28, 2026</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post-employment benefit obligations, net of tax</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(63,079)</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r>
      <w:tr>
        <w:trPr>
          <w:trHeight w:val="22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(63,748)</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EARNINGS PER SHARE</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by the number of weighted average common shares outstanding during the period. Diluted earnings per common share ("Diluted EPS") is calculated by using the treasury stock method which assumes the issuance of common stock for all potentially dilutive stock-based awards.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our Basic and Diluted EPS computations: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21"/>
                <w:szCs w:val="21"/>
                <w:color w:val="auto"/>
              </w:rPr>
            </w:pPr>
          </w:p>
        </w:tc>
        <w:tc>
          <w:tcPr>
            <w:tcW w:w="24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EPS and Diluted EPS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133,056</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285,636</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EPS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36,927</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38,015</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37,168</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 associated with stock-based compensation plans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w:t>
            </w:r>
          </w:p>
        </w:tc>
        <w:tc>
          <w:tcPr>
            <w:tcW w:w="52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w:t>
            </w:r>
          </w:p>
        </w:tc>
        <w:tc>
          <w:tcPr>
            <w:tcW w:w="34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7.65</w:t>
            </w:r>
          </w:p>
        </w:tc>
        <w:tc>
          <w:tcPr>
            <w:tcW w:w="52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that were excluded from Diluted EPS as they relate to stock-based awards that were antidilutive or subject to performance conditions which have not been satisfied by the end of the reporting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2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19"/>
                <w:szCs w:val="19"/>
                <w:color w:val="auto"/>
              </w:rPr>
            </w:pPr>
          </w:p>
        </w:tc>
        <w:tc>
          <w:tcPr>
            <w:tcW w:w="25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tcPr>
          <w:p>
            <w:pPr>
              <w:spacing w:after="0"/>
              <w:rPr>
                <w:sz w:val="19"/>
                <w:szCs w:val="19"/>
                <w:color w:val="auto"/>
              </w:rPr>
            </w:pP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9"/>
              </w:rPr>
              <w:t>February 28,</w:t>
            </w:r>
          </w:p>
        </w:tc>
        <w:tc>
          <w:tcPr>
            <w:tcW w:w="6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options with performance conditions</w:t>
            </w:r>
          </w:p>
        </w:tc>
        <w:tc>
          <w:tcPr>
            <w:tcW w:w="1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98"/>
              </w:rPr>
              <w:t>1,603</w:t>
            </w:r>
          </w:p>
        </w:tc>
        <w:tc>
          <w:tcPr>
            <w:tcW w:w="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670</w:t>
            </w:r>
          </w:p>
        </w:tc>
        <w:tc>
          <w:tcPr>
            <w:tcW w:w="16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1,504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share units</w:t>
            </w:r>
          </w:p>
        </w:tc>
        <w:tc>
          <w:tcPr>
            <w:tcW w:w="1300" w:type="dxa"/>
            <w:vAlign w:val="bottom"/>
          </w:tcPr>
          <w:p>
            <w:pPr>
              <w:spacing w:after="0"/>
              <w:rPr>
                <w:sz w:val="20"/>
                <w:szCs w:val="20"/>
                <w:color w:val="auto"/>
              </w:rPr>
            </w:pPr>
          </w:p>
        </w:tc>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262</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w:t>
            </w:r>
          </w:p>
        </w:tc>
        <w:tc>
          <w:tcPr>
            <w:tcW w:w="16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263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STOCK-BASED COMPENSATION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shareholders approved the FactSet Research Systems, Inc. 2025 Omnibus Incentive Plan (the "Omnibus Plan") on December 18, 2025. The Omnibus Plan replaced both the FactSet Research Systems Inc. Stock Option and Award Plan, as Amended and Restated and the FactSet Research Systems Inc. Non-Employee Directors’ Stock Option and Award Plan, as Amended and Restated.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2025, the FactSet Research Systems Inc. 2025 Employee Stock Purchase Plan replaced the FactSet Research Systems Inc. 2008 Employee Stock Purchase Plan, as Amended and Restated.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stock-based compensation expense consists of: (i) stock options, (ii) restricted stock units ("RSUs"), (iii) performance share units ("PSUs"), (iv) stock options with performance conditions ("PSOs") issued to our Chief Executive Officer ("CEO"), and (v) common stock purchased by eligible employees under our employee stock purchase plan ("ESPP").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5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5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29"/>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0" w:type="dxa"/>
            <w:vAlign w:val="bottom"/>
          </w:tcPr>
          <w:p>
            <w:pPr>
              <w:spacing w:after="0"/>
              <w:rPr>
                <w:sz w:val="19"/>
                <w:szCs w:val="19"/>
                <w:color w:val="auto"/>
              </w:rPr>
            </w:pPr>
          </w:p>
        </w:tc>
        <w:tc>
          <w:tcPr>
            <w:tcW w:w="16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February 28,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auto"/>
            </w:tcBorders>
            <w:vMerge w:val="continue"/>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2026</w:t>
            </w: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12529"/>
              </w:rPr>
              <w:t>$</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212529"/>
              </w:rPr>
              <w:t xml:space="preserve">20,867 </w:t>
            </w:r>
            <w:r>
              <w:rPr>
                <w:rFonts w:ascii="Times New Roman" w:cs="Times New Roman" w:eastAsia="Times New Roman" w:hAnsi="Times New Roman"/>
                <w:sz w:val="18"/>
                <w:szCs w:val="18"/>
                <w:color w:val="00000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39,324 $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were no stock-based compensation costs capitalized in any periods presented. As of February 28, 2026, $188.2 million of total unrecognized stock-based compensation expense related to non-vested stock-based awards is expected to be recognized over the remaining weighted average vesting period of 2.9 years.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and recognize stock-based compensation expense for all stock-based awards and purchases of common stock under the ESPP based on their estimated grant date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lattice-based option-pricing model ("lattice model") to estimate the grant date fair value for our employee stock options. For our CEO PSOs, grant date fair value was estimated using a Monte Carlo simulation ("Monte Carlo model"). The grant date fair value for non-employee director stock options and common stock purchased by eligible employees under our ESPP is estimated using a Black-Scholes model.</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lattice model, Black-Scholes model, and Monte Carlo model each require certain estimates and assumptions, including the risk-free interest rate, expected volatility, and dividend yield. The Black-Scholes and Monte Carlo models incorporate an assumed expected life of the award, while the lattice model derives the expected life as an output incorporating assumptions such as vesting restrictions and expected exercise patterns based on the intrinsic value of the options.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assumptions and their definitions are as follows:</w:t>
      </w:r>
    </w:p>
    <w:p>
      <w:pPr>
        <w:spacing w:after="0" w:line="181" w:lineRule="exact"/>
        <w:rPr>
          <w:sz w:val="20"/>
          <w:szCs w:val="20"/>
          <w:color w:val="auto"/>
        </w:rPr>
      </w:pPr>
    </w:p>
    <w:p>
      <w:pPr>
        <w:ind w:left="66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3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useful life and the weighted average implied volatility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option contracts traded in the 90 days preceding the stock-based award's valuation date.</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RSUs and PSUs (collectively, "Restricted Stock Awards"), the grant date fair value is measured by reducing the grant date price of our common stock by the present value of expected future dividend payments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pursuant to our PSU awards depends on the level of our achievement of stated financial performance objectives.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 and RSU awards is recognized over their respective services period using the straight-line method. For these awards, the amount of stock-based compensation expense recognized on any date is at least equal to the vested portion of the award on that date.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PSUs require us to make assumptions regarding the probability of achieving specified performance levels established at the time of grant. We recognize stock-based compensation expense for PSUs using the straight-line method over the requisite service period. The probability of achieving the specified performance levels is reviewed on a quarterly basis to ensure the amount of stock-based compensation expense appropriately reflects the expected achievement.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ESPP, stock-based compensation expense is recognized on a straight-line basis over the offering period.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stock-based awards are generally subject to the continued employment for employees, or continued service for non-employee directors, through the applicable vesting date. Compensation expense for stock-based awards is recorded net of estimated forfeitures, which are based on historical forfeiture rates and are revised if actual forfeitures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stock options granted for the six months ended February 28, 2026 and February 28,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23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February 28,</w:t>
            </w:r>
          </w:p>
        </w:tc>
        <w:tc>
          <w:tcPr>
            <w:tcW w:w="160" w:type="dxa"/>
            <w:vAlign w:val="bottom"/>
          </w:tcPr>
          <w:p>
            <w:pPr>
              <w:spacing w:after="0"/>
              <w:rPr>
                <w:sz w:val="20"/>
                <w:szCs w:val="20"/>
                <w:color w:val="auto"/>
              </w:rPr>
            </w:pPr>
          </w:p>
        </w:tc>
        <w:tc>
          <w:tcPr>
            <w:tcW w:w="12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Weighted average</w:t>
            </w:r>
          </w:p>
        </w:tc>
        <w:tc>
          <w:tcPr>
            <w:tcW w:w="142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Weighted average</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Weighted average</w:t>
            </w:r>
          </w:p>
        </w:tc>
        <w:tc>
          <w:tcPr>
            <w:tcW w:w="140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8"/>
              </w:rPr>
              <w:t>grant date fair</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8"/>
              </w:rPr>
              <w:t>grant date fair</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value</w:t>
            </w:r>
          </w:p>
        </w:tc>
        <w:tc>
          <w:tcPr>
            <w:tcW w:w="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color w:val="auto"/>
                <w:vertAlign w:val="superscript"/>
              </w:rPr>
              <w:t>(1)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213,811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CEO performance stock option grant</w:t>
            </w:r>
            <w:r>
              <w:rPr>
                <w:rFonts w:ascii="Times New Roman" w:cs="Times New Roman" w:eastAsia="Times New Roman" w:hAnsi="Times New Roman"/>
                <w:sz w:val="23"/>
                <w:szCs w:val="23"/>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option awards granted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511,713</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203,114</w:t>
            </w:r>
          </w:p>
        </w:tc>
        <w:tc>
          <w:tcPr>
            <w:tcW w:w="1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260" w:hanging="252"/>
        <w:spacing w:after="0" w:line="272" w:lineRule="auto"/>
        <w:tabs>
          <w:tab w:leader="none" w:pos="25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annual grant of employee stock options during the first quarter of each fiscal year makes up the majority of our employee stock options granted in each fiscal year. The annual grant on November 3, 2025 of 213,811 stock options vest 25% annually on the anniversary date of the grant and fully vest after four years. The annual grant on November 1, 2024 of 200,693 stock options vest 20% annually on the anniversary date of the grant and fully vest after five years.</w:t>
      </w:r>
    </w:p>
    <w:p>
      <w:pPr>
        <w:spacing w:after="0" w:line="49" w:lineRule="exact"/>
        <w:rPr>
          <w:rFonts w:ascii="Times New Roman" w:cs="Times New Roman" w:eastAsia="Times New Roman" w:hAnsi="Times New Roman"/>
          <w:sz w:val="16"/>
          <w:szCs w:val="16"/>
          <w:color w:val="auto"/>
        </w:rPr>
      </w:pPr>
    </w:p>
    <w:p>
      <w:pPr>
        <w:jc w:val="both"/>
        <w:ind w:left="260" w:hanging="252"/>
        <w:spacing w:after="0" w:line="260" w:lineRule="auto"/>
        <w:tabs>
          <w:tab w:leader="none" w:pos="26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grant to our CEO on September 22, 2025 of PSOs as part of his May 28, 2025 employment agreement. The PSOs vest if, during the performance period ending on the fifth anniversary of the grant date, our common stock achieves a 30-day trailing volume-weighted average price ("VWAP") equal to or greater than 150% of the 30-day trailing VWAP ending on the grant date. Options are not exercisable before the third anniversary of the grant date. These options expire ten years from the grant date.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lattice model and Monte Carlo model to estimate the grant date fair value of the November 3, 2025 annual employee stock option grant and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22, 2025 CEO PSO grant, respectively. The following table presents the grant information and model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9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Annual Employee Stock Option</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9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Grant</w:t>
            </w:r>
          </w:p>
        </w:tc>
        <w:tc>
          <w:tcPr>
            <w:tcW w:w="2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CEO PSO Grant</w:t>
            </w:r>
          </w:p>
        </w:tc>
        <w:tc>
          <w:tcPr>
            <w:tcW w:w="0" w:type="dxa"/>
            <w:vAlign w:val="bottom"/>
          </w:tcPr>
          <w:p>
            <w:pPr>
              <w:spacing w:after="0"/>
              <w:rPr>
                <w:sz w:val="1"/>
                <w:szCs w:val="1"/>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3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Employee Grant Details</w:t>
            </w:r>
          </w:p>
        </w:tc>
        <w:tc>
          <w:tcPr>
            <w:tcW w:w="4940" w:type="dxa"/>
            <w:vAlign w:val="bottom"/>
            <w:tcBorders>
              <w:bottom w:val="single" w:sz="8" w:color="auto"/>
            </w:tcBorders>
          </w:tcPr>
          <w:p>
            <w:pPr>
              <w:jc w:val="center"/>
              <w:ind w:left="1790"/>
              <w:spacing w:after="0"/>
              <w:rPr>
                <w:sz w:val="20"/>
                <w:szCs w:val="20"/>
                <w:color w:val="auto"/>
              </w:rPr>
            </w:pPr>
            <w:r>
              <w:rPr>
                <w:rFonts w:ascii="Times New Roman" w:cs="Times New Roman" w:eastAsia="Times New Roman" w:hAnsi="Times New Roman"/>
                <w:sz w:val="18"/>
                <w:szCs w:val="18"/>
                <w:color w:val="auto"/>
                <w:w w:val="99"/>
              </w:rPr>
              <w:t>November 3, 2025</w:t>
            </w:r>
          </w:p>
        </w:tc>
        <w:tc>
          <w:tcPr>
            <w:tcW w:w="2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September 22, 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4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213,811</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4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$75.34</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$264.57</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Assumptions</w:t>
            </w:r>
          </w:p>
        </w:tc>
        <w:tc>
          <w:tcPr>
            <w:tcW w:w="4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3.61 % - 4.16 %</w:t>
            </w:r>
          </w:p>
        </w:tc>
        <w:tc>
          <w:tcPr>
            <w:tcW w:w="2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103"/>
        </w:trPr>
        <w:tc>
          <w:tcPr>
            <w:tcW w:w="20" w:type="dxa"/>
            <w:vAlign w:val="bottom"/>
            <w:shd w:val="clear" w:color="auto" w:fill="CCEEFF"/>
          </w:tcPr>
          <w:p>
            <w:pPr>
              <w:spacing w:after="0"/>
              <w:rPr>
                <w:sz w:val="8"/>
                <w:szCs w:val="8"/>
                <w:color w:val="auto"/>
              </w:rPr>
            </w:pPr>
          </w:p>
        </w:tc>
        <w:tc>
          <w:tcPr>
            <w:tcW w:w="3980" w:type="dxa"/>
            <w:vAlign w:val="bottom"/>
            <w:gridSpan w:val="2"/>
            <w:vMerge w:val="continue"/>
            <w:shd w:val="clear" w:color="auto" w:fill="CCEEFF"/>
          </w:tcPr>
          <w:p>
            <w:pPr>
              <w:spacing w:after="0"/>
              <w:rPr>
                <w:sz w:val="8"/>
                <w:szCs w:val="8"/>
                <w:color w:val="auto"/>
              </w:rPr>
            </w:pPr>
          </w:p>
        </w:tc>
        <w:tc>
          <w:tcPr>
            <w:tcW w:w="4940" w:type="dxa"/>
            <w:vAlign w:val="bottom"/>
            <w:shd w:val="clear" w:color="auto" w:fill="CCEEFF"/>
          </w:tcPr>
          <w:p>
            <w:pPr>
              <w:spacing w:after="0"/>
              <w:rPr>
                <w:sz w:val="8"/>
                <w:szCs w:val="8"/>
                <w:color w:val="auto"/>
              </w:rPr>
            </w:pPr>
          </w:p>
        </w:tc>
        <w:tc>
          <w:tcPr>
            <w:tcW w:w="23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27.57 %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1.32 %</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6.33</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grant of employee Restricted Stock Awards during the first quarter of each fiscal year makes up the majority of our employee Restricted Stock Awards granted in each fiscal year. These awards entitle the holders to shares of common stock as the Restricted Stock Awards vest. For unvested Restricted Stock Awards, holders are not entitled to dividends declared on the underlying shares. In accordance with the Omnibus Plan, Restricted Stock Awards granted or canceled/forfeited is equivalent to 2.5 shares deducted from or added back to, respectively, the aggregate number of stock-based awards available for grant.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employee Restricted Stock Awards granted or earned during the six months ended February 28, 2026 and February 28,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4"/>
        </w:trPr>
        <w:tc>
          <w:tcPr>
            <w:tcW w:w="41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2025</w:t>
            </w:r>
          </w:p>
        </w:tc>
      </w:tr>
      <w:tr>
        <w:trPr>
          <w:trHeight w:val="169"/>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r>
      <w:tr>
        <w:trPr>
          <w:trHeight w:val="176"/>
        </w:trPr>
        <w:tc>
          <w:tcPr>
            <w:tcW w:w="4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Grant Date Fair Value</w:t>
            </w: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Grant Date Fair Value</w:t>
            </w:r>
          </w:p>
        </w:tc>
      </w:tr>
      <w:tr>
        <w:trPr>
          <w:trHeight w:val="243"/>
        </w:trPr>
        <w:tc>
          <w:tcPr>
            <w:tcW w:w="4180" w:type="dxa"/>
            <w:vAlign w:val="bottom"/>
          </w:tcPr>
          <w:p>
            <w:pPr>
              <w:spacing w:after="0"/>
              <w:rPr>
                <w:sz w:val="21"/>
                <w:szCs w:val="21"/>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1"/>
                <w:szCs w:val="21"/>
                <w:color w:val="auto"/>
              </w:rPr>
            </w:pPr>
          </w:p>
        </w:tc>
        <w:tc>
          <w:tcPr>
            <w:tcW w:w="2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Per Award</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21"/>
                <w:szCs w:val="21"/>
                <w:color w:val="auto"/>
              </w:rPr>
            </w:pP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Per Award</w:t>
            </w:r>
          </w:p>
        </w:tc>
      </w:tr>
      <w:tr>
        <w:trPr>
          <w:trHeight w:val="223"/>
        </w:trPr>
        <w:tc>
          <w:tcPr>
            <w:tcW w:w="41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237,559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447.55</w:t>
            </w:r>
          </w:p>
        </w:tc>
      </w:tr>
      <w:tr>
        <w:trPr>
          <w:trHeight w:val="229"/>
        </w:trPr>
        <w:tc>
          <w:tcPr>
            <w:tcW w:w="4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446.59</w:t>
            </w:r>
          </w:p>
        </w:tc>
      </w:tr>
      <w:tr>
        <w:trPr>
          <w:trHeight w:val="230"/>
        </w:trPr>
        <w:tc>
          <w:tcPr>
            <w:tcW w:w="4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Performance adjustment - PSUs</w:t>
            </w:r>
            <w:r>
              <w:rPr>
                <w:rFonts w:ascii="Times New Roman" w:cs="Times New Roman" w:eastAsia="Times New Roman" w:hAnsi="Times New Roman"/>
                <w:sz w:val="23"/>
                <w:szCs w:val="23"/>
                <w:color w:val="auto"/>
                <w:vertAlign w:val="superscript"/>
              </w:rPr>
              <w:t>(3)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w:t>
            </w: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303,276</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122,259</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170" w:lineRule="exact"/>
        <w:rPr>
          <w:sz w:val="20"/>
          <w:szCs w:val="20"/>
          <w:color w:val="auto"/>
        </w:rPr>
      </w:pPr>
    </w:p>
    <w:p>
      <w:pPr>
        <w:jc w:val="both"/>
        <w:ind w:left="260" w:hanging="252"/>
        <w:spacing w:after="0" w:line="263" w:lineRule="auto"/>
        <w:tabs>
          <w:tab w:leader="none" w:pos="2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granted during the six months ended February 28, 2026 include the annual employee grant on November 3, 2025 of 169,049 RSUs, and a one-time grant to our CEO on September 22, 2025 of 58,332 RSUs pursuant to the terms of his employment agreement. Both grants vest 25% annually on the anniversary date of the grant and fully vest after four years. RSUs granted during the six months ended February 28, 2025 include the annual employee grant on November 1, 2024 of 76,448 RSUs which vest 20% annually on the anniversary date of the grant and fully vest after five years.</w:t>
      </w:r>
    </w:p>
    <w:p>
      <w:pPr>
        <w:spacing w:after="0" w:line="84" w:lineRule="exact"/>
        <w:rPr>
          <w:rFonts w:ascii="Times New Roman" w:cs="Times New Roman" w:eastAsia="Times New Roman" w:hAnsi="Times New Roman"/>
          <w:sz w:val="16"/>
          <w:szCs w:val="16"/>
          <w:color w:val="auto"/>
        </w:rPr>
      </w:pPr>
    </w:p>
    <w:p>
      <w:pPr>
        <w:jc w:val="both"/>
        <w:ind w:left="260" w:hanging="252"/>
        <w:spacing w:after="0" w:line="259" w:lineRule="auto"/>
        <w:tabs>
          <w:tab w:leader="none" w:pos="247"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PSUs granted during the six months ended February 28, 2026 include the annual employee grant on November 3, 2025 of 43,281 PSUs, and a one-time grant to our CEO on October 1, 2025 of 22,436 PSUs pursuant to the terms of his employment agreement. PSUs granted during the six months ended February 28, 2025 include the annual employee grant on November 1, 2024 of 33,756 PSUs. Each grant cliff vests on the third anniversary of the grant date, subject to the achievement of certain performance metrics, with an achievement range from 0% to 200%. The ultimate number of common shares that may be earned pursuant to the PSU awards depends on the level of achievement of the specified performance levels.</w:t>
      </w:r>
    </w:p>
    <w:p>
      <w:pPr>
        <w:spacing w:after="0" w:line="87" w:lineRule="exact"/>
        <w:rPr>
          <w:rFonts w:ascii="Times New Roman" w:cs="Times New Roman" w:eastAsia="Times New Roman" w:hAnsi="Times New Roman"/>
          <w:sz w:val="16"/>
          <w:szCs w:val="16"/>
          <w:color w:val="auto"/>
        </w:rPr>
      </w:pPr>
    </w:p>
    <w:p>
      <w:pPr>
        <w:ind w:left="260" w:hanging="252"/>
        <w:spacing w:after="0" w:line="280" w:lineRule="auto"/>
        <w:tabs>
          <w:tab w:leader="none" w:pos="27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PSUs were earned during the first quarter of fiscal 2025 based on performance above the specified target level of achievement for PSUs granted on November 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Awards Available for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Omnibus Plan authorized an additional 1.8 million shares available for grant. As of February 28, 2026, we had 4.1 million shares available for future awards to employees and non-employee directors.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SEGMENT INFORMATION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CEO functions as our CODM.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Americas, EMEA and Asia Pacific. This is how our CODM manages our business and the geographic markets in which we operate. These operating segments are consistent with our reportable segments.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Americas segment primarily sells to clients throughout North, Central, and South America. The EMEA segment primarily sells to clients in Europe, the Middle East, and Africa. The Asia Pacific segment primarily sells to clients in Asia and Australasia. Segment revenues reflect sales to our clients based on the geographic region where the sale originated.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global centers of excellence ("COEs"), primarily located in India and the Philippines, are allocated to each segment based on their respective percentage of revenues as this reflects the benefits provided to each segment.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Intercompany revenue and expense amounts have been eliminated within each segment in order to report on the basis that management uses internally for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1"/>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28, 2026</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399,683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611,019</w:t>
            </w:r>
          </w:p>
        </w:tc>
      </w:tr>
      <w:tr>
        <w:trPr>
          <w:trHeight w:val="229"/>
        </w:trPr>
        <w:tc>
          <w:tcPr>
            <w:tcW w:w="59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325,482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82,878</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426,058</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184,961</w:t>
            </w:r>
          </w:p>
        </w:tc>
      </w:tr>
      <w:tr>
        <w:trPr>
          <w:trHeight w:val="229"/>
        </w:trPr>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161,111</w:t>
            </w:r>
          </w:p>
        </w:tc>
      </w:tr>
      <w:tr>
        <w:trPr>
          <w:trHeight w:val="270"/>
        </w:trPr>
        <w:tc>
          <w:tcPr>
            <w:tcW w:w="59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43,690</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20,867</w:t>
            </w:r>
          </w:p>
        </w:tc>
      </w:tr>
      <w:tr>
        <w:trPr>
          <w:trHeight w:val="229"/>
        </w:trPr>
        <w:tc>
          <w:tcPr>
            <w:tcW w:w="5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25,997</w:t>
            </w:r>
          </w:p>
        </w:tc>
      </w:tr>
      <w:tr>
        <w:trPr>
          <w:trHeight w:val="270"/>
        </w:trPr>
        <w:tc>
          <w:tcPr>
            <w:tcW w:w="592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28, 2025</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369,661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570,660</w:t>
            </w:r>
          </w:p>
        </w:tc>
      </w:tr>
      <w:tr>
        <w:trPr>
          <w:trHeight w:val="229"/>
        </w:trPr>
        <w:tc>
          <w:tcPr>
            <w:tcW w:w="59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296,534</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72,819</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385,168</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185,492</w:t>
            </w:r>
          </w:p>
        </w:tc>
      </w:tr>
      <w:tr>
        <w:trPr>
          <w:trHeight w:val="229"/>
        </w:trPr>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(13,172)</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172,320</w:t>
            </w:r>
          </w:p>
        </w:tc>
      </w:tr>
      <w:tr>
        <w:trPr>
          <w:trHeight w:val="270"/>
        </w:trPr>
        <w:tc>
          <w:tcPr>
            <w:tcW w:w="59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38,410</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r>
      <w:tr>
        <w:trPr>
          <w:trHeight w:val="230"/>
        </w:trPr>
        <w:tc>
          <w:tcPr>
            <w:tcW w:w="5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23,736</w:t>
            </w:r>
          </w:p>
        </w:tc>
      </w:tr>
      <w:tr>
        <w:trPr>
          <w:trHeight w:val="270"/>
        </w:trPr>
        <w:tc>
          <w:tcPr>
            <w:tcW w:w="592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28, 2026</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795,859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1,218,640</w:t>
            </w:r>
          </w:p>
        </w:tc>
      </w:tr>
      <w:tr>
        <w:trPr>
          <w:trHeight w:val="229"/>
        </w:trPr>
        <w:tc>
          <w:tcPr>
            <w:tcW w:w="59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643,125</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164,241</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841,608</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377,032</w:t>
            </w:r>
          </w:p>
        </w:tc>
      </w:tr>
      <w:tr>
        <w:trPr>
          <w:trHeight w:val="229"/>
        </w:trPr>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(25,808)</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351,224</w:t>
            </w:r>
          </w:p>
        </w:tc>
      </w:tr>
      <w:tr>
        <w:trPr>
          <w:trHeight w:val="270"/>
        </w:trPr>
        <w:tc>
          <w:tcPr>
            <w:tcW w:w="59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87,838</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39,324</w:t>
            </w:r>
          </w:p>
        </w:tc>
      </w:tr>
      <w:tr>
        <w:trPr>
          <w:trHeight w:val="229"/>
        </w:trPr>
        <w:tc>
          <w:tcPr>
            <w:tcW w:w="5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56,844</w:t>
            </w:r>
          </w:p>
        </w:tc>
      </w:tr>
      <w:tr>
        <w:trPr>
          <w:trHeight w:val="270"/>
        </w:trPr>
        <w:tc>
          <w:tcPr>
            <w:tcW w:w="5920" w:type="dxa"/>
            <w:vAlign w:val="bottom"/>
            <w:gridSpan w:val="2"/>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28, 2025</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736,903</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115,312</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1,139,327</w:t>
            </w:r>
          </w:p>
        </w:tc>
      </w:tr>
      <w:tr>
        <w:trPr>
          <w:trHeight w:val="230"/>
        </w:trPr>
        <w:tc>
          <w:tcPr>
            <w:tcW w:w="59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581,978</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147,506</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762,500</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154,925</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376,827</w:t>
            </w:r>
          </w:p>
        </w:tc>
      </w:tr>
      <w:tr>
        <w:trPr>
          <w:trHeight w:val="230"/>
        </w:trPr>
        <w:tc>
          <w:tcPr>
            <w:tcW w:w="5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(24,768)</w:t>
            </w:r>
          </w:p>
        </w:tc>
      </w:tr>
      <w:tr>
        <w:trPr>
          <w:trHeight w:val="223"/>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352,059</w:t>
            </w:r>
          </w:p>
        </w:tc>
      </w:tr>
    </w:tbl>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1517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66,706</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74,127</w:t>
            </w:r>
          </w:p>
        </w:tc>
      </w:tr>
      <w:tr>
        <w:trPr>
          <w:trHeight w:val="229"/>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w:t>
            </w:r>
          </w:p>
        </w:tc>
      </w:tr>
      <w:tr>
        <w:trPr>
          <w:trHeight w:val="312"/>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2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47,028</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49,610</w:t>
            </w:r>
          </w:p>
        </w:tc>
      </w:tr>
    </w:tbl>
    <w:p>
      <w:pPr>
        <w:spacing w:after="0" w:line="147"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consist of Cost of services and SG&amp;A costs.</w:t>
      </w:r>
    </w:p>
    <w:p>
      <w:pPr>
        <w:spacing w:after="0" w:line="11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include purchases of PPE and capitalized internal-use software.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Total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 as of February 28, 2026 and August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February 28, 2026</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23"/>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3,501,897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3,523,467</w:t>
            </w:r>
          </w:p>
        </w:tc>
      </w:tr>
      <w:tr>
        <w:trPr>
          <w:trHeight w:val="229"/>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548,254</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610,364</w:t>
            </w:r>
          </w:p>
        </w:tc>
      </w:tr>
      <w:tr>
        <w:trPr>
          <w:trHeight w:val="230"/>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169,679</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170,441</w:t>
            </w:r>
          </w:p>
        </w:tc>
      </w:tr>
      <w:tr>
        <w:trPr>
          <w:trHeight w:val="228"/>
        </w:trPr>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4,219,830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2025,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2025.</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artificial intelligence ("AI")-powered technologies used by global financial professionals to power their critical investment workflows. As of February 28, 2026, we had more than 9,000 clients comprised of over 241,000 investment professionals, including institutional asset managers, bankers, wealth managers, asset owners,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drive our business based on a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solutions, cloud-based digital solutions, and application programming interfaces ("APIs"). AI is embedded across these offerings to enhance data discovery, automate routine workflows and improve the speed and accuracy of client insights. The CUSIP Global Services ("CGS") business supports security master files relied on by the investment industry for critical front, middle and back-office functions. All of our platforms and solutions are supported by our client service team.</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segments.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each segment, we offer data, products and analytical applications by firm type: Institutional Buyside, Dealmakers, Wealth, and Market Infrastructure. In fiscal 2026, we renamed "Partnerships and CGS" to "Market Infrastructure".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global asset managers, asset owners, and hedge fund professionals,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investment bankers, sell-side research analysts, corporate users, investor relations officers and private equity and venture capital professionals,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clients, and</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Infrastructure" focuses on partnerships that deliver solutions to firms in the financial services ecosystem including data, analytics and technology platform providers and includes CGS, the exclusive issuer of Committee on Uniform Security Identification Procedures ("CUSIP") and CUSIP International Number System ("CINS") identifiers globally.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strive to be a trusted enterprise partner and service provider to our clients across the financial services spectrum, delivering relevant intelligence, insights and execution solutions tailored to our clients' business models.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strategically aligned geographic segments: the Americas, EMEA and Asia Pacific. This approach allows us to better manage resources, target solutions and interact with clients effectively.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execute our strategy, we are focused on three core pillars and primary areas of investment:</w:t>
      </w:r>
    </w:p>
    <w:p>
      <w:pPr>
        <w:spacing w:after="0" w:line="181" w:lineRule="exact"/>
        <w:rPr>
          <w:sz w:val="20"/>
          <w:szCs w:val="20"/>
          <w:color w:val="auto"/>
        </w:rPr>
      </w:pPr>
    </w:p>
    <w:p>
      <w:pPr>
        <w:jc w:val="both"/>
        <w:ind w:left="66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our data offerings and delivery capabilities: </w:t>
      </w:r>
      <w:r>
        <w:rPr>
          <w:rFonts w:ascii="Times New Roman" w:cs="Times New Roman" w:eastAsia="Times New Roman" w:hAnsi="Times New Roman"/>
          <w:sz w:val="18"/>
          <w:szCs w:val="18"/>
          <w:color w:val="auto"/>
        </w:rPr>
        <w:t>We continue to scale up our data ecosystem to provide a comprehensive inventory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proprietary and third-party data. This includes granular data for key industry verticals, real-time market data, fund data and sustainable finance. In addition to using our growing data catalog to drive our AI-powered workstation products, we aim to continue to expand our data delivery capabilities in the cloud and through other methods to advance our position as an enterprise data provider for our clients.</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Embedding deeper in client workflows</w:t>
      </w:r>
      <w:r>
        <w:rPr>
          <w:rFonts w:ascii="Times New Roman" w:cs="Times New Roman" w:eastAsia="Times New Roman" w:hAnsi="Times New Roman"/>
          <w:sz w:val="18"/>
          <w:szCs w:val="18"/>
          <w:color w:val="auto"/>
        </w:rPr>
        <w:t>: Through continued innovation, we aim to deepen our integration into our clients' workflows.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expanding further into the buy-side front office by leveraging our expertise in portfolio performance, analytics, and risk management. In addition, we are building on our strong presence on advisor desktops by expanding into prospecting and digital reporting workflows. We are also working to introduce next-generation automation in research, financial modeling, and pitch creation.</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Innovating with AI</w:t>
      </w:r>
      <w:r>
        <w:rPr>
          <w:rFonts w:ascii="Times New Roman" w:cs="Times New Roman" w:eastAsia="Times New Roman" w:hAnsi="Times New Roman"/>
          <w:sz w:val="18"/>
          <w:szCs w:val="18"/>
          <w:color w:val="auto"/>
        </w:rPr>
        <w:t>: We believe sustainable success in enterprise AI depends on trusted, high-quality data, secure integration with models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workflows, and deep domain expertise. We continue to advance a pragmatic, open, and flexible strategy for integrating AI and natural language processing into our clients’ workflows, aiming to boost productivity by surfacing actionable insights throughout the portfolio lifecycle and automating routine research and content processing tasks. FactSet is delivering AI embedded workflow solutions for various personas including research analysts, bankers, portfolio managers, wealth advisors and engineering teams across our clients.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 Second Quarter in Review</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in the second quarter of fiscal 2026 were $611.0 million, an increase of 7.1% from the comparable prior year period. The growth in revenues was driven by a 6.8% increase in organic revenues and a net increase of 0.3% from foreign currency exchange rate fluctuations. Revenues increased in all our segments, primarily in the Americas. The increase in revenues was primarily from workstations, data solutions, and portfolio management and trading solutions.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 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of this Quarterly Report on Form 10-Q for the definition of organic revenues and a reconciliation between revenues and organic revenues.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February 28, 2026, organic annual subscription value ("Organic ASV") totaled $2,449.1 million, an increase of 6.7% over the prior year. Organic ASV increased in all our segments, with the majority of the increase in the Americas. The Organic ASV increase was mainly driven by data solutions and workstations.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 Annual Subscription Value,</w:t>
      </w:r>
      <w:r>
        <w:rPr>
          <w:rFonts w:ascii="Times New Roman" w:cs="Times New Roman" w:eastAsia="Times New Roman" w:hAnsi="Times New Roman"/>
          <w:sz w:val="18"/>
          <w:szCs w:val="18"/>
          <w:color w:val="auto"/>
        </w:rPr>
        <w:t xml:space="preserve"> of this Quarterly Report on Form 10-Q for the definition of Organic ASV.</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was 30.3% for the second quarter of fiscal 2026, compared to 32.5% in the prior year period. When expenses are expressed as a percentage of revenues, this decrease was primarily driven by higher employee compensation costs, partially offset by growth in revenues and a decrease in professional fees.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second quarter of fiscal 2026 was $133.1 million, a decrease of 8.1% from the prior year period. Diluted earnings per common share ("Diluted EPS") was $3.59 for the second quarter of fiscal 2026, a decrease of 4.5% compared with the prior year period. These decreases were driven by higher operating expenses and an impairment charge within Other assets, partially offset by growth in revenues. The decrease in Diluted EPS was also partially offset by lower diluted weighted average common shares outstanding.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returned $204.0 million to our stockholders in the form of share repurchases and dividends during the three months ended February 28, 2026.</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2026, our client and user count was 9,101 and 241,352, respectively. Our employee headcount was 12,840 as of February 28, 2026, up 1.9% compared to the prior year. This increase was driven by net headcount growth of 2.3% in Asia Pacific, 1.1% in the Americas and 1.0% in EMEA.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flows, and thus serves as a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w:t>
      </w:r>
    </w:p>
    <w:p>
      <w:pPr>
        <w:ind w:left="660" w:hanging="324"/>
        <w:spacing w:after="0" w:line="26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w:t>
      </w:r>
    </w:p>
    <w:p>
      <w:pPr>
        <w:spacing w:after="0" w:line="21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as of February 28, 2026. With proper notice provided as contractually required, our clients can add to, delete portions of, or terminate service, subject to certain limitations.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As of February 28, 2026</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ASV</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2,450.2</w:t>
            </w:r>
          </w:p>
        </w:tc>
      </w:tr>
      <w:tr>
        <w:trPr>
          <w:trHeight w:val="230"/>
        </w:trPr>
        <w:tc>
          <w:tcPr>
            <w:tcW w:w="8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Impact from foreign currency movements</w:t>
            </w:r>
          </w:p>
        </w:tc>
        <w:tc>
          <w:tcPr>
            <w:tcW w:w="2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ASV</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2,449.1</w:t>
            </w:r>
          </w:p>
        </w:tc>
      </w:tr>
      <w:tr>
        <w:trPr>
          <w:trHeight w:val="308"/>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annual growth rate</w:t>
            </w:r>
            <w:r>
              <w:rPr>
                <w:rFonts w:ascii="Times New Roman" w:cs="Times New Roman" w:eastAsia="Times New Roman" w:hAnsi="Times New Roman"/>
                <w:sz w:val="23"/>
                <w:szCs w:val="23"/>
                <w:i w:val="1"/>
                <w:iCs w:val="1"/>
                <w:color w:val="auto"/>
                <w:vertAlign w:val="superscript"/>
              </w:rPr>
              <w:t>(1)</w:t>
            </w:r>
          </w:p>
        </w:tc>
        <w:tc>
          <w:tcPr>
            <w:tcW w:w="2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6.7 %</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For comparability purposes, in calculating the organic ASV annual growth rate, the prior year excludes ASV from dispositions completed in the last 12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Organic ASV increased in all our segments, with the majority of the increase in the Americas. The increase in Organic ASV was primarily driven by data solutions and workstations. This increase is derived from higher net sales to existing clients and, to a lesser extent, sales to new clients.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2026, ASV from the Americas represented 66% of total ASV and was $1,605.9 million, an increase from $1,501.1 million as of February 28, 2025. Americas Organic ASV was $1,605.8 million as of February 28, 2026, a 7.0% increase from the prior year. The Organic ASV increase in the Americas was primarily driven by workstations and data solutions.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2026, ASV from EMEA represented 24% of total ASV and was $595.2 million, an increase from $571.3 million as of February 28, 2025. EMEA Organic ASV was $594.2 million as of February 28, 2026, a 4.3% increase from the prior year. The EMEA Organic ASV increase was mainly from data solutions and workstations.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2026, ASV from Asia Pacific represented 10% of total ASV and was $249.1 million, an increase from $233.7 million as of February 28, 2025. Asia Pacific Organic ASV was $249.1 million as of February 28, 2026, a 10.0% increase from the prior year. The Asia Pacific Organic ASV increase was primarily driven by data solutions, workstations and middle office solutions.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2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2"/>
        </w:trPr>
        <w:tc>
          <w:tcPr>
            <w:tcW w:w="6740" w:type="dxa"/>
            <w:vAlign w:val="bottom"/>
          </w:tcPr>
          <w:p>
            <w:pPr>
              <w:spacing w:after="0"/>
              <w:rPr>
                <w:sz w:val="21"/>
                <w:szCs w:val="21"/>
                <w:color w:val="auto"/>
              </w:rPr>
            </w:pPr>
          </w:p>
        </w:tc>
        <w:tc>
          <w:tcPr>
            <w:tcW w:w="24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As of February 28,</w:t>
            </w: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4"/>
        </w:trPr>
        <w:tc>
          <w:tcPr>
            <w:tcW w:w="6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2026</w:t>
            </w:r>
          </w:p>
        </w:tc>
        <w:tc>
          <w:tcPr>
            <w:tcW w:w="2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240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9,101</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8,645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24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241,352</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219,141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client count includes clients with ASV of $10,000 and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 count increased mainly due to corporate and wealth management clients and user count increased primarily due to wealth management users.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of ASV as of February 28, 2026 and February 28, 2025. When expressed as a percentage of clients, annual retention was 91% as of February 28, 2026 and February 28,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2026, our net employee headcount increased by 1.9% to 12,840, compared with 12,598 employees as of February 28, 2025. This net headcount growth was primarily driven by our continued investment in our centers of excellence ("COEs"), through an increase in employees based in India.</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2026, compared to February 28, 2025, our net headcount growth was 2.3% in Asia Pacific, 1.1% in the Americas,and 1.0% in EMEA. As of February 28, 2026, we had 8,883 employees located in Asia Pacific, 2,501 in the Americas and 1,456 in EMEA. Approximately 68% of our employees are located in our COEs.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and six months ended February 28, 2026 and February 28, 2025, the following discussion should be read in conjunction with the Consolidated Financial Statements and related Notes presented in Part I, Item 1. in this Quarterly Report on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1080" w:type="dxa"/>
            <w:vAlign w:val="bottom"/>
          </w:tcPr>
          <w:p>
            <w:pPr>
              <w:spacing w:after="0"/>
              <w:rPr>
                <w:sz w:val="20"/>
                <w:szCs w:val="20"/>
                <w:color w:val="auto"/>
              </w:rPr>
            </w:pPr>
          </w:p>
        </w:tc>
      </w:tr>
      <w:tr>
        <w:trPr>
          <w:trHeight w:val="270"/>
        </w:trPr>
        <w:tc>
          <w:tcPr>
            <w:tcW w:w="4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February 28,</w:t>
            </w:r>
          </w:p>
        </w:tc>
        <w:tc>
          <w:tcPr>
            <w:tcW w:w="1080" w:type="dxa"/>
            <w:vAlign w:val="bottom"/>
          </w:tcPr>
          <w:p>
            <w:pPr>
              <w:spacing w:after="0"/>
              <w:rPr>
                <w:sz w:val="23"/>
                <w:szCs w:val="23"/>
                <w:color w:val="auto"/>
              </w:rPr>
            </w:pPr>
          </w:p>
        </w:tc>
      </w:tr>
      <w:tr>
        <w:trPr>
          <w:trHeight w:val="37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611,019</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570,660</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1,218,640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1,139,327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296,742</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269,604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584,658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528,383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129,316</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256,950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185,492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377,032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376,827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0"/>
        </w:trPr>
        <w:tc>
          <w:tcPr>
            <w:tcW w:w="4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133,056</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285,636</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10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1080" w:type="dxa"/>
            <w:vAlign w:val="bottom"/>
            <w:shd w:val="clear" w:color="auto" w:fill="CCEEFF"/>
          </w:tcPr>
          <w:p>
            <w:pPr>
              <w:spacing w:after="0"/>
              <w:rPr>
                <w:sz w:val="19"/>
                <w:szCs w:val="19"/>
                <w:color w:val="auto"/>
              </w:rPr>
            </w:pPr>
          </w:p>
        </w:tc>
      </w:tr>
      <w:tr>
        <w:trPr>
          <w:trHeight w:val="228"/>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2026 compared with three months ended February 28,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7.1% was driven by a 6.8% increase in organic revenues, which totaled $606.2 million for the three months ended February 28, 2026, and a net increase of 0.3% from foreign currency exchange rate fluctuations. Revenues increased in all our geographic segments, primarily in the Americas. The increase in revenues was primarily driven by workstations, data solutions, and portfolio management and trading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2026 compared with six months ended February 28, 2025</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in revenues of 7.0% was driven by a 6.4% increase in organic revenues, which totaled $1,206.2 million for the six months ended February 28, 2026, a 0.3% increase from acquisition revenues, net of a decrease in revenues from the disposition of a business at the end of the prior fiscal year, and a 0.3% net increase from foreign currency exchange rate fluctuations. Revenues increased in all our segments, primarily in the Americas. The increase in revenues was mainly from workstations, data solutions, and portfolio management and trading solutions.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399,683</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369,661</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795,859</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736,903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65.4 %</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64.8 %</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65.3 %</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64.7 %</w:t>
            </w:r>
          </w:p>
        </w:tc>
        <w:tc>
          <w:tcPr>
            <w:tcW w:w="114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149,120</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143,387</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298,637</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287,112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24.4 %</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25.1 %</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24.5 %</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25.2 %</w:t>
            </w:r>
          </w:p>
        </w:tc>
        <w:tc>
          <w:tcPr>
            <w:tcW w:w="114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62,216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57,612</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124,144</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115,312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3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140" w:type="dxa"/>
            <w:vAlign w:val="bottom"/>
            <w:tcBorders>
              <w:bottom w:val="single" w:sz="8" w:color="CCEEFF"/>
            </w:tcBorders>
          </w:tcPr>
          <w:p>
            <w:pPr>
              <w:spacing w:after="0"/>
              <w:rPr>
                <w:sz w:val="19"/>
                <w:szCs w:val="19"/>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611,019</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570,660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1,218,640</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1,139,327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bl>
    <w:p>
      <w:pPr>
        <w:spacing w:after="0" w:line="250" w:lineRule="exact"/>
        <w:rPr>
          <w:sz w:val="20"/>
          <w:szCs w:val="20"/>
          <w:color w:val="auto"/>
        </w:rPr>
      </w:pPr>
    </w:p>
    <w:p>
      <w:pPr>
        <w:ind w:right="4420"/>
        <w:spacing w:after="0" w:line="455" w:lineRule="auto"/>
        <w:rPr>
          <w:sz w:val="20"/>
          <w:szCs w:val="20"/>
          <w:color w:val="auto"/>
        </w:rPr>
      </w:pPr>
      <w:r>
        <w:rPr>
          <w:rFonts w:ascii="Times New Roman" w:cs="Times New Roman" w:eastAsia="Times New Roman" w:hAnsi="Times New Roman"/>
          <w:sz w:val="18"/>
          <w:szCs w:val="18"/>
          <w:i w:val="1"/>
          <w:iCs w:val="1"/>
          <w:color w:val="auto"/>
        </w:rPr>
        <w:t>Three months ended February 28, 2026 compared with three months ended February 28, 2025 Americas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8.1% was driven by a 7.4% increase in organic revenues and a 0.7% increase from acquisition revenues, net of a decrease in revenues from the disposition of a business at the end of the prior fiscal year. The increase in revenues was driven by workstations, data solutions, and portfolio management and trading solutions.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4.0% was driven by a 4.0% increase in organic revenues and a 1.0% net increase from foreign currency exchange rate fluctuations, partially offset by a 1.0% decrease in revenues from the disposition of a business at the end of the prior fiscal year, net of acquisition revenues. The increase in revenues was mainly from data solutions and workstations, partially offset by a decrease in revenues due to the disposition.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growth in revenues of 8.0% was driven by a 9.7% increase in organic revenues, partially offset by a 1.6% decrease in revenues from the disposition of a business at the end of the prior fiscal year, net of acquisition revenues, and a 0.1% net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decrease from foreign currency exchange rate fluctuations. The increase in revenues was driven by data solutions, workstations and middle office solutions, partially offset by a decrease in revenues due to the disposition.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2026 compared with six months ended February 28,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8.0% was driven by a 6.9% increase in organic revenues and a 1.1% increase from acquisition revenues, net of a decrease in revenues from the disposition of a business at the end of the prior fiscal year. The increase in revenues was driven by workstations, data solutions, and portfolio management and trading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4.0% was driven by a 4.0% increase in organic revenues and a 0.8% net increase from foreign currency exchange rate fluctuations, partially offset by a 0.8% decrease in revenues from the disposition of a business at the end of the prior fiscal year, net of acquisition revenues. The increase in revenues was mainly from data solutions and workstations, partially offset by a decrease in revenues due to the disposition.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7.7% was driven by a 9.0% increase in organic revenues and a 0.1% net increase from foreign currency exchange rate fluctuations, partially offset by a 1.4% decrease in revenues from the disposition of a business at the end of the prior fiscal year, net of acquisition revenues. The increase in revenues was driven by data solutions and workstations, partially offset by a decrease in revenues due to the disposition.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Expenses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technology-related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intangible assets, royalty fees, telecommunication costs and computer depreciation.</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other employee-related expenses, internal communication costs, bad debt expense, the impact from our foreign currency forward contracts and asset impairments.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restructuring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140" w:type="dxa"/>
            <w:vAlign w:val="bottom"/>
          </w:tcPr>
          <w:p>
            <w:pPr>
              <w:spacing w:after="0"/>
              <w:rPr>
                <w:sz w:val="20"/>
                <w:szCs w:val="20"/>
                <w:color w:val="auto"/>
              </w:rPr>
            </w:pPr>
          </w:p>
        </w:tc>
      </w:tr>
      <w:tr>
        <w:trPr>
          <w:trHeight w:val="270"/>
        </w:trPr>
        <w:tc>
          <w:tcPr>
            <w:tcW w:w="3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February 28,</w:t>
            </w:r>
          </w:p>
        </w:tc>
        <w:tc>
          <w:tcPr>
            <w:tcW w:w="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2025</w:t>
            </w:r>
          </w:p>
        </w:tc>
        <w:tc>
          <w:tcPr>
            <w:tcW w:w="14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2025</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296,742</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269,604</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10.1 % $</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584,658</w:t>
            </w:r>
          </w:p>
        </w:tc>
        <w:tc>
          <w:tcPr>
            <w:tcW w:w="54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528,383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9"/>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129,316</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115,564</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256,950</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234,117</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426,058</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385,168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841,608</w:t>
            </w:r>
          </w:p>
        </w:tc>
        <w:tc>
          <w:tcPr>
            <w:tcW w:w="54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762,500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70"/>
        </w:trPr>
        <w:tc>
          <w:tcPr>
            <w:tcW w:w="3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184,961</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185,492</w:t>
            </w:r>
          </w:p>
        </w:tc>
        <w:tc>
          <w:tcPr>
            <w:tcW w:w="1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(0.3)% $</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377,032</w:t>
            </w:r>
          </w:p>
        </w:tc>
        <w:tc>
          <w:tcPr>
            <w:tcW w:w="54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376,827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6"/>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30.3 %</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32.5 %</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30.9 %</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33.1 %</w:t>
            </w:r>
          </w:p>
        </w:tc>
        <w:tc>
          <w:tcPr>
            <w:tcW w:w="114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2026 compared with three months ended February 28,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Cost of services was primarily due to higher employee compensation costs and, to a lesser extent, an increase in technology-related expenses and amortization of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48.6% for the three months ended February 28, 2026, an increase of 130 basis points compared with the same period a year ago. This increase was primarily due to higher employee compensation costs, technology-related expenses and amortization of intangible assets.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jc w:val="both"/>
        <w:ind w:left="660" w:right="2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50 basis points, primarily due to higher annual base salaries driven by annual merit increases and higher benefit costs related to the labor codes reform implemented by the Government of India effective November 21, 2025 ("India Labor Codes Reform").</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by 40 basis points, primarily driven by higher spend in cloud-based hosting services.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by 40 basis points, mainly due to higher amortization from our capitalized internal-use software development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2026 compared with six months ended February 28, 2025</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Cost of services was primarily due to higher employee compensation costs and, to a lesser extent, an increase in amortization of intangible assets and technology-related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48.0% for the six months ended February 28, 2026, an increase of 160 basis points compared with the same period a year ago. This increase was primarily driven by higher amortization of intangible assets and technology-related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ind w:left="66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by 70 basis points, mainly due to higher amortization from our capitalized internal-use software development costs.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by 60 basis points, primarily driven by higher spend in cloud-based hosting services.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2026 compared with three months ended February 28,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SG&amp;A was primarily attributable to higher employee compensation costs. SG&amp;A, when expressed as a percentage of revenues, was 21.2% for the three months ended February 28, 2026, an increase of 90 basis points compared with the same period a year ago. The increase was primarily driven by higher employee compensation costs, partially offset by a decrease in professional fees and a benefit from the net settlement of our foreign currency forward contracts.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160 basis points, primarily due to higher variable compensation costs, annual base salaries and an increase in stock-based compensation expense. Variable compensation costs increased mainly due to a higher bonus accrual. In addition, variable compensation costs and stock-based compensation expense increased due to the recognition, over their respective service periods, of the one-time cash awards and equity awards, respectively, granted to our Chief Executive Officer ("CEO") pursuant to the terms of his employment agreement. The increase in annual base salaries was primarily driven by annual merit increases.</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decreased by 60 basis points, mainly due to acquisition-related costs recorded in the prior year period.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decreased by 40 basis points due to a benefit from the net settlement of foreign currency forward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2026 compared with six months ended February 28,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increase in SG&amp;A was primarily driven by higher employee compensation costs. SG&amp;A, when expressed as a percentage of revenues, was 21.1% for the six months ended February 28, 2026, an increase of 50 basis points compared with the same period a year ago. This increase was primarily driven by higher employee compensation costs, partially offset by a decrease in professional fees, a benefit from the net settlement of our foreign currency forward contracts and charges related to the Sales Tax Dispute recorded in the prior year period. Refer to Part I, Item 1.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of this Quarterly Report on Form 10-Q for more information on the Sales Tax Dispute.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140 basis points, mainly due to higher variable compensation costs, stock-based compensation expense and annual base salaries. Variable compensation costs and stock-based compensation expense increased mainly due to the recognition, over their respective service periods, of the one-time cash awards and equity awards, respectively, granted to our CEO pursuant to the terms of his employment agreement. In addition, variable compensation costs increased due to a higher bonus accrual. The increase in annual base salaries was primarily driven by annual merit increases.</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decreased by 50 basis points, mainly due to acquisition-related costs recorded in the prior year period.</w:t>
      </w:r>
    </w:p>
    <w:p>
      <w:pPr>
        <w:spacing w:after="0" w:line="6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decreased by 50 basis points due to a benefit from the net settlement of foreign currency forward contracts and charges related to the Sales Tax Dispute recorded in the prior year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28, 2026 compared with three months ended February 28, 2025</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decreased 0.3% to $185.0 million for the three months ended February 28, 2026, compared with $185.5 million in the prior year period. This decrease was primarily driven by higher employee compensation costs and an increase in other expenses included in Cost of services, partially offset by growth in revenues.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30.3% for the three months ended February 28, 2026, compared with 32.5% in the prior year period. When expenses are expressed as a percentage of revenues, this decrease was primarily driven by higher employee compensation costs, partially offset by growth in revenues and a decrease in professional fees.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28, 2026 compared with six months ended February 28, 2025</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increased 0.1% to $377.0 million for the six months ended February 28, 2026, compared with $376.8 million in the prior year period. This increase was primarily driven by growth in revenues, partially offset by higher employee compensation costs, amortization of intangible assets and technology-related expenses.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decreased to 30.9% for the six months ended February 28, 2026, compared with 33.1% in the prior year period. When expenses are expressed as a percentage of revenues, this decrease was primarily due to higher employee compensation costs, amortization of intangible assets and technology-related expenses, partially offset by growth in revenues.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regarding our segments. The following table summarizes our operating income by segment: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1180" w:type="dxa"/>
            <w:vAlign w:val="bottom"/>
          </w:tcPr>
          <w:p>
            <w:pPr>
              <w:spacing w:after="0"/>
              <w:rPr>
                <w:sz w:val="20"/>
                <w:szCs w:val="20"/>
                <w:color w:val="auto"/>
              </w:rPr>
            </w:pPr>
          </w:p>
        </w:tc>
      </w:tr>
      <w:tr>
        <w:trPr>
          <w:trHeight w:val="270"/>
        </w:trPr>
        <w:tc>
          <w:tcPr>
            <w:tcW w:w="3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February 28,</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8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78"/>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2025</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74,201</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73,127</w:t>
            </w:r>
          </w:p>
        </w:tc>
        <w:tc>
          <w:tcPr>
            <w:tcW w:w="14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1.5 %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152,734</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134,396</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89,902</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82,296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184,961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185,492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377,032</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376,827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bl>
    <w:p>
      <w:pPr>
        <w:spacing w:after="0" w:line="245" w:lineRule="exact"/>
        <w:rPr>
          <w:sz w:val="20"/>
          <w:szCs w:val="20"/>
          <w:color w:val="auto"/>
        </w:rPr>
      </w:pPr>
    </w:p>
    <w:p>
      <w:pPr>
        <w:ind w:right="4420"/>
        <w:spacing w:after="0" w:line="462" w:lineRule="auto"/>
        <w:rPr>
          <w:sz w:val="20"/>
          <w:szCs w:val="20"/>
          <w:color w:val="auto"/>
        </w:rPr>
      </w:pPr>
      <w:r>
        <w:rPr>
          <w:rFonts w:ascii="Times New Roman" w:cs="Times New Roman" w:eastAsia="Times New Roman" w:hAnsi="Times New Roman"/>
          <w:sz w:val="18"/>
          <w:szCs w:val="18"/>
          <w:i w:val="1"/>
          <w:iCs w:val="1"/>
          <w:color w:val="auto"/>
        </w:rPr>
        <w:t>Three months ended February 28, 2026 compared with three months ended February 28, 2025 Americas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operating income increased primarily due to growth in revenues of 8.1%, partially offset by higher employee compensation costs and, to a lesser extent, an increase in technology-related expenses and amortization of intangible assets.</w:t>
      </w:r>
    </w:p>
    <w:p>
      <w:pPr>
        <w:spacing w:after="0" w:line="121" w:lineRule="exact"/>
        <w:rPr>
          <w:sz w:val="20"/>
          <w:szCs w:val="20"/>
          <w:color w:val="auto"/>
        </w:rPr>
      </w:pPr>
    </w:p>
    <w:p>
      <w:pPr>
        <w:jc w:val="both"/>
        <w:ind w:left="66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due to higher variable compensation costs, stock-based compensation expense, and an increase in annual base salaries. Variable compensation costs increased mainly due to a higher bonus accrual. In addition, variable compensation costs and stock-based compensation expense increased due to the recognition, over their respective service periods, of the one-time cash awards and equity awards, respectively, granted to our CEO pursuant to the terms of his employment agreement. The increase in annual base salaries was primarily driven by annual merit increases.</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mainly due to higher spend in cloud-based hosting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primarily due to higher amortization from our capitalized internal-use software development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EMEA operating income decreased primarily due to higher employee compensation costs, partially offset by growth in revenues of 4.0%. Employee compensation costs increased mainly due to higher annual base salaries, primarily driven by annual merit increases.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operating income increased mainly due to growth in revenues of 8.0%, partially offset by higher employee compensation costs. Employee compensation costs were higher primarily due to an increase in benefit costs related to the India Labor Codes Reform and higher annual base salaries, driven by annual merit increases.</w:t>
      </w:r>
    </w:p>
    <w:p>
      <w:pPr>
        <w:spacing w:after="0" w:line="147" w:lineRule="exact"/>
        <w:rPr>
          <w:sz w:val="20"/>
          <w:szCs w:val="20"/>
          <w:color w:val="auto"/>
        </w:rPr>
      </w:pPr>
    </w:p>
    <w:p>
      <w:pPr>
        <w:ind w:right="4780"/>
        <w:spacing w:after="0" w:line="455" w:lineRule="auto"/>
        <w:rPr>
          <w:sz w:val="20"/>
          <w:szCs w:val="20"/>
          <w:color w:val="auto"/>
        </w:rPr>
      </w:pPr>
      <w:r>
        <w:rPr>
          <w:rFonts w:ascii="Times New Roman" w:cs="Times New Roman" w:eastAsia="Times New Roman" w:hAnsi="Times New Roman"/>
          <w:sz w:val="18"/>
          <w:szCs w:val="18"/>
          <w:i w:val="1"/>
          <w:iCs w:val="1"/>
          <w:color w:val="auto"/>
        </w:rPr>
        <w:t>Six months ended February 28, 2026 compared with six months ended February 28, 2025 Americas</w:t>
      </w: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operating income decreased primarily due to higher employee compensation costs and, to a lesser extent, an increase in amortization of intangible assets and technology-related expenses, partially offset by growth in revenues of 8.0%.</w:t>
      </w:r>
    </w:p>
    <w:p>
      <w:pPr>
        <w:spacing w:after="0" w:line="135" w:lineRule="exact"/>
        <w:rPr>
          <w:sz w:val="20"/>
          <w:szCs w:val="20"/>
          <w:color w:val="auto"/>
        </w:rPr>
      </w:pPr>
    </w:p>
    <w:p>
      <w:pPr>
        <w:jc w:val="both"/>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due to higher variable compensation costs, stock-based compensation expense and an increase in annual base salaries. Variable compensation costs and stock-based compensation expense increased mainly due to the recognition, over their respective service periods, of the one-time cash awards and equity awards, respectively, granted to our CEO pursuant to the terms of his employment agreement. In addition, variable compensation costs increased due to a higher bonus accrual. The increase in annual base salaries was primarily driven by annual merit increases.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mainly due to higher amortization from our capitalized internal-use software development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mainly due to higher spend in cloud-based hosting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EMEA operating income decreased primarily due to higher employee compensation costs, partially offset by growth in revenues of 4.0%. Employee compensation costs increased primarily due to an increase in annual base salaries driven by annual merit increases.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operating income increased mainly due to growth in revenues of 7.7%, partially offset by higher employee compensation costs. Employee compensation costs increased primarily due to higher annual base salaries, driven by annual merit increases, and higher benefit costs related to the India Labor Codes Reform.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1420" w:type="dxa"/>
            <w:vAlign w:val="bottom"/>
          </w:tcPr>
          <w:p>
            <w:pPr>
              <w:spacing w:after="0"/>
              <w:rPr>
                <w:sz w:val="19"/>
                <w:szCs w:val="19"/>
                <w:color w:val="auto"/>
              </w:rPr>
            </w:pPr>
          </w:p>
        </w:tc>
        <w:tc>
          <w:tcPr>
            <w:tcW w:w="26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Six Months Ended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74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161,111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172,320</w:t>
            </w:r>
          </w:p>
        </w:tc>
        <w:tc>
          <w:tcPr>
            <w:tcW w:w="1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 $</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351,224</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352,059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28,055</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27,460</w:t>
            </w: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2.2 % $</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65,588</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57,177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15.9 %</w:t>
            </w:r>
          </w:p>
        </w:tc>
        <w:tc>
          <w:tcPr>
            <w:tcW w:w="1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16.2 %</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United States ("U.S.") and various state, local and foreign jurisdictions in which we conduct our business. Our effective tax rate will vary based on, among other factors, changes in levels of foreign income, as well as other non-recurring events.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pretax income (or loss) attributable to, and subject to tax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February 28, 2026 and February 28, 2025 was 17.4% and 15.9%, respectively. The increase was primarily due to the limitation on the deductibility of executive compensation and lower excess tax benefits from stock-based compensation, partially offset by a favorable resolution of uncertain tax positions in the U.S.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the six months ended February 28, 2026 and February 28, 2025 was 18.7% and 16.2%, respectively. The increase was primarily due to a stock-based compensation tax shortfall for the six months ended February 28, 2026, compared to an excess tax benefit for the prior year period.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applicable U.S. corporate income tax rate ("U.S. tax rate") primarily due to the U.S. tax impact of foreign earnings, research and development ("R&amp;D") tax credits, and a foreign derived intangible income ("FDII") tax deduction, partially offset by the impact of state income taxes. In addition, our effective tax rate was lower than the U.S. tax rate for the three months ended February 28, 2026 due to a favorable resolution of uncertain tax positions in the U.S., and for the three and six months ended February 28, 2025 due to excess tax benefits from stock-based compensation.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24"/>
                <w:szCs w:val="24"/>
                <w:color w:val="auto"/>
              </w:rPr>
            </w:pPr>
          </w:p>
        </w:tc>
        <w:tc>
          <w:tcPr>
            <w:tcW w:w="22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840" w:type="dxa"/>
            <w:vAlign w:val="bottom"/>
          </w:tcPr>
          <w:p>
            <w:pPr>
              <w:spacing w:after="0"/>
              <w:rPr>
                <w:sz w:val="19"/>
                <w:szCs w:val="19"/>
                <w:color w:val="auto"/>
              </w:rPr>
            </w:pPr>
          </w:p>
        </w:tc>
        <w:tc>
          <w:tcPr>
            <w:tcW w:w="22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February 28,</w:t>
            </w:r>
          </w:p>
        </w:tc>
        <w:tc>
          <w:tcPr>
            <w:tcW w:w="1280" w:type="dxa"/>
            <w:vAlign w:val="bottom"/>
          </w:tcPr>
          <w:p>
            <w:pPr>
              <w:spacing w:after="0"/>
              <w:rPr>
                <w:sz w:val="19"/>
                <w:szCs w:val="19"/>
                <w:color w:val="auto"/>
              </w:rPr>
            </w:pPr>
          </w:p>
        </w:tc>
        <w:tc>
          <w:tcPr>
            <w:tcW w:w="22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February 28,</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40" w:type="dxa"/>
            <w:vAlign w:val="bottom"/>
            <w:tcBorders>
              <w:bottom w:val="single" w:sz="8" w:color="auto"/>
            </w:tcBorders>
            <w:gridSpan w:val="2"/>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144,860</w:t>
            </w:r>
          </w:p>
        </w:tc>
        <w:tc>
          <w:tcPr>
            <w:tcW w:w="1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294,882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8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3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38,510</w:t>
            </w:r>
          </w:p>
        </w:tc>
        <w:tc>
          <w:tcPr>
            <w:tcW w:w="1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1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income and Diluted EPS for the three months ended February 28, 2026, compared to the prior year period, was mainly driven by higher operating expenses and an impairment charge within Other assets, partially offset by growth in revenues. The decrease in Diluted EPS was also partially offset by lower diluted weighted average common shares outstanding.</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income and Diluted EPS for the six months ended February 28, 2026, compared to the respective prior year period, was primarily driven by higher operating expenses and an increase in the provision for income taxes, partially offset by growth in revenues. The decrease in Diluted EPS was also partially offset by lower diluted weighted average common shares outstanding.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adjusted Diluted EPS and free cash flow. Reconciliations from our financial measures calculated and presented in accordance with GAAP to these non-GAAP financial measures are shown in the tables below, and the reconciliation of free cash flow is included in the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section. These non-GAAP financial measures should not be considered in isolation from, as a substitute for, or superior to, financial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revenues excludes the current year impact of revenues from acquisitions and dispositions completed within the past 12 months ("Acquisition revenues" and "Disposition revenues", respectively) and the current year impact from changes in foreign currency. In addition, for year to date comparisons, organic revenues excludes current year revenues that were earned prior to the first anniversary date of the acquisition. The table below provides an unaudited reconciliation of revenues to organic revenues: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122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February 28,</w:t>
            </w: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February 28,</w:t>
            </w:r>
          </w:p>
        </w:tc>
        <w:tc>
          <w:tcPr>
            <w:tcW w:w="122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611,019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570,660</w:t>
            </w:r>
          </w:p>
        </w:tc>
        <w:tc>
          <w:tcPr>
            <w:tcW w:w="1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1,218,640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1,139,327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revenues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 revenues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220" w:type="dxa"/>
            <w:vAlign w:val="bottom"/>
            <w:shd w:val="clear" w:color="auto" w:fill="CCEEFF"/>
          </w:tcPr>
          <w:p>
            <w:pPr>
              <w:spacing w:after="0"/>
              <w:rPr>
                <w:sz w:val="19"/>
                <w:szCs w:val="19"/>
                <w:color w:val="auto"/>
              </w:rPr>
            </w:pPr>
          </w:p>
        </w:tc>
      </w:tr>
      <w:tr>
        <w:trPr>
          <w:trHeight w:val="230"/>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Currency impact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spacing w:after="0"/>
              <w:rPr>
                <w:sz w:val="19"/>
                <w:szCs w:val="19"/>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606,176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567,543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1,206,205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1,133,560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850"/>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acquisition-related intangible asset amortization and non-recurring items. EBITDA represents earnings before interest expense, provision for income taxes and depreciation and amortization, while adjusted EBITDA further excludes non-recurring non-cash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Pr>
          <w:p>
            <w:pPr>
              <w:spacing w:after="0"/>
              <w:rPr>
                <w:sz w:val="19"/>
                <w:szCs w:val="19"/>
                <w:color w:val="auto"/>
              </w:rPr>
            </w:pPr>
          </w:p>
        </w:tc>
        <w:tc>
          <w:tcPr>
            <w:tcW w:w="21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February 28,</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February 28,</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184,961</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185,492</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377,032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376,827</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19,179</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18,137</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38,349</w:t>
            </w: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34,718</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compensation costs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10,634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 Labor Codes Reform</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2,883</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2,883</w:t>
            </w: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disposition, acquisitions and related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9,040</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12,793</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2,398</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214,068</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212,669</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434,163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426,419</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0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133,056</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285,636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25,815</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Impairment within Other assets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compensation costs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 Labor Codes Reform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disposition, acquisitions and related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investments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from business disposition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165,271</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164,976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334,842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333,107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133,056</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144,860</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285,636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294,882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57,177</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38,410</w:t>
            </w: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87,838</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74,127</w:t>
            </w: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217,863</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224,646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465,509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454,502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Non-recurring non-cash expenses</w:t>
            </w:r>
            <w:r>
              <w:rPr>
                <w:rFonts w:ascii="Times New Roman" w:cs="Times New Roman" w:eastAsia="Times New Roman" w:hAnsi="Times New Roman"/>
                <w:sz w:val="23"/>
                <w:szCs w:val="23"/>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233,194</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224,646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482,030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454,502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Impairment within Other assets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compensation costs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 Labor Codes Reform</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disposition, acquisitions and related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investments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4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40" w:type="dxa"/>
            <w:vAlign w:val="bottom"/>
            <w:shd w:val="clear" w:color="auto" w:fill="CCEEFF"/>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from business disposition</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40" w:type="dxa"/>
            <w:vAlign w:val="bottom"/>
            <w:shd w:val="clear" w:color="auto" w:fill="CCEEFF"/>
          </w:tcPr>
          <w:p>
            <w:pPr>
              <w:spacing w:after="0"/>
              <w:rPr>
                <w:sz w:val="19"/>
                <w:szCs w:val="19"/>
                <w:color w:val="auto"/>
              </w:rPr>
            </w:pPr>
          </w:p>
        </w:tc>
      </w:tr>
      <w:tr>
        <w:trPr>
          <w:trHeight w:val="223"/>
        </w:trPr>
        <w:tc>
          <w:tcPr>
            <w:tcW w:w="432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3"/>
        </w:trPr>
        <w:tc>
          <w:tcPr>
            <w:tcW w:w="43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37,063</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38,510</w:t>
            </w:r>
          </w:p>
        </w:tc>
        <w:tc>
          <w:tcPr>
            <w:tcW w:w="10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37,339</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1040" w:type="dxa"/>
            <w:vAlign w:val="bottom"/>
            <w:tcBorders>
              <w:bottom w:val="single" w:sz="8" w:color="auto"/>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32" w:lineRule="exact"/>
        <w:rPr>
          <w:sz w:val="20"/>
          <w:szCs w:val="20"/>
          <w:color w:val="auto"/>
        </w:rPr>
      </w:pPr>
    </w:p>
    <w:p>
      <w:pPr>
        <w:ind w:left="260" w:right="20" w:hanging="252"/>
        <w:spacing w:after="0" w:line="280" w:lineRule="auto"/>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the recognition of one-time make-whole cash and equity awards issued to our CEO, with the majority of the awards recognized over their respective service periods.</w:t>
      </w:r>
    </w:p>
    <w:p>
      <w:pPr>
        <w:spacing w:after="0" w:line="16" w:lineRule="exact"/>
        <w:rPr>
          <w:rFonts w:ascii="Times New Roman" w:cs="Times New Roman" w:eastAsia="Times New Roman" w:hAnsi="Times New Roman"/>
          <w:sz w:val="16"/>
          <w:szCs w:val="16"/>
          <w:color w:val="auto"/>
        </w:rPr>
      </w:pPr>
    </w:p>
    <w:p>
      <w:pPr>
        <w:ind w:left="260" w:hanging="252"/>
        <w:spacing w:after="0" w:line="280" w:lineRule="auto"/>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a resolved matter with the Massachusetts Department of Revenue. Refer to Note 11, Commitments and Contingencies in the Notes to the Consolidated Financial Statements included in Part I, Item 1. of this Quarterly Report on Form 10-Q, for further discussion on this matter.</w:t>
      </w:r>
    </w:p>
    <w:p>
      <w:pPr>
        <w:spacing w:after="0" w:line="1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as Adjusted operating income divided by Revenues.</w:t>
      </w:r>
    </w:p>
    <w:p>
      <w:pPr>
        <w:spacing w:after="0" w:line="59"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the impairment of an equity investment.</w:t>
      </w:r>
    </w:p>
    <w:p>
      <w:pPr>
        <w:spacing w:after="0" w:line="59"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Adjusted net income and Adjusted diluted EPS, all adjustments for the three months ended February 28, 2026 and February 28, 2025 were taxed at an adjusted tax rate of 21.2% and 26.0%, respectively. The six months ended February 28, 2026 and February 28, 2025, were taxed at an adjusted tax rate of 20.7% and 25.6%, respectively.</w:t>
      </w:r>
    </w:p>
    <w:p>
      <w:pPr>
        <w:spacing w:after="0" w:line="2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related to the impairment of an equity investment.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February 28, 2026, Cash and cash equivalents were $268.3 million and restricted cash was $9.1 million, compared with Cash and cash equivalents of $337.7 million and restricted cash of $14.0 million as of August 31, 2025. Refer to </w:t>
      </w:r>
      <w:r>
        <w:rPr>
          <w:rFonts w:ascii="Times New Roman" w:cs="Times New Roman" w:eastAsia="Times New Roman" w:hAnsi="Times New Roman"/>
          <w:sz w:val="18"/>
          <w:szCs w:val="18"/>
          <w:i w:val="1"/>
          <w:iCs w:val="1"/>
          <w:color w:val="auto"/>
        </w:rPr>
        <w:t>Summary of Cash Flows,</w:t>
      </w:r>
      <w:r>
        <w:rPr>
          <w:rFonts w:ascii="Times New Roman" w:cs="Times New Roman" w:eastAsia="Times New Roman" w:hAnsi="Times New Roman"/>
          <w:sz w:val="18"/>
          <w:szCs w:val="18"/>
          <w:color w:val="auto"/>
        </w:rPr>
        <w:t xml:space="preserve"> within this section below, for more information on cash flows during the six months ended February 28, 2026 and February 28, 2025</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as of February 28, 2026 are held in numerous locations throughout the world, with $115.7 million in EMEA (with the largest balance held in the UK), $90.0 million in the Americas (with the largest balance held in the U.S.) and the remaining $62.6 million in Asia Pacific (with the largest balances held in the Philippines and India).</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Swap Agreements</w:t>
      </w:r>
    </w:p>
    <w:p>
      <w:pPr>
        <w:spacing w:after="0" w:line="18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discussion below,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outstanding borrowings and swap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Credit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Revolving Facility provides for up to $100.0 million in the form of letters of credit, and up to $100.0 million in the form of swingline loans. We may seek additional commitments of up to $1.0 billion under the 2025 Revolving Facility from lenders or other financial institutions. The 2025 Term Facility matures on April 8, 2028, and the 2025 Revolving Facility matures on April 8, 2030.</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Term Facility is subject to scheduled quarterly principal payments, commencing on August 31, 2025, with each quarterly principal payment equal to 1.25% of the original principal amount of the 2025 Term Facility. The 2025 Credit Facilities are not otherwise subject to any other mandatory repayments. We may voluntarily prepay loans under the 2025 Credit Facilities at any time without premium or penalty. Prepayments of the 2025 Term Facility shall be applied to reduce the subsequent scheduled quarterly principal payments in direct order of maturity. We have satisfied all scheduled quarterly principal payments through maturity.</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28, 2026, our outstanding debt under the 2025 Term Facility was $375.0 million and there were no borrowings under the 2025 Revolving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borrowing date through February 28, 2026, the outstanding borrowings under the 2025 Credit Facilities bore interest at a rate equal to the applicable one-month Term Secured Overnight Financing Rate ("SOFR") plus a 0.975% spread (comprised of a 0.875% interest rate margin, based on a pricing grid determined by reference to our senior unsecured non-credit enhanced long-term debt rating and our total leverage ratio, plus a 0.1% credit spread adjustment).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2025 Revolving Facility using a pricing grid based on our senior unsecured non-credit enhanced long-term debt rating and our total leverage ratio. The commitment fee remained consistent at 0.1% through February 28, 2026.</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February 28,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 The 2022 Credit Agreement was terminated on April 8, 2025, concurrent with entering into the 2025 Credit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leverage interest rate swap agreements to manage our floating interest rate exposure with a fixed interest rate. Our interest rate swap agreements are designated as cash flow hedges at inception.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2025, we entered into an interest rate swap agreement ("2025 Swap Agreement") with a notional amount of $200.0 million to hedge a portion of our outstanding floating SOFR debt with a fixed interest rate of 4.086%. The notional amount of the 2025 Swap Agreement declined by $50.0 million on a quarterly basis beginning May 31, 2025. The 2025 Swap Agreement matured on February 28,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Stockholders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returned $385.3 million and $192.0 million to our stockholders in the form of share repurchases and dividends during the six months ended February 28, 2026 and February 28, 2025, respectively. Over the last 12 months, we returned $653.8 million to our stockholders in the form of share repurchases and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During the six months ended February 28, 2026 and February 28, 2025, we repurchased 1,129,850 shares for $302.9 million and 241,189 shares for $113.1 million, respectively.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defined number of shares to be repurchased over a specified timeframe through the life of our share repurchase program. On June 17, 2025, our Board of Directors authorized up to $400 million for share repurchases on or after September 1, 2025. On December 16, 2025, our Board of Directors approved an additional $600 million in share repurchase authority, which is available immediately with no expiration date. The additional authorization also removed the expiration date from the June 17, 2025 authorization. As of February 28, 2026, $697.1 million remained available under our share repurchase program.</w:t>
      </w:r>
    </w:p>
    <w:p>
      <w:pPr>
        <w:spacing w:after="0" w:line="14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February 28, 2026 and February 28, 2025, we paid dividends of $82.4 million and $78.8 million, respectively. Future cash dividend payments are subject to final determination by our Board of Directors and will depend on our earnings, capital requirements, financial condition and other relevant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2026, capital expenditures increased by 14.6% to $56.8 million, compared with $49.6 million for the same period a year ago. This increase was primarily due to higher capitalized costs related to the development of our internal-use software and an increase in leasehold improvements related to the build-out of our London office, partially offset by a decrease in purchases of network-related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acquisitions with the most significant cash flows during fiscal 2025 through the second quarter of fiscal 2026 included Liquid Holdings, LLC ("LiquidityBook") and Platform Group Limited ("Irwin"). Refer to Note 5,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on these acquisitions.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LiquidityBook</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February 7, 2025, we completed the acquisition of LiquidityBook for a purchase price of $243.2 million, net of cash acquired, and inclusive of working capital adjustments. The purchase price included contingent consideration of $11.9 million, which reflects the acquisition date fair value of potential future payments that are contingent upon the achievement of certain specified milestones. We finalized the purchase accounting for the LiquidityBook acquisition during the second quarter of fiscal 2026.</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Irwin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we completed the acquisition of Irwin for a purchase price of $120.2 million, net of cash acquired, and inclusive of working capital adjustments. The purchase price included contingent consideration of $9.6 million, which reflects the acquisition date fair value of potential future payments that are contingent upon the achievement of certain specified milestones. We finalized the purchase accounting for the Irwin acquisition during the third quarter of fiscal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successful partnership between FactSet and Irwin, and expands our ability to address the holistic workflow needs of investor relations professionals with an integrated, modern solution.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2025, we had total purchase obligations with suppliers and vendors of approximately $352 million. Our total purchase obligations as of August 31, 2025 primarily related to hosting services, acquisition of data and, to a lesser extent, third-party software providers. During the second quarter of fiscal 2026, we entered into a multi-year contract renewal with a supplier, resulting in total purchase commitments of approximately $62.5 million.</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information regarding our lease commitments and outstanding debt obligations,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February 28,</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332,972</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72,645</w:t>
            </w: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(21,898)</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316,226</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(386,656)</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(341,114)</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(74,283)</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57,104</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February 28, 2026, net cash provided by operating activities was $333.0 million, which included net income of $285.6 million, non-cash charges of $154.2 million and a net cash outflow of $106.8 million to support our working capital requirements. The non-cash charges were primarily driven by depreciation and amortization. The change in our working capital was primarily driven by timing of client collections and our annual variable compensation payment.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February 28, 2025, net cash provided by operating activities was $260.3 million, which included net income of $294.9 million, non-cash charges of $131.4 million and a net cash outflow of $166.0 million to support our working capital requirements. The non-cash charges were primarily driven by depreciation and amortization. The change in our working capital was primarily driven by cash outflows related to payments to resolve the Sales Tax Dispute, timing of income tax and vendor payments, and timing of client collections.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2026, net cash used in investing activities was $21.9 million. The cash used in investing activities primarily consisted of $56.8 million of capital expenditures mainly due to the capitalization of internal-use software development costs, partially offset by $36.1 million in proceeds from the sale of certain equity investments.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February 28, 2025, net cash used in investing activities was $338.1 million. The cash used in investing activities primarily consisted of $342.5 million of acquisition-related consideration related to the Irwin and LiquidityBook transactions and $49.6 million of capital expenditures driven by the capitalization of internal-use software development costs, partially offset by $58.2 million in proceeds from our investments in mutual funds.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28, 2026, net cash used in financing activities was $386.7 million, consisting mainly of $302.9 million of share repurchases and $82.4 million of dividend payments.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2025, net cash used in financing activities was $45.5 million, consisting mainly of $200.0 million related to the repayment of the 2022 Credit Facilities, $113.1 million of share repurchases and $78.8 million of dividend payments, partially offset by $305.0 million of proceeds related to additional borrowings under the 2022 Revolving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consolidated net income and net cash provided by operating activities, but should not be used as a substitute for these key measures of our performance and liquidity.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Six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6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February 28,</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332,972</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260,327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72,645</w:t>
            </w:r>
          </w:p>
        </w:tc>
        <w:tc>
          <w:tcPr>
            <w:tcW w:w="0" w:type="dxa"/>
            <w:vAlign w:val="bottom"/>
          </w:tcPr>
          <w:p>
            <w:pPr>
              <w:spacing w:after="0"/>
              <w:rPr>
                <w:sz w:val="1"/>
                <w:szCs w:val="1"/>
                <w:color w:val="auto"/>
              </w:rPr>
            </w:pPr>
          </w:p>
        </w:tc>
      </w:tr>
      <w:tr>
        <w:trPr>
          <w:trHeight w:val="175"/>
        </w:trPr>
        <w:tc>
          <w:tcPr>
            <w:tcW w:w="6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internal-use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(56,844)</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(49,610)</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(7,234)</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276,128</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210,717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65,411</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February 28, 2026 and August 31, 2025, we had no off-balance sheet financing other than letters of credit incurred in the ordinary course of business.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available and outstanding letters of credit.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2026 and August 31, 2025,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six months ended February 28, 2026 and February 28, 2025, we maintained a series of foreign currency forward contracts to hedge a portion of our projected operating expenses in our primary currency exposures, namely the British Pound Sterling, Euro, Indian Rupee and Philippine Peso. As of February 28, 2026, the hedge maturity periods of our outstanding foreign currency forward contracts range from the third quarter of fiscal 2026 through the second quarter of fiscal 2027.</w:t>
      </w:r>
    </w:p>
    <w:p>
      <w:pPr>
        <w:spacing w:after="0" w:line="14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more information on our foreign currency exposures.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3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2025. These accounting policies were consistently applied in preparing our Consolidated Financial Statements for the six months ended February 28, 2026.</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of our Annual Report on Form 10-K for the fiscal year ended August 31, 2025. There were no significant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estimates during the six months ended February 28,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accounting pronouncements recently adopted and those issued but not yet adopted, refer to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the Consolidated Financial Statements included in Part I, Item 1. of this Quarterly Report on Form 10-Q, which we include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Risk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six months ended February 28, 2026, we maintained a series of foreign currency forward contracts to hedge a portion of our projected operating expenses in these primary currency exposures, namely the British Pound Sterling, Euro, Indian Rupee and Philippine Peso. As of February 28, 2026, the hedge maturity periods of our outstanding foreign currency forward contracts range from the third quarter of fiscal 2026 through the second quarter of fiscal 2027. Based on the operating income for the six months ended February 28, 2026, comparing the average foreign currency exchange rates for the six months ended February 28, 2026 to the respective rates for the six months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ended February 28, 2025, net of hedge activity, resulted in a decrease in operating income of $0.7 million. We utilize cash flow hedges to manage risk and not for speculative or trading purposes.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February 28, 2026, relative to the other foreign currencies in which we transact. The sensitivity analysis indicated that a devaluation of the U.S. dollar by 10% would have increased the fair value of our outstanding forward contracts by approximately $19 million as of February 28, 2026 and decreased our operating income, excluding these forward contracts, by an estimated $25 million for six months ended February 28, 2026.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Translation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8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9"/>
                <w:szCs w:val="19"/>
                <w:color w:val="auto"/>
              </w:rPr>
            </w:pPr>
          </w:p>
        </w:tc>
        <w:tc>
          <w:tcPr>
            <w:tcW w:w="2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4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February 28,</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February 28,</w:t>
            </w:r>
          </w:p>
        </w:tc>
        <w:tc>
          <w:tcPr>
            <w:tcW w:w="900" w:type="dxa"/>
            <w:vAlign w:val="bottom"/>
          </w:tcPr>
          <w:p>
            <w:pPr>
              <w:spacing w:after="0"/>
              <w:rPr>
                <w:sz w:val="20"/>
                <w:szCs w:val="20"/>
                <w:color w:val="auto"/>
              </w:rPr>
            </w:pPr>
          </w:p>
        </w:tc>
      </w:tr>
      <w:tr>
        <w:trPr>
          <w:trHeight w:val="27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10,202 $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2,812 $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(29,545)</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February 28, 2026, we had Cash and cash equivalents of $268.3 million and Investments of $16.9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more information on our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credit risk for our cash, cash equivalents and restricted cash held in financial institutions in the event of a default, to the extent that such amounts are in excess of applicable insurance limits; however, we do not believe our concentration of cash, cash equivalents and restricted cash presents a significant credit risk as the counterparties to the instruments consist of multiple high-quality, credit-worthy financial institutions.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Senior Notes have a fixed interest rate and are not subject to interest rate fluctuations. As such, our interest rate exposure as of February 28, 2026 is limited to the outstanding principal balance of our floating rate debt under our 2025 Credit Facilities of $375.0 million, which bore interest at a rate equal to the applicable one-month Term SOFR plus a 0.975% spread (comprised of a 0.875% interest rate margin, based on a pricing grid determined by reference to our senior unsecured non-credit enhanced long-term debt rating and our total leverage ratio, plus a 0.1% credit spread adjustment). Assuming the principal balance of our outstanding floating rate debt remained at $375.0 million, a hypothetical 25 basis point change (up or down) in the one-month SOFR would result in an approximate $1 million change to our annual interest expense.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outstanding borrowings as of February 28, 2026.</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concluded that our disclosure controls and procedures were not effective as of February 28, 2026 due to a material weakness in internal control over financial reporting. This conclusion is due to a material weakness identified in the operation of certain key IT general controls. The material weakness is described below and represents a continuation of a sub-set of the control deficiencies which gave rise to the initial material weakness identified in management’s evaluation of our control environment as of August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Continuation of Previously Reported Material Weakness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reported in Part II, Item 9A. “Controls and Procedures” of our Annual Report on Form 10-K for the fiscal year ended August 31, 2025, we had not yet fully remediated a material weakness, initially identified during the fiscal year ended August 31, 2024, in the design and operation of IT general controls that support our revenues, accounts receivable, and deferred revenues processes which, in the aggregate, gave rise to a material weakness in internal control over financial reporting. While we have made significant progress toward remediating those control deficiencies, there remains certain deficiencies related to program change management and monitoring and user access in connection with segregation of duties and restrictions to appropriate users. As a result, the automated controls and IT dependent manual business process controls that rely upon information from the affected financial applications were also deemed not effective.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identifying the material weakness, management has made significant progress in enhancing the Company’s IT general controls to remediate the IT general control material weakness, however this effort remains ongoing. With the oversight of the Audit Committee of our Board of Directors, we have implemented remediation efforts to address the material weakness and enhance our IT general controls that support our revenues, accounts receivable, and deferred revenues processes. Management's remediation efforts included:</w:t>
      </w:r>
    </w:p>
    <w:p>
      <w:pPr>
        <w:spacing w:after="0" w:line="139"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the control environment by implementing controls that increase the frequency and effectiveness of user management and change management, including improved logging and segregation of duties capabilities.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 leading third-party accounting advisory firm, with appropriate internal control expertise and experience, to help evaluate the design of our controls as well as to assist with the documentation, remediation, and related controls testing.</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accounting advisory firm to revise the Company’s IT Risk and Control Matrix and to re-design certain controls around manage change and manage access to address the design deficiencies identified in fiscal 2024.</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key IT compliance personnel and a global head of internal audit.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relevant personnel on the design and operation of our IT general controls over financial reporting.</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While these efforts have resulted in significant progress toward remediating the material weakness, certain deficiencies remain, which management is committed to remediating. Our remediation plans include:</w:t>
      </w:r>
    </w:p>
    <w:p>
      <w:pPr>
        <w:spacing w:after="0" w:line="121" w:lineRule="exact"/>
        <w:rPr>
          <w:sz w:val="20"/>
          <w:szCs w:val="20"/>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precision and documentation of the change monitoring and segregation of duties review controls through additional training and formalized standard operating procedures.</w:t>
      </w:r>
    </w:p>
    <w:p>
      <w:pPr>
        <w:ind w:left="660" w:right="2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additional testing of the change monitoring and segregation of duties review controls to demonstrate the sustainability and repeatability of control operating effectiveness.</w:t>
      </w:r>
    </w:p>
    <w:p>
      <w:pPr>
        <w:ind w:left="660" w:right="2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technology solutions to enhance the control framework for supporting change monitoring, segregation of duties and access management review controls.</w:t>
      </w:r>
    </w:p>
    <w:p>
      <w:pPr>
        <w:ind w:left="6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utilize an expert third-party accounting advisory firm to evaluate the design of our controls as well as to assist with the documentation, remediation and associated testing.</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or modified measures may also be required to remediate the material weakness. We will not be able to conclude that we have completely remediated the material weakness until the applicable controls are fully implemented and have operated for a sufficient period of time and management has concluded, through formal testing, that the remediated controls are operating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effectively. We expect to complete these remediation measures as early as practicable in fiscal 2026. We will continue to monitor the design and effectiveness of these and other processes, procedures, and controls and make any further changes management deems appropriate. We regularly report to the Audit Committee on our progress and will continue to do so in fiscal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our remediation efforts will be fully effective. If these remediation efforts do not prove effective and control deficiencies and material weaknesses persist or occur in the future, the accuracy and timing of our financial reporting may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ongoing remediation plans described above, there were no changes in the Company’s internal control over financial reporting (as such term is defined in Rules 13a-15(f) and 15d-15(f) under the Exchange Act) during the three and six months ended February 28,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included in Part I, Item 1., to this Quarterly Report on Form 10-Q is incorporated by reference in answer to this Item.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our risk factors, please see Part 1, Item 1A. "Risk Factors" in our Annual Report on Form 10-K for the fiscal year ended August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98" w:lineRule="exact"/>
        <w:rPr>
          <w:sz w:val="20"/>
          <w:szCs w:val="20"/>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February 28, 2026:</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Total number of</w:t>
            </w:r>
          </w:p>
        </w:tc>
        <w:tc>
          <w:tcPr>
            <w:tcW w:w="300" w:type="dxa"/>
            <w:vAlign w:val="bottom"/>
          </w:tcPr>
          <w:p>
            <w:pPr>
              <w:spacing w:after="0"/>
              <w:rPr>
                <w:sz w:val="16"/>
                <w:szCs w:val="16"/>
                <w:color w:val="auto"/>
              </w:rPr>
            </w:pPr>
          </w:p>
        </w:tc>
        <w:tc>
          <w:tcPr>
            <w:tcW w:w="1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Average price</w:t>
            </w:r>
          </w:p>
        </w:tc>
        <w:tc>
          <w:tcPr>
            <w:tcW w:w="47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purchased as part of publicly Approximate dollar value of shares</w:t>
            </w:r>
          </w:p>
        </w:tc>
        <w:tc>
          <w:tcPr>
            <w:tcW w:w="0" w:type="dxa"/>
            <w:vAlign w:val="bottom"/>
          </w:tcPr>
          <w:p>
            <w:pPr>
              <w:spacing w:after="0"/>
              <w:rPr>
                <w:sz w:val="1"/>
                <w:szCs w:val="1"/>
                <w:color w:val="auto"/>
              </w:rPr>
            </w:pPr>
          </w:p>
        </w:tc>
      </w:tr>
      <w:tr>
        <w:trPr>
          <w:trHeight w:val="176"/>
        </w:trPr>
        <w:tc>
          <w:tcPr>
            <w:tcW w:w="18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20" w:type="dxa"/>
            <w:vAlign w:val="bottom"/>
          </w:tcPr>
          <w:p>
            <w:pPr>
              <w:spacing w:after="0"/>
              <w:rPr>
                <w:sz w:val="15"/>
                <w:szCs w:val="15"/>
                <w:color w:val="auto"/>
              </w:rPr>
            </w:pPr>
          </w:p>
        </w:tc>
        <w:tc>
          <w:tcPr>
            <w:tcW w:w="246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9"/>
              </w:rPr>
              <w:t>that may yet be purchased under</w:t>
            </w:r>
          </w:p>
        </w:tc>
        <w:tc>
          <w:tcPr>
            <w:tcW w:w="0" w:type="dxa"/>
            <w:vAlign w:val="bottom"/>
          </w:tcPr>
          <w:p>
            <w:pPr>
              <w:spacing w:after="0"/>
              <w:rPr>
                <w:sz w:val="1"/>
                <w:szCs w:val="1"/>
                <w:color w:val="auto"/>
              </w:rPr>
            </w:pPr>
          </w:p>
        </w:tc>
      </w:tr>
      <w:tr>
        <w:trPr>
          <w:trHeight w:val="229"/>
        </w:trPr>
        <w:tc>
          <w:tcPr>
            <w:tcW w:w="186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right"/>
              <w:ind w:right="190"/>
              <w:spacing w:after="0" w:line="230" w:lineRule="exact"/>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paid per share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r>
              <w:rPr>
                <w:rFonts w:ascii="Times New Roman" w:cs="Times New Roman" w:eastAsia="Times New Roman" w:hAnsi="Times New Roman"/>
                <w:sz w:val="10"/>
                <w:szCs w:val="10"/>
                <w:color w:val="auto"/>
              </w:rPr>
              <w:t>(2)</w:t>
            </w: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the plans or programs</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286.69</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811,429</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2026</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285.53</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758,835</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2026</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697,070</w:t>
            </w:r>
          </w:p>
        </w:tc>
        <w:tc>
          <w:tcPr>
            <w:tcW w:w="0" w:type="dxa"/>
            <w:vAlign w:val="bottom"/>
          </w:tcPr>
          <w:p>
            <w:pPr>
              <w:spacing w:after="0"/>
              <w:rPr>
                <w:sz w:val="1"/>
                <w:szCs w:val="1"/>
                <w:color w:val="auto"/>
              </w:rPr>
            </w:pPr>
          </w:p>
        </w:tc>
      </w:tr>
      <w:tr>
        <w:trPr>
          <w:trHeight w:val="228"/>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652,731</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651,750</w:t>
            </w: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328"/>
        <w:spacing w:after="0" w:line="280"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651,750 shares purchased under the stock repurchase program, as well as 981 shares repurchased to satisfy withholding tax obligations due upon the vesting of stock-based awards.</w:t>
      </w:r>
    </w:p>
    <w:p>
      <w:pPr>
        <w:spacing w:after="0" w:line="16"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17, 2025, our Board of Directors authorized up to $400 million for share repurchases on or after September 1, 2025. On December 16, 2025, our Board of Directors approved an additional $600 million in share repurchase authority, which was available immediately with no expiration date. The additional authorization also removed the expiration date from the June 17, 2025 authorization. As of February 28, 2026, $697.1 million remained available under our share repurchase program.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(as defined in Section 16 of the Exchange Act), adopted or terminated a Rule 10b5-1 trading arrangement or a non-Rule 10b5-1 trading arrangement (each as defined in Item 408(a) and (c) of Regulation S-K) during the quarter ended February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3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494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2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1980" w:type="dxa"/>
            <w:vAlign w:val="bottom"/>
            <w:gridSpan w:val="2"/>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Exhibit No. Filing Date</w:t>
            </w:r>
          </w:p>
        </w:tc>
        <w:tc>
          <w:tcPr>
            <w:tcW w:w="10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Description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200"/>
        </w:trPr>
        <w:tc>
          <w:tcPr>
            <w:tcW w:w="1340" w:type="dxa"/>
            <w:vAlign w:val="bottom"/>
            <w:tcBorders>
              <w:left w:val="single" w:sz="8" w:color="auto"/>
            </w:tcBorders>
            <w:gridSpan w:val="3"/>
          </w:tcPr>
          <w:p>
            <w:pPr>
              <w:ind w:left="40"/>
              <w:spacing w:after="0" w:line="201"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10.1</w:t>
              </w:r>
            </w:hyperlink>
          </w:p>
        </w:tc>
        <w:tc>
          <w:tcPr>
            <w:tcW w:w="4940" w:type="dxa"/>
            <w:vAlign w:val="bottom"/>
            <w:gridSpan w:val="14"/>
          </w:tcPr>
          <w:p>
            <w:pPr>
              <w:spacing w:after="0" w:line="201"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FactSet Research Systems Inc. 2025 Omnibus Incentive Plan</w:t>
              </w:r>
            </w:hyperlink>
          </w:p>
        </w:tc>
        <w:tc>
          <w:tcPr>
            <w:tcW w:w="680" w:type="dxa"/>
            <w:vAlign w:val="bottom"/>
          </w:tcPr>
          <w:p>
            <w:pPr>
              <w:ind w:left="280"/>
              <w:spacing w:after="0" w:line="201" w:lineRule="exact"/>
              <w:rPr>
                <w:sz w:val="20"/>
                <w:szCs w:val="20"/>
                <w:color w:val="auto"/>
              </w:rPr>
            </w:pPr>
            <w:r>
              <w:rPr>
                <w:rFonts w:ascii="Times New Roman" w:cs="Times New Roman" w:eastAsia="Times New Roman" w:hAnsi="Times New Roman"/>
                <w:sz w:val="18"/>
                <w:szCs w:val="18"/>
                <w:color w:val="auto"/>
              </w:rPr>
              <w:t>S-8</w:t>
            </w: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333-292658</w:t>
            </w:r>
          </w:p>
        </w:tc>
        <w:tc>
          <w:tcPr>
            <w:tcW w:w="1000" w:type="dxa"/>
            <w:vAlign w:val="bottom"/>
          </w:tcPr>
          <w:p>
            <w:pPr>
              <w:jc w:val="right"/>
              <w:ind w:right="250"/>
              <w:spacing w:after="0" w:line="201" w:lineRule="exact"/>
              <w:rPr>
                <w:sz w:val="20"/>
                <w:szCs w:val="20"/>
                <w:color w:val="auto"/>
              </w:rPr>
            </w:pPr>
            <w:r>
              <w:rPr>
                <w:rFonts w:ascii="Times New Roman" w:cs="Times New Roman" w:eastAsia="Times New Roman" w:hAnsi="Times New Roman"/>
                <w:sz w:val="18"/>
                <w:szCs w:val="18"/>
                <w:color w:val="auto"/>
              </w:rPr>
              <w:t>99.1</w:t>
            </w:r>
          </w:p>
        </w:tc>
        <w:tc>
          <w:tcPr>
            <w:tcW w:w="980" w:type="dxa"/>
            <w:vAlign w:val="bottom"/>
          </w:tcPr>
          <w:p>
            <w:pPr>
              <w:jc w:val="right"/>
              <w:ind w:right="50"/>
              <w:spacing w:after="0" w:line="201" w:lineRule="exact"/>
              <w:rPr>
                <w:sz w:val="20"/>
                <w:szCs w:val="20"/>
                <w:color w:val="auto"/>
              </w:rPr>
            </w:pPr>
            <w:r>
              <w:rPr>
                <w:rFonts w:ascii="Times New Roman" w:cs="Times New Roman" w:eastAsia="Times New Roman" w:hAnsi="Times New Roman"/>
                <w:sz w:val="18"/>
                <w:szCs w:val="18"/>
                <w:color w:val="auto"/>
              </w:rPr>
              <w:t>1/9/2026</w:t>
            </w: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60" w:type="dxa"/>
            <w:vAlign w:val="bottom"/>
            <w:tcBorders>
              <w:top w:val="single" w:sz="8" w:color="0000FF"/>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color w:val="0000FF"/>
              </w:rPr>
              <w:t>10.2</w:t>
            </w:r>
          </w:p>
        </w:tc>
        <w:tc>
          <w:tcPr>
            <w:tcW w:w="4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Form Restricted Share Unit Award Agreement</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Borders>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color w:val="0000FF"/>
              </w:rPr>
              <w:t>10.3</w:t>
            </w:r>
          </w:p>
        </w:tc>
        <w:tc>
          <w:tcPr>
            <w:tcW w:w="4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Form Stock Option Award Agreement</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Borders>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color w:val="0000FF"/>
              </w:rPr>
              <w:t>10.4</w:t>
            </w:r>
          </w:p>
        </w:tc>
        <w:tc>
          <w:tcPr>
            <w:tcW w:w="4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Form Performance Share Unit Award Agreement</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Borders>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340" w:type="dxa"/>
            <w:vAlign w:val="bottom"/>
            <w:tcBorders>
              <w:left w:val="single" w:sz="8" w:color="auto"/>
            </w:tcBorders>
            <w:gridSpan w:val="3"/>
          </w:tcPr>
          <w:p>
            <w:pPr>
              <w:ind w:left="40"/>
              <w:spacing w:after="0" w:line="196" w:lineRule="exact"/>
              <w:rPr>
                <w:sz w:val="20"/>
                <w:szCs w:val="20"/>
                <w:color w:val="auto"/>
              </w:rPr>
            </w:pPr>
            <w:r>
              <w:rPr>
                <w:rFonts w:ascii="Times New Roman" w:cs="Times New Roman" w:eastAsia="Times New Roman" w:hAnsi="Times New Roman"/>
                <w:sz w:val="18"/>
                <w:szCs w:val="18"/>
                <w:color w:val="0000FF"/>
              </w:rPr>
              <w:t>10.5</w:t>
            </w:r>
          </w:p>
        </w:tc>
        <w:tc>
          <w:tcPr>
            <w:tcW w:w="4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Form of Equity Award Letter Agreement (Omnibus Plan)</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Borders>
              <w:right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7"/>
        </w:trPr>
        <w:tc>
          <w:tcPr>
            <w:tcW w:w="40" w:type="dxa"/>
            <w:vAlign w:val="bottom"/>
            <w:tcBorders>
              <w:left w:val="single" w:sz="8" w:color="auto"/>
              <w:bottom w:val="single" w:sz="8" w:color="auto"/>
            </w:tcBorders>
          </w:tcPr>
          <w:p>
            <w:pPr>
              <w:spacing w:after="0"/>
              <w:rPr>
                <w:sz w:val="4"/>
                <w:szCs w:val="4"/>
                <w:color w:val="auto"/>
              </w:rPr>
            </w:pPr>
          </w:p>
        </w:tc>
        <w:tc>
          <w:tcPr>
            <w:tcW w:w="320" w:type="dxa"/>
            <w:vAlign w:val="bottom"/>
            <w:tcBorders>
              <w:top w:val="single" w:sz="8" w:color="0000FF"/>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100" w:type="dxa"/>
            <w:vAlign w:val="bottom"/>
            <w:tcBorders>
              <w:top w:val="single" w:sz="8" w:color="0000FF"/>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200" w:type="dxa"/>
            <w:vAlign w:val="bottom"/>
            <w:tcBorders>
              <w:top w:val="single" w:sz="8" w:color="0000FF"/>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494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3"/>
            <w:vMerge w:val="continue"/>
          </w:tcPr>
          <w:p>
            <w:pPr>
              <w:spacing w:after="0"/>
              <w:rPr>
                <w:sz w:val="13"/>
                <w:szCs w:val="13"/>
                <w:color w:val="auto"/>
              </w:rPr>
            </w:pPr>
          </w:p>
        </w:tc>
        <w:tc>
          <w:tcPr>
            <w:tcW w:w="47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34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3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494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Rule 13a-</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3"/>
            <w:vMerge w:val="continue"/>
          </w:tcPr>
          <w:p>
            <w:pPr>
              <w:spacing w:after="0"/>
              <w:rPr>
                <w:sz w:val="13"/>
                <w:szCs w:val="13"/>
                <w:color w:val="auto"/>
              </w:rPr>
            </w:pPr>
          </w:p>
        </w:tc>
        <w:tc>
          <w:tcPr>
            <w:tcW w:w="46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34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4760" w:type="dxa"/>
            <w:vAlign w:val="bottom"/>
            <w:tcBorders>
              <w:bottom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w:t>
            </w:r>
          </w:p>
        </w:tc>
        <w:tc>
          <w:tcPr>
            <w:tcW w:w="18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3"/>
            <w:vMerge w:val="continue"/>
          </w:tcPr>
          <w:p>
            <w:pPr>
              <w:spacing w:after="0"/>
              <w:rPr>
                <w:sz w:val="13"/>
                <w:szCs w:val="13"/>
                <w:color w:val="auto"/>
              </w:rPr>
            </w:pPr>
          </w:p>
        </w:tc>
        <w:tc>
          <w:tcPr>
            <w:tcW w:w="4940" w:type="dxa"/>
            <w:vAlign w:val="bottom"/>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9"/>
              </w:rPr>
              <w:t>1350, as adopted pursuant to Section 906 of the Sarbanes-Oxley Act</w:t>
            </w: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940" w:type="dxa"/>
            <w:vAlign w:val="bottom"/>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40" w:type="dxa"/>
            <w:vAlign w:val="bottom"/>
            <w:tcBorders>
              <w:left w:val="single" w:sz="8" w:color="auto"/>
            </w:tcBorders>
            <w:gridSpan w:val="3"/>
          </w:tcPr>
          <w:p>
            <w:pPr>
              <w:ind w:left="40"/>
              <w:spacing w:after="0" w:line="156" w:lineRule="exact"/>
              <w:rPr>
                <w:sz w:val="20"/>
                <w:szCs w:val="20"/>
                <w:color w:val="auto"/>
              </w:rPr>
            </w:pPr>
            <w:r>
              <w:rPr>
                <w:rFonts w:ascii="Times New Roman" w:cs="Times New Roman" w:eastAsia="Times New Roman" w:hAnsi="Times New Roman"/>
                <w:sz w:val="18"/>
                <w:szCs w:val="18"/>
                <w:color w:val="0000FF"/>
              </w:rPr>
              <w:t>32.2</w:t>
            </w:r>
          </w:p>
        </w:tc>
        <w:tc>
          <w:tcPr>
            <w:tcW w:w="470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w:t>
            </w:r>
          </w:p>
        </w:tc>
        <w:tc>
          <w:tcPr>
            <w:tcW w:w="2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84"/>
              </w:rPr>
              <w:t>Act</w:t>
            </w: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Borders>
              <w:right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94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4940" w:type="dxa"/>
            <w:vAlign w:val="bottom"/>
            <w:gridSpan w:val="14"/>
          </w:tcPr>
          <w:p>
            <w:pPr>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9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49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49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9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49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14"/>
                <w:szCs w:val="14"/>
                <w:color w:val="auto"/>
              </w:rPr>
            </w:pPr>
          </w:p>
        </w:tc>
        <w:tc>
          <w:tcPr>
            <w:tcW w:w="4940" w:type="dxa"/>
            <w:vAlign w:val="bottom"/>
            <w:gridSpan w:val="14"/>
          </w:tcPr>
          <w:p>
            <w:pPr>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49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940" w:type="dxa"/>
            <w:vAlign w:val="bottom"/>
            <w:tcBorders>
              <w:bottom w:val="single" w:sz="8" w:color="auto"/>
            </w:tcBorders>
            <w:gridSpan w:val="14"/>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0" w:type="dxa"/>
            <w:vAlign w:val="bottom"/>
            <w:gridSpan w:val="8"/>
          </w:tcPr>
          <w:p>
            <w:pPr>
              <w:ind w:left="4200"/>
              <w:spacing w:after="0"/>
              <w:rPr>
                <w:sz w:val="20"/>
                <w:szCs w:val="20"/>
                <w:color w:val="auto"/>
              </w:rPr>
            </w:pPr>
            <w:r>
              <w:rPr>
                <w:rFonts w:ascii="Times New Roman" w:cs="Times New Roman" w:eastAsia="Times New Roman" w:hAnsi="Times New Roman"/>
                <w:sz w:val="18"/>
                <w:szCs w:val="18"/>
                <w:color w:val="auto"/>
                <w:w w:val="99"/>
              </w:rPr>
              <w:t>55</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2026</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HELEN L. SHAN</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Helen L. Shan</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FACTSET RESEARCH SYSTEMS INC.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RESTRICTED SHARE UNITS AWARD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AND RESTRICTED SHARE UNITS AWARD AGREEMENT</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You have been granted an award of restricted share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of FactSet Research Systems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the FactSet Research Systems Inc. 2025 Omnibus Incentive Plan, as may be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on the following terms and conditions of this award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Capitalized terms used herein without definition shall have the meanings ascribed to such terms in the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Grant Date: </w:t>
      </w:r>
      <w:r>
        <w:rPr>
          <w:rFonts w:ascii="Times New Roman" w:cs="Times New Roman" w:eastAsia="Times New Roman" w:hAnsi="Times New Roman"/>
          <w:sz w:val="20"/>
          <w:szCs w:val="20"/>
          <w:color w:val="auto"/>
        </w:rPr>
        <w:t>As detailed on the Grant Acceptance Election page.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Number of RSUs Granted: </w:t>
      </w:r>
      <w:r>
        <w:rPr>
          <w:rFonts w:ascii="Times New Roman" w:cs="Times New Roman" w:eastAsia="Times New Roman" w:hAnsi="Times New Roman"/>
          <w:sz w:val="20"/>
          <w:szCs w:val="20"/>
          <w:color w:val="auto"/>
        </w:rPr>
        <w:t>The number of RSUs that are stated on the Grant Acceptance Election page.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 The RSUs shall become vested upon the schedule as shown on the Grant Acceptance Election page.</w:t>
      </w:r>
    </w:p>
    <w:p>
      <w:pPr>
        <w:spacing w:after="0" w:line="2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RSUs are rounded down to the next whole share at each interim vesting date and rounded up on the last vesting date as shown on the Grant Acceptance Election page.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Terms Relating to RSUs:</w:t>
      </w:r>
    </w:p>
    <w:p>
      <w:pPr>
        <w:spacing w:after="0" w:line="125" w:lineRule="exact"/>
        <w:rPr>
          <w:sz w:val="20"/>
          <w:szCs w:val="20"/>
          <w:color w:val="auto"/>
        </w:rPr>
      </w:pPr>
    </w:p>
    <w:p>
      <w:pPr>
        <w:ind w:left="580" w:hanging="572"/>
        <w:spacing w:after="0"/>
        <w:tabs>
          <w:tab w:leader="none" w:pos="5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Provisions Apply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award of RSUs shall be subject to all of the terms and conditions of the Plan.</w:t>
      </w:r>
    </w:p>
    <w:p>
      <w:pPr>
        <w:spacing w:after="0" w:line="121" w:lineRule="exact"/>
        <w:rPr>
          <w:sz w:val="20"/>
          <w:szCs w:val="20"/>
          <w:color w:val="auto"/>
        </w:rPr>
      </w:pPr>
    </w:p>
    <w:p>
      <w:pPr>
        <w:ind w:left="580" w:hanging="572"/>
        <w:spacing w:after="0"/>
        <w:tabs>
          <w:tab w:leader="none" w:pos="5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RSUs</w:t>
      </w:r>
    </w:p>
    <w:p>
      <w:pPr>
        <w:spacing w:after="0" w:line="1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RSUs that become vested shall be settled as soon as administratively practicable after the applicable vesting date (and in no event more than within thirty (30) days thereafter) by delivery of Shares, subject to applicable tax withholding.</w:t>
      </w:r>
    </w:p>
    <w:p>
      <w:pPr>
        <w:spacing w:after="0" w:line="65" w:lineRule="exact"/>
        <w:rPr>
          <w:sz w:val="20"/>
          <w:szCs w:val="20"/>
          <w:color w:val="auto"/>
        </w:rPr>
      </w:pPr>
    </w:p>
    <w:p>
      <w:pPr>
        <w:ind w:left="580" w:hanging="572"/>
        <w:spacing w:after="0"/>
        <w:tabs>
          <w:tab w:leader="none" w:pos="5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RSUs may not be sold, transferred, pledged, assigned, or otherwise alienated or hypothecated.</w:t>
      </w:r>
    </w:p>
    <w:p>
      <w:pPr>
        <w:spacing w:after="0" w:line="121" w:lineRule="exact"/>
        <w:rPr>
          <w:sz w:val="20"/>
          <w:szCs w:val="20"/>
          <w:color w:val="auto"/>
        </w:rPr>
      </w:pPr>
    </w:p>
    <w:p>
      <w:pPr>
        <w:ind w:left="580" w:hanging="572"/>
        <w:spacing w:after="0"/>
        <w:tabs>
          <w:tab w:leader="none" w:pos="5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If, in connection with a Change in Control, the successor or surviving entity or its parent will not assume or continue this Award or substitute for or replace this Award, in each case, with equity securities of the successor or surviving entity or its parent, with substantially the same terms and equivalent value as this Award, which are or promptly will be registered under the Securities Act of 1933, as amended, and tradable on an established United States securities exchange, then the vesting of all outstanding unvested RSUs will accelerate in full as of immediately before and contingent upon the occurrence of the Change in Control.</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in connection with a Change in Control, the successor or surviving entity or its parent has so assumed, continued, substituted for or replaced this Award, but your employment is terminated without Cause or if you resign for Good Reason during the twenty-four (24) months following the Change in Control, then the vesting of all unvested RSUs will accelerate in full as of the date of your Termination of Service. “</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have the meaning set forth in your Service Agreement, if any, or, in the absence of any such agreement or any such definition in such agreement, such term shall mean: (i) a material reduction in your base salary or target annual bonus opportunity; (ii) a relocation of your primary location of employment to more than 50 miles from your current primary location of employment; or (iii) a breach by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its Subsidiaries of any material written agreement between you and the Company and its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“Good Reason” shall not exist unless (A) you provide the Company with written notice no later than 30 days after the occurrence of the event purported to the basis for Good Reason, setting forth in reasonable detail your basis for a claim of Good Reason, (B) the Company fails to cure such event within 60 days after receipt of such notice, and (C) you resign from employment and all other positions with the Company and its Subsidiaries no later than 30 days after the end of the notice period in (B).</w:t>
      </w:r>
    </w:p>
    <w:p>
      <w:pPr>
        <w:spacing w:after="0" w:line="124" w:lineRule="exact"/>
        <w:rPr>
          <w:sz w:val="20"/>
          <w:szCs w:val="20"/>
          <w:color w:val="auto"/>
        </w:rPr>
      </w:pPr>
    </w:p>
    <w:p>
      <w:pPr>
        <w:ind w:left="580" w:hanging="572"/>
        <w:spacing w:after="0"/>
        <w:tabs>
          <w:tab w:leader="none" w:pos="5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Except as otherwise provided in Section 4 above, in the event of your Termination of Service for any reason, any RSUs that are outstanding and unvested as of the date of such Termination of Service shall be cancelled and forfeited for no consideration; provided, however, that the Committee may, in its sole discretion, provide for continued vesting or acceleration of all or a portion of the RSUs in accordance with the terms of the Plan.</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Notwithstanding anything to the contrary herein, in the event of your Termination of Service due to death, any RSUs that are outstanding and unvested and were granted to you at least one year prior to the date of such Termination of Service shall become fully vested as of the date of such Termination of Service.</w:t>
      </w:r>
    </w:p>
    <w:p>
      <w:pPr>
        <w:spacing w:after="0" w:line="6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For the avoidance of doubt, in the event of your Termination of Service for Cause, or if you breach your obligations under Section 8 or 9 of this Agreement, all of your RSUs then outstanding, whether vested or unvested, shall be cancelled and forfeited for no consideration.</w:t>
      </w:r>
    </w:p>
    <w:p>
      <w:pPr>
        <w:spacing w:after="0" w:line="52" w:lineRule="exact"/>
        <w:rPr>
          <w:sz w:val="20"/>
          <w:szCs w:val="20"/>
          <w:color w:val="auto"/>
        </w:rPr>
      </w:pPr>
    </w:p>
    <w:p>
      <w:pPr>
        <w:ind w:left="580" w:hanging="572"/>
        <w:spacing w:after="0"/>
        <w:tabs>
          <w:tab w:leader="none" w:pos="5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and Voting Rights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You shall not have any right to receive dividends, dividend equivalents or other distribution or rights in respect of your unvested RSUs and shall not have the right to vote the Shares related to such unvested RSUs as the record owner thereof, in each case, until such RSUs have become fully vested and settled in Shares in accordance with the terms of this Agreement and the Plan.</w:t>
      </w:r>
    </w:p>
    <w:p>
      <w:pPr>
        <w:spacing w:after="0" w:line="73" w:lineRule="exact"/>
        <w:rPr>
          <w:sz w:val="20"/>
          <w:szCs w:val="20"/>
          <w:color w:val="auto"/>
        </w:rPr>
      </w:pPr>
    </w:p>
    <w:p>
      <w:pPr>
        <w:ind w:left="580" w:hanging="572"/>
        <w:spacing w:after="0"/>
        <w:tabs>
          <w:tab w:leader="none" w:pos="5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Company Policies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By signing and returning this Agreement, you acknowledge having received and read a copy of the Plan, which is incorporated by reference herein, and agree to comply with it. You also acknowledge and agree that you will comply with the Company’s insider trading policy and holding period policy, as applicable.</w:t>
      </w:r>
    </w:p>
    <w:p>
      <w:pPr>
        <w:spacing w:after="0" w:line="60" w:lineRule="exact"/>
        <w:rPr>
          <w:sz w:val="20"/>
          <w:szCs w:val="20"/>
          <w:color w:val="auto"/>
        </w:rPr>
      </w:pPr>
    </w:p>
    <w:p>
      <w:pPr>
        <w:ind w:left="580" w:hanging="572"/>
        <w:spacing w:after="0"/>
        <w:tabs>
          <w:tab w:leader="none" w:pos="5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Proprietary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consideration for the above RSU grant and subject to Section 8(e) below, you further agree as follows with respect to the confidentiality of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Proprietary Information (as defined below):</w:t>
      </w:r>
    </w:p>
    <w:p>
      <w:pPr>
        <w:spacing w:after="0" w:line="92" w:lineRule="exact"/>
        <w:rPr>
          <w:sz w:val="20"/>
          <w:szCs w:val="20"/>
          <w:color w:val="auto"/>
        </w:rPr>
      </w:pPr>
    </w:p>
    <w:p>
      <w:pPr>
        <w:jc w:val="both"/>
        <w:ind w:firstLine="656"/>
        <w:spacing w:after="0" w:line="258" w:lineRule="auto"/>
        <w:tabs>
          <w:tab w:leader="none" w:pos="128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that the Company and its Affiliates possess and will continue to develop and acquire valuable Proprietary Information, of which you may become aware during the course of your employment with the Company and its Affiliates or its Subsidiaries (collectively, “</w:t>
      </w:r>
      <w:r>
        <w:rPr>
          <w:rFonts w:ascii="Times New Roman" w:cs="Times New Roman" w:eastAsia="Times New Roman" w:hAnsi="Times New Roman"/>
          <w:sz w:val="20"/>
          <w:szCs w:val="20"/>
          <w:b w:val="1"/>
          <w:bCs w:val="1"/>
          <w:i w:val="1"/>
          <w:iCs w:val="1"/>
          <w:color w:val="auto"/>
        </w:rPr>
        <w:t>FactSet</w:t>
      </w:r>
      <w:r>
        <w:rPr>
          <w:rFonts w:ascii="Times New Roman" w:cs="Times New Roman" w:eastAsia="Times New Roman" w:hAnsi="Times New Roman"/>
          <w:sz w:val="20"/>
          <w:szCs w:val="20"/>
          <w:color w:val="auto"/>
        </w:rPr>
        <w:t>”), that the value of that Proprietary Information depends on it remaining confidential, and that FactSet depends on you to honor the terms of this Agreement.</w:t>
      </w:r>
    </w:p>
    <w:p>
      <w:pPr>
        <w:spacing w:after="0" w:line="60"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b w:val="1"/>
          <w:bCs w:val="1"/>
          <w:i w:val="1"/>
          <w:iCs w:val="1"/>
          <w:color w:val="auto"/>
        </w:rPr>
        <w:t>Proprietary Information</w:t>
      </w:r>
      <w:r>
        <w:rPr>
          <w:rFonts w:ascii="Times New Roman" w:cs="Times New Roman" w:eastAsia="Times New Roman" w:hAnsi="Times New Roman"/>
          <w:sz w:val="20"/>
          <w:szCs w:val="20"/>
          <w:color w:val="auto"/>
        </w:rPr>
        <w:t>” means any business information not generally known to others in the industry and held in confidence by FactSet, that derives independent economic value, actual or potential, from not being generally known to other persons who can obtain economic value from its disclosure or use. Proprietary Information may include, but is not limited to (1) information received from or relating to customers, suppliers, joint ventures, licensors, licensees, distributors and other persons and entities with whom FactSet does business; (2) trade secrets, financial information, business plans, methods, and strategies, lists of customers, suppliers or employees, strategies for servicing and attracting customers, cost information and pricing strategies about FactSet products, contracts and cooperative relationships and information about the compensation, evaluations and career paths of employees; and (3) any formula, algorithm, computer program, pattern, compilation, drawing,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device, method, technique or process developed by or made known as a result of employment with FactSet. Proprietary Information does not include any information of which you had knowledge prior to your employment with FactSet, or information generally known or available in the financial services industry.</w:t>
      </w:r>
    </w:p>
    <w:p>
      <w:pPr>
        <w:spacing w:after="0" w:line="73" w:lineRule="exact"/>
        <w:rPr>
          <w:sz w:val="20"/>
          <w:szCs w:val="20"/>
          <w:color w:val="auto"/>
        </w:rPr>
      </w:pPr>
    </w:p>
    <w:p>
      <w:pPr>
        <w:jc w:val="both"/>
        <w:ind w:firstLine="656"/>
        <w:spacing w:after="0" w:line="258" w:lineRule="auto"/>
        <w:tabs>
          <w:tab w:leader="none" w:pos="1285"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use or disclose, either during your employment with FactSet or after termination of your employment with FactSet, any Proprietary Information, except for the exclusive benefit of FactSet and as required by your duties for FactSet, or as FactSet expressly may consent to in writing. You will use your best efforts to prevent the unauthorized disclosure, use, or reproduction of all Proprietary Information and will follow FactSet policies with regard to maintaining such confidentiality.</w:t>
      </w:r>
    </w:p>
    <w:p>
      <w:pPr>
        <w:spacing w:after="0" w:line="64"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your employment with FactSet for any reason, you immediately will deliver to FactSet all tangible, written, graphical, machine readable and other materials (including all copies) in your possession or under your control containing or disclosing Proprietary Information and will delete all such material from the hard drives of any computers you may own or control.</w:t>
      </w:r>
    </w:p>
    <w:p>
      <w:pPr>
        <w:spacing w:after="0" w:line="73"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5"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nothing in this Agreement is intended to or shall prevent you from (i) communicating directly with, cooperating with, or providing information to, any federal, state or local government regulator, including, but not limited to, the U.S. Securities and Exchange Commission, the U.S. Commodity Futures Trading Commission, the U.S. Department of Justice, the U.S. National Labor Relations Act, or the U.S. Equal Employment Opportunities Commission, (ii) providing truthful statements in response to legal process, required governmental testimony or filings or administrative or arbitral proceedings (including depositions in connection with such proceedings), or (iii) discussing or disclosing information about unlawful acts in the workplace, such as harassment or discrimination or any other conduct that you reasonably believe to be unlawful. You acknowledge that the FactSet has provided you notice of your immunity rights under the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spacing w:after="0" w:line="75" w:lineRule="exact"/>
        <w:rPr>
          <w:rFonts w:ascii="Times New Roman" w:cs="Times New Roman" w:eastAsia="Times New Roman" w:hAnsi="Times New Roman"/>
          <w:sz w:val="20"/>
          <w:szCs w:val="20"/>
          <w:color w:val="auto"/>
        </w:rPr>
      </w:pPr>
    </w:p>
    <w:p>
      <w:pPr>
        <w:ind w:left="580" w:hanging="572"/>
        <w:spacing w:after="0"/>
        <w:tabs>
          <w:tab w:leader="none" w:pos="5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 and Non-Solicitation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As a condition to, and in consideration of, the grant of this Award, you agree to be bound by the covenants, restrictions and other obligations set forth in this Section 9. These restrictive covenants are in addition to, and not in lieu of, any similar covenant or restriction that you may otherwise be bound.</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During the period of your employment and for two years thereafter, you shall not, directly or indirectly, (a) own, manage, operate, join or control, be employed by or participate in the ownership, management, operation or control of, or be a consultant to or connected in any other manner with, any business, firm or corporation which is similar to or competes with a principal business of FactSet (a “</w:t>
      </w:r>
      <w:r>
        <w:rPr>
          <w:rFonts w:ascii="Times New Roman" w:cs="Times New Roman" w:eastAsia="Times New Roman" w:hAnsi="Times New Roman"/>
          <w:sz w:val="20"/>
          <w:szCs w:val="20"/>
          <w:b w:val="1"/>
          <w:bCs w:val="1"/>
          <w:i w:val="1"/>
          <w:iCs w:val="1"/>
          <w:color w:val="auto"/>
        </w:rPr>
        <w:t>Competitive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Activity</w:t>
      </w:r>
      <w:r>
        <w:rPr>
          <w:rFonts w:ascii="Times New Roman" w:cs="Times New Roman" w:eastAsia="Times New Roman" w:hAnsi="Times New Roman"/>
          <w:sz w:val="20"/>
          <w:szCs w:val="20"/>
          <w:color w:val="auto"/>
        </w:rPr>
        <w:t>”) or (b) for you or any person or business entity, induce or attempt to induce any employee of FactSet to terminate employment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FactSet or solicit, entice, take away or employ any person employed by FactSet (“</w:t>
      </w:r>
      <w:r>
        <w:rPr>
          <w:rFonts w:ascii="Times New Roman" w:cs="Times New Roman" w:eastAsia="Times New Roman" w:hAnsi="Times New Roman"/>
          <w:sz w:val="20"/>
          <w:szCs w:val="20"/>
          <w:b w:val="1"/>
          <w:bCs w:val="1"/>
          <w:i w:val="1"/>
          <w:iCs w:val="1"/>
          <w:color w:val="auto"/>
        </w:rPr>
        <w:t>Solicitation</w:t>
      </w:r>
      <w:r>
        <w:rPr>
          <w:rFonts w:ascii="Times New Roman" w:cs="Times New Roman" w:eastAsia="Times New Roman" w:hAnsi="Times New Roman"/>
          <w:sz w:val="20"/>
          <w:szCs w:val="20"/>
          <w:color w:val="auto"/>
        </w:rPr>
        <w:t>”). For these purposes, your ownership of securities of a public company not in excess of one percent of any class of such securities shall not be considered to be competition with FactSet.</w:t>
      </w:r>
    </w:p>
    <w:p>
      <w:pPr>
        <w:spacing w:after="0" w:line="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If you engage in a Competitive Activity or Solicitation, as determined by the Committee in good faith, (i) all RSUs (vested and unvested) then outstanding and held by you shall be cancelled and forfeited as of the date that you first engaged in such Competitive Activity or Solicitation, (ii) the Company shall have the right to acquire any Shares then owned by you as the result of the settlement of the RSUs for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consideration, and (iii) the Company shall have the right to require you to return to the Company any other gain, whether or not realized, on a gross basis, that you had upon the sale of any Shares obtained pursuant to the RSUs.</w:t>
      </w:r>
    </w:p>
    <w:p>
      <w:pPr>
        <w:spacing w:after="0" w:line="38" w:lineRule="exact"/>
        <w:rPr>
          <w:sz w:val="20"/>
          <w:szCs w:val="20"/>
          <w:color w:val="auto"/>
        </w:rPr>
      </w:pPr>
    </w:p>
    <w:p>
      <w:pPr>
        <w:ind w:left="640" w:hanging="632"/>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p>
    <w:p>
      <w:pPr>
        <w:spacing w:after="0" w:line="12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No provisions of this Agreement may be amended or modified unless such amendment or modification is agreed to in writing signed by you and an officer of the Company with the authority to bind the Company.</w:t>
      </w:r>
    </w:p>
    <w:p>
      <w:pPr>
        <w:spacing w:after="0" w:line="65" w:lineRule="exact"/>
        <w:rPr>
          <w:sz w:val="20"/>
          <w:szCs w:val="20"/>
          <w:color w:val="auto"/>
        </w:rPr>
      </w:pPr>
    </w:p>
    <w:p>
      <w:pPr>
        <w:ind w:left="640" w:hanging="632"/>
        <w:spacing w:after="0"/>
        <w:tabs>
          <w:tab w:leader="none" w:pos="6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Responsibility</w:t>
      </w:r>
    </w:p>
    <w:p>
      <w:pPr>
        <w:spacing w:after="0" w:line="121"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5"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that, regardless of any action taken by the Company or your employer or any Subsidiary or Affiliate of the Company to which you provide service (the “</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the ultimate liability for all income tax (including U.S. federal, state, and local taxes and/or non-U.S. taxes), social insurance, payroll tax, fringe benefits tax, payment on account or other tax-related items related to your participation in the Plan and legally applicable to you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is and remains your responsibility and may exceed the amount actually withheld (if any) by the Company or the Employer. You acknowledge that the Company is not making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Further, you acknowledge that the Company does not have any duty or obligation to minimize your liability for Tax-Related Items arising from the RSUs or to achieve any particular tax result and will not be liable to you for any Tax-Related Items arising in connection with the RSUs. If you become subject to taxation in more than one jurisdiction, the Company and/or the Employer (or former employer, as applicable) may be required to withhold or account for Tax-Related Items in more than one jurisdiction.</w:t>
      </w:r>
    </w:p>
    <w:p>
      <w:pPr>
        <w:spacing w:after="0" w:line="78"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relevant taxable or tax withholding event, as applicable, you agree to make adequate arrangements satisfactory to the Company and/or the Employer to satisfy all Tax-Related Items. In this regard, you authorize the Company and the Employer, or their respective agents, at their discretion, to satisfy any applicable withholding obligations with regard to all Tax-Related Items, if any, by any of the following means or by a combination of such means: (1) withholding from any compensation otherwise payable to you by the Company or the Employer; (2) causing you to tender a cash payment; (3) withholding from proceeds of the sale of Shares acquired upon settlement of the RSUs either through a voluntary sale or through a mandatory sale arranged by the Company (on your behalf pursuant to this authorization without further consent); (4) withholding a number of Shares otherwise issuable to you upon settlement of the RSUs; or (5) any other method of withholding determined by the Company and, to the extent required by applicable law, approved by the Committee.</w:t>
      </w:r>
    </w:p>
    <w:p>
      <w:pPr>
        <w:spacing w:after="0" w:line="87"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5"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or other withholding rates, including minimum or maximum rates applicable in your jurisdiction(s). In the event of over-withholding, you may receive a refund of any over-withheld amount in cash (with no entitlement to the equivalent in Shares), or if not refunded, you may seek a refund from the local tax authorities to the extent you wish to recover any over-withheld amounts in the form of a refund. In the event of under-withholding, you may be required to pay any additional Tax-Related Items directly to the applicable tax authority or to the Company and/or the Employer. If the obligation for Tax-Related Items is satisfied by withholding a number of Shares, for tax purposes, you will be deemed to have been issued the full number of Shares subject to the settled RSUs, notwithstanding that a number of the Shares is held back solely for the purpose of paying the Tax-Related Items. The Company may refuse to issue or deliver Shares, or the proceeds of the sale of Shares, if you fail to comply with your obligations in connection with the Tax-Related Items.</w:t>
      </w:r>
    </w:p>
    <w:p>
      <w:pPr>
        <w:spacing w:after="0" w:line="67"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Company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You acknowledge and agree that this Agreement and the RSUs granted hereunder shall be subject to the Company’s Incentive Compensation Recoupment Policy or any other compensation recoupment policy adopted by the Company from time to time or as otherwise required by the listing standards of any national securities exchange or association on which the Company’s securities are listed or by applicable law (the “</w:t>
      </w:r>
      <w:r>
        <w:rPr>
          <w:rFonts w:ascii="Times New Roman" w:cs="Times New Roman" w:eastAsia="Times New Roman" w:hAnsi="Times New Roman"/>
          <w:sz w:val="20"/>
          <w:szCs w:val="20"/>
          <w:b w:val="1"/>
          <w:bCs w:val="1"/>
          <w:i w:val="1"/>
          <w:iCs w:val="1"/>
          <w:color w:val="auto"/>
        </w:rPr>
        <w:t>Clawback Policies</w:t>
      </w:r>
      <w:r>
        <w:rPr>
          <w:rFonts w:ascii="Times New Roman" w:cs="Times New Roman" w:eastAsia="Times New Roman" w:hAnsi="Times New Roman"/>
          <w:sz w:val="20"/>
          <w:szCs w:val="20"/>
          <w:color w:val="auto"/>
        </w:rPr>
        <w:t>”). All vested and unvested RSUs and Shares or other amounts paid or payable to you under or in respect of the RSUs shall, if applicable, be subject to reduction, cancellation, recovery, recoupment, forfeiture or other action pursuant to and as, and to the extent, required by or determined under the Clawback Policies.</w:t>
      </w:r>
    </w:p>
    <w:p>
      <w:pPr>
        <w:spacing w:after="0" w:line="56" w:lineRule="exact"/>
        <w:rPr>
          <w:sz w:val="20"/>
          <w:szCs w:val="20"/>
          <w:color w:val="auto"/>
        </w:rPr>
      </w:pPr>
    </w:p>
    <w:p>
      <w:pPr>
        <w:ind w:left="560" w:hanging="552"/>
        <w:spacing w:after="0"/>
        <w:tabs>
          <w:tab w:leader="none" w:pos="5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Acknowledgments and 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accepting the RSUs, you acknowledge and agree as follows:</w:t>
      </w:r>
    </w:p>
    <w:p>
      <w:pPr>
        <w:spacing w:after="0" w:line="108" w:lineRule="exact"/>
        <w:rPr>
          <w:sz w:val="20"/>
          <w:szCs w:val="20"/>
          <w:color w:val="auto"/>
        </w:rPr>
      </w:pPr>
    </w:p>
    <w:p>
      <w:pPr>
        <w:jc w:val="both"/>
        <w:ind w:firstLine="656"/>
        <w:spacing w:after="0" w:line="257" w:lineRule="auto"/>
        <w:tabs>
          <w:tab w:leader="none" w:pos="128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period mandated under applicable law shall not be treated as service for the purpose of determining the vesting of the RSUs; and your right to issuance of Shares in settlement of the RSUs after termination of service, if any, will be measured by the date of termination of your active service and will not be extended by any notice period mandated under applicable law. Subject to the foregoing and the provisions of the Plan, FactSet, in its sole discretion, shall determine whether your service has terminated and the effective date of such termination.</w:t>
      </w:r>
    </w:p>
    <w:p>
      <w:pPr>
        <w:spacing w:after="0" w:line="64" w:lineRule="exact"/>
        <w:rPr>
          <w:rFonts w:ascii="Times New Roman" w:cs="Times New Roman" w:eastAsia="Times New Roman" w:hAnsi="Times New Roman"/>
          <w:sz w:val="20"/>
          <w:szCs w:val="20"/>
          <w:color w:val="auto"/>
        </w:rPr>
      </w:pPr>
    </w:p>
    <w:p>
      <w:pPr>
        <w:ind w:firstLine="656"/>
        <w:spacing w:after="0" w:line="283"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FactSet. It is discretionary in nature and it may be modified, amended, suspended or terminated by FactSet at any time, unless otherwise provided in the Plan and this Agreement.</w:t>
      </w:r>
    </w:p>
    <w:p>
      <w:pPr>
        <w:spacing w:after="0" w:line="38" w:lineRule="exact"/>
        <w:rPr>
          <w:rFonts w:ascii="Times New Roman" w:cs="Times New Roman" w:eastAsia="Times New Roman" w:hAnsi="Times New Roman"/>
          <w:sz w:val="20"/>
          <w:szCs w:val="20"/>
          <w:color w:val="auto"/>
        </w:rPr>
      </w:pPr>
    </w:p>
    <w:p>
      <w:pPr>
        <w:ind w:firstLine="656"/>
        <w:spacing w:after="0" w:line="283" w:lineRule="auto"/>
        <w:tabs>
          <w:tab w:leader="none" w:pos="128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RSUs by FactSet is voluntary and occasional and does not create any contractual or other right to receive future grants of RSUs, or benefits in lieu of RSUs, even if RSUs have been granted repeatedly in the past.</w:t>
      </w:r>
    </w:p>
    <w:p>
      <w:pPr>
        <w:spacing w:after="0" w:line="5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RSU grants, if any, will be at the sole discretion of FactSet.</w:t>
      </w:r>
    </w:p>
    <w:p>
      <w:pPr>
        <w:spacing w:after="0" w:line="107" w:lineRule="exact"/>
        <w:rPr>
          <w:rFonts w:ascii="Times New Roman" w:cs="Times New Roman" w:eastAsia="Times New Roman" w:hAnsi="Times New Roman"/>
          <w:sz w:val="20"/>
          <w:szCs w:val="20"/>
          <w:color w:val="auto"/>
        </w:rPr>
      </w:pPr>
    </w:p>
    <w:p>
      <w:pPr>
        <w:ind w:right="20" w:firstLine="656"/>
        <w:spacing w:after="0" w:line="283" w:lineRule="auto"/>
        <w:tabs>
          <w:tab w:leader="none" w:pos="1285"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participation in the Plan shall not create a right to further service with FactSet and shall not interfere with the ability of FactSet to terminate your service at any time, with or without cause, subject to applicable law.</w:t>
      </w:r>
    </w:p>
    <w:p>
      <w:pPr>
        <w:spacing w:after="0" w:line="3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voluntarily participating in the Plan.</w:t>
      </w:r>
    </w:p>
    <w:p>
      <w:pPr>
        <w:spacing w:after="0" w:line="121" w:lineRule="exact"/>
        <w:rPr>
          <w:rFonts w:ascii="Times New Roman" w:cs="Times New Roman" w:eastAsia="Times New Roman" w:hAnsi="Times New Roman"/>
          <w:sz w:val="20"/>
          <w:szCs w:val="20"/>
          <w:color w:val="auto"/>
        </w:rPr>
      </w:pPr>
    </w:p>
    <w:p>
      <w:pPr>
        <w:ind w:right="20" w:firstLine="656"/>
        <w:spacing w:after="0" w:line="269"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are an extraordinary item that does not constitute compensation of any kind for service of any kind rendered to FactSet, and which is outside the scope of your employment contract, if any.</w:t>
      </w:r>
    </w:p>
    <w:p>
      <w:pPr>
        <w:spacing w:after="0" w:line="64"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are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73" w:lineRule="exact"/>
        <w:rPr>
          <w:rFonts w:ascii="Times New Roman" w:cs="Times New Roman" w:eastAsia="Times New Roman" w:hAnsi="Times New Roman"/>
          <w:sz w:val="20"/>
          <w:szCs w:val="20"/>
          <w:color w:val="auto"/>
        </w:rPr>
      </w:pPr>
    </w:p>
    <w:p>
      <w:pPr>
        <w:ind w:firstLine="656"/>
        <w:spacing w:after="0" w:line="269" w:lineRule="auto"/>
        <w:tabs>
          <w:tab w:leader="none" w:pos="129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you are not an employee of FactSet, the RSUs grant will not be interpreted to form an employment contract or relationship with FactSet.</w:t>
      </w:r>
    </w:p>
    <w:p>
      <w:pPr>
        <w:spacing w:after="0" w:line="64" w:lineRule="exact"/>
        <w:rPr>
          <w:rFonts w:ascii="Times New Roman" w:cs="Times New Roman" w:eastAsia="Times New Roman" w:hAnsi="Times New Roman"/>
          <w:sz w:val="20"/>
          <w:szCs w:val="20"/>
          <w:color w:val="auto"/>
        </w:rPr>
      </w:pPr>
    </w:p>
    <w:p>
      <w:pPr>
        <w:ind w:right="20" w:firstLine="656"/>
        <w:spacing w:after="0" w:line="283" w:lineRule="auto"/>
        <w:tabs>
          <w:tab w:leader="none" w:pos="129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and cannot be predicted with certainty. The value of the Shares may increase or decrease.</w:t>
      </w:r>
    </w:p>
    <w:p>
      <w:pPr>
        <w:spacing w:after="0" w:line="38"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arises from termination of the RSUs or diminution in value of the RSUs or Shares and you irrevocably release FactSet from any such claim that may arise. If notwithstanding the foregoing, any such claim in found by a court of competent jurisdiction to have arisen then, by signing this Agreement, you shall be deemed irrevocably to have waived your entitlement to pursue such a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firstLine="656"/>
        <w:spacing w:after="0" w:line="253" w:lineRule="auto"/>
        <w:tabs>
          <w:tab w:leader="none" w:pos="1292"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certain foreign asset and/or account reporting requirements which may affect your ability to acquire or hold Shares or cash received from participating in the Plan in a brokerage or bank account outside your country. You may be required to report such accounts, assets or related transactions to the tax or other authorities in your country. You also may be required to repatriate sale proceeds or other funds received as a result of participating in the Plan to your country within a certain time after receipt. You acknowledge that it is your responsibility to comply with such regulations, and you are advised to speak to your personal advisor on this matter.</w:t>
      </w:r>
    </w:p>
    <w:p>
      <w:pPr>
        <w:spacing w:after="0" w:line="79"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4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Privacy Consent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following provisions shall apply only to Grantees residing outside the U.S., the EU and EEA.</w:t>
      </w:r>
    </w:p>
    <w:p>
      <w:pPr>
        <w:spacing w:after="0" w:line="1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You hereby explicitly and unambiguously consent to the collection, use and transfer, in electronic or other form, of your Data, as defined below, for the exclusive purpose of implementing, administering and managing your participation in the Plan.</w:t>
      </w:r>
    </w:p>
    <w:p>
      <w:pPr>
        <w:spacing w:after="0" w:line="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You understand that FactSet holds certain personal information about you, including, but not limited to, your name, home address and telephone number, date of birth, social insurance number or other identification number, salary, nationality, job title, any Shares or directorships held in FactSet, details of all RSUs or any other entitlement to Shares awarded, canceled, vested, unvested or outstanding in your favor, for the purpose of implementing, administering and managing the Plan (“Data”). You understand that Data may be transferred to any third parties assisting in the implementation, administration and management of the Plan, that these recipients may be located in your country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acquired pursuant to the RSUs.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but will have no other detrimental impact on you whatsoever. For more information on the consequences of your refusal to consent or withdrawal of consent, you understand that you may contact your local human resources representative.</w:t>
      </w:r>
    </w:p>
    <w:p>
      <w:pPr>
        <w:spacing w:after="0" w:line="72" w:lineRule="exact"/>
        <w:rPr>
          <w:sz w:val="20"/>
          <w:szCs w:val="20"/>
          <w:color w:val="auto"/>
        </w:rPr>
      </w:pPr>
    </w:p>
    <w:p>
      <w:pPr>
        <w:ind w:left="560" w:hanging="552"/>
        <w:spacing w:after="0"/>
        <w:tabs>
          <w:tab w:leader="none" w:pos="560" w:val="left"/>
        </w:tabs>
        <w:numPr>
          <w:ilvl w:val="0"/>
          <w:numId w:val="48"/>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Notice for EU/EEA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following provisions shall apply only to Grantees residing in the EU or EEA.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Data Collected and Purposes of Collection</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You understand that FactSet, acting as controller may collect, to the extent permissible under applicable law, certain Data (as defined above). The Data is collected from you and FactSet for the exclusive purpose of implementing, administering and managing the Plan pursuant to the terms of this agreement. The legal basis (that is, the legal justification) for processing the Data is to perform the Agreement. The Data must be provided in order for you to participate in the Plan and for the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Agreement to perform their respective obligations thereunder. If you do not provide your Data, you will not be able to participate in the Plan and become a party to the Agreement.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Transfers and Retention of Data</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You understand that your employer will transfer your Data to FactSet for purposes of plan administration. The Company and your employer may also transfer your Data to other service providers (such as accounting firms, payroll processing firms or tax firms), as may be selected by the Company in the future, to assist the Company with the implementation, administration and management of the Agreement. You understand that the recipients of the Data may be located in the United States, a country that does not benefit from an adequacy decision issued by the European Commission. Where a recipient is located in a country that does not benefit from an adequacy decision, the transfer of the Data to that recipient will be made pursuant to European Commission-approved standard contractual clauses, a copy of which may be obtained from the FactSet Legal Department, 45 Glover Ave. Norwalk, CT, 06850. Such transfer mechanisms may also include transfers made under the EU-U.S. Data Privacy Framework. You understand that Data will be held only as long as is necessary to implement, administer and manage your rights and obligations under the Agreement, and for the duration of the relevant statutes of limitations, which may be longer than the term of the Agreement.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Your Rights in Respect of Data</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Company will take steps in accordance with applicable legislation to keep Data accurate, complete and up-to-date. You are entitled to have any inadequate, incomplete or incorrect Data corrected (that is, rectified). You also have the right to request access to your Data as well as additional information about the processing of that Data. Further, you are entitled to object to the processing of Data or have your Data erased, under certain circumstances. Further, subject to applicable law, and under certain circumstances, you may be entitled to the following rights in regard to your Data: (a) to object to the processing of Data; (b) to have your Data erased, such as where it is no longer necessary in relation to the purposes for which it was processed; (c) to restrict the processing of your Data so that it is stored but not actively processed (e.g., while the Company assesses whether you are entitled to have Data erased); and (d) to port a copy of the Data provided pursuant to the Agreement or generated by you in a common machine-readable format. To exercise your rights, you may contact your local human resources representative. You may also contact the relevant data protection supervisory authority, as you have the right to lodge a complaint.</w:t>
      </w:r>
    </w:p>
    <w:p>
      <w:pPr>
        <w:spacing w:after="0" w:line="73" w:lineRule="exact"/>
        <w:rPr>
          <w:sz w:val="20"/>
          <w:szCs w:val="20"/>
          <w:color w:val="auto"/>
        </w:rPr>
      </w:pPr>
    </w:p>
    <w:p>
      <w:pPr>
        <w:ind w:left="560" w:hanging="552"/>
        <w:spacing w:after="0"/>
        <w:tabs>
          <w:tab w:leader="none" w:pos="5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Country-Specific Terms and Conditions and Notice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any other provision of this Agreement to the contrary, the RSUs shall be subject to the specific terms and conditions, if any, set forth in the Appendix to this Agreement which are applicable to your country of residence, the provisions of which are incorporated in and constitute part of this Agreement. Moreover, if you relocate to one of the countries included in the Appendix, the specific terms and conditions applicable to such country will apply to the RSUs to the extent FactSet determines that the application of such terms and conditions is necessary or advisable in order to comply with applicable law or facilitate the administration of the Plan or this Agreement.</w:t>
      </w:r>
    </w:p>
    <w:p>
      <w:pPr>
        <w:spacing w:after="0" w:line="84" w:lineRule="exact"/>
        <w:rPr>
          <w:sz w:val="20"/>
          <w:szCs w:val="20"/>
          <w:color w:val="auto"/>
        </w:rPr>
      </w:pPr>
    </w:p>
    <w:p>
      <w:pPr>
        <w:ind w:left="560" w:hanging="552"/>
        <w:spacing w:after="0"/>
        <w:tabs>
          <w:tab w:leader="none" w:pos="5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or Recommendations</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FactSet is not providing any tax, legal or financial advice, nor is FactSet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53" w:lineRule="exact"/>
        <w:rPr>
          <w:sz w:val="20"/>
          <w:szCs w:val="20"/>
          <w:color w:val="auto"/>
        </w:rPr>
      </w:pPr>
    </w:p>
    <w:p>
      <w:pPr>
        <w:ind w:left="560" w:hanging="552"/>
        <w:spacing w:after="0"/>
        <w:tabs>
          <w:tab w:leader="none" w:pos="5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Documents and Notices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FactSet may, in its sole discretion, decide to deliver any documents related to current or future participation in the Plan by electronic means. You hereby consent to receive such documents by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delivery and agree to participate in the Plan through an on-line or electronic system established and maintained by FactSet or a third party designated by FactSet. You understand and agree that electronic consent to the Plan documents shall have the same force and effect as executed hardcopies.</w:t>
      </w:r>
    </w:p>
    <w:p>
      <w:pPr>
        <w:spacing w:after="0" w:line="73"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hereby agree that any dispute, claim or controversy arising now or in the future under or relating in any way to this Agreement and/or the Plan (“</w:t>
      </w:r>
      <w:r>
        <w:rPr>
          <w:rFonts w:ascii="Times New Roman" w:cs="Times New Roman" w:eastAsia="Times New Roman" w:hAnsi="Times New Roman"/>
          <w:sz w:val="20"/>
          <w:szCs w:val="20"/>
          <w:b w:val="1"/>
          <w:bCs w:val="1"/>
          <w:i w:val="1"/>
          <w:iCs w:val="1"/>
          <w:color w:val="auto"/>
        </w:rPr>
        <w:t>Claim</w:t>
      </w:r>
      <w:r>
        <w:rPr>
          <w:rFonts w:ascii="Times New Roman" w:cs="Times New Roman" w:eastAsia="Times New Roman" w:hAnsi="Times New Roman"/>
          <w:sz w:val="20"/>
          <w:szCs w:val="20"/>
          <w:color w:val="auto"/>
        </w:rPr>
        <w:t>”), regardless of the nature of the cause(s) of action asserted (including claims for injunctive, declaratory, or equitable relief), shall be resolved by binding arbitration. Arbitration replaces the right to go to court, and you therefore agree to waive any right that you or FactSet might otherwise have had to a jury trial or the opportunity to litigate any claims in court before either a judge or jury. You further agree that you will not be able to bring a class action to litigate any claims in court before either a judge or jury; nor will you be able to participate as a class member in a class action or other representative action to litigate any claims in court before either a judge or jury.</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binding arbitration provision applies to any and all Claims that you have against FactSet and its successors and assigns, and against all of its employees, directors or agents, or, or that FactSet has against you; it also includes any and all Claims regarding the applicability of this arbitration clause or the validity of this Agreement, in whole or in part.</w:t>
      </w:r>
    </w:p>
    <w:p>
      <w:pPr>
        <w:spacing w:after="0" w:line="1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party filing a Claim(s) in arbitration must file its Claim(s) before the American Arbitration Association under the rules of such arbitration administrator in effect at the time the Claim(s) was filed. Rules may be obtained and Claims made may be filed at American Arbitration Association, 335 Madison Avenue, Floor 10, New York, NY 10017-4605, 800-778-7879, www.adr.org. Any arbitration hearing that you attend shall be held at a place chosen by the arbitrator or arbitrator administrator in New York. Judgment upon any arbitration award may be entered in any court having jurisdiction. New York law shall apply, without regard to its conflict of laws principles.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agreement to arbitrate shall survive: (i) termination or changes in the Agreement, and the relationship between you and FactSet concerning the Agreement; and (ii) the bankruptcy of any party or any similar proceeding initiated by you or on your behalf. If any portion of this arbitration provision is deemed invalid or unenforceable, the remaining portions shall nevertheless remain in force.</w:t>
      </w:r>
    </w:p>
    <w:p>
      <w:pPr>
        <w:spacing w:after="0" w:line="100" w:lineRule="exact"/>
        <w:rPr>
          <w:sz w:val="20"/>
          <w:szCs w:val="20"/>
          <w:color w:val="auto"/>
        </w:rPr>
      </w:pPr>
    </w:p>
    <w:p>
      <w:pPr>
        <w:ind w:left="560" w:hanging="552"/>
        <w:spacing w:after="0"/>
        <w:tabs>
          <w:tab w:leader="none" w:pos="5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the Company has received this Agreement, or any other document related to the RSUs and/or the Plan, translated into a language other than English and if the meaning of the translated version is different than the English version, the English version will control. You acknowledge that you are proficient in the English language or have consulted with an advisor who is sufficiently proficient in English and, accordingly, understand the provisions of this Agreement and the Plan.</w:t>
      </w:r>
    </w:p>
    <w:p>
      <w:pPr>
        <w:spacing w:after="0" w:line="120" w:lineRule="exact"/>
        <w:rPr>
          <w:sz w:val="20"/>
          <w:szCs w:val="20"/>
          <w:color w:val="auto"/>
        </w:rPr>
      </w:pPr>
    </w:p>
    <w:p>
      <w:pPr>
        <w:ind w:left="560" w:hanging="552"/>
        <w:spacing w:after="0"/>
        <w:tabs>
          <w:tab w:leader="none" w:pos="5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Participation</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You acknowledge and agree that the Company may, in its sole discretion, deliver all documents relating to the Company, the Plan or these RSUs by email or other means of electronic transmission (including by posting them on a website maintained by the Company or a third party under contract with the Company). You further agree to participate in the Plan through an on-line or electronic system established and maintained by the Company or a third party designated by the Company, and you acknowledge that acceptance of this Agreement via the Company’s online acceptance procedure shall have the same force and effect as if accepted in hard copy form.</w:t>
      </w:r>
    </w:p>
    <w:p>
      <w:pPr>
        <w:spacing w:after="0" w:line="65" w:lineRule="exact"/>
        <w:rPr>
          <w:sz w:val="20"/>
          <w:szCs w:val="20"/>
          <w:color w:val="auto"/>
        </w:rPr>
      </w:pPr>
    </w:p>
    <w:p>
      <w:pPr>
        <w:ind w:left="560" w:hanging="552"/>
        <w:spacing w:after="0"/>
        <w:tabs>
          <w:tab w:leader="none" w:pos="5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one or more provisions of this Agreement are held to be unenforceable under applicable laws, then (a) such provision(s) will be excluded from this Agreement, (b) the balance of this Agreement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interpreted as if such provision were so excluded, and (c) the balance of this Agreement will be enforceable in accordance with its terms.</w:t>
      </w:r>
    </w:p>
    <w:p>
      <w:pPr>
        <w:spacing w:after="0" w:line="121" w:lineRule="exact"/>
        <w:rPr>
          <w:sz w:val="20"/>
          <w:szCs w:val="20"/>
          <w:color w:val="auto"/>
        </w:rPr>
      </w:pPr>
    </w:p>
    <w:p>
      <w:pPr>
        <w:ind w:left="560" w:hanging="552"/>
        <w:spacing w:after="0"/>
        <w:tabs>
          <w:tab w:leader="none" w:pos="5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reserves the right to impose other requirements on your participation in the Plan, on the RSUs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14" w:lineRule="exact"/>
        <w:rPr>
          <w:sz w:val="20"/>
          <w:szCs w:val="20"/>
          <w:color w:val="auto"/>
        </w:rPr>
      </w:pPr>
    </w:p>
    <w:p>
      <w:pPr>
        <w:ind w:left="560" w:hanging="552"/>
        <w:spacing w:after="0"/>
        <w:tabs>
          <w:tab w:leader="none" w:pos="5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Foreign Asset/Account and/or Tax Reporting</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may be certain exchange control, tax, and/or foreign asset/account reporting requirements which may affect your ability to acquire or hold Shares or cash received from participating in the Plan (including the proceeds from the sale of Shares and the receipt of any dividends paid on Shares) in a brokerage or bank account outside of your country. You may be required to report such accounts, assets or related transactions to the tax or other authorities in your country. You may also be required to repatriate sale proceeds or other funds received as a result of participating in the Plan to your country within a certain time after receipt. You acknowledge that it is your responsibility to comply with such regulations, and it is your obligation to speak to a personal advisor on this matter.</w:t>
      </w:r>
    </w:p>
    <w:p>
      <w:pPr>
        <w:spacing w:after="0" w:line="1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You agree, and it is your intent, to sign and submit this document and affirmation by clicking “I accept” below. You understand and agree that by electronically signing and submitting this document in this fashion, you are accepting the RSUs subject to all of its terms and conditions and are affirming to the truth of the information contained herein.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FACTSET RESEARCH SYSTEMS INC.</w:t>
      </w:r>
    </w:p>
    <w:p>
      <w:pPr>
        <w:spacing w:after="0" w:line="2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by:</w:t>
      </w:r>
    </w:p>
    <w:p>
      <w:pPr>
        <w:spacing w:after="0" w:line="234"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Date: [Month, Date, Year]</w:t>
      </w:r>
      <w:r>
        <w:rPr>
          <w:sz w:val="20"/>
          <w:szCs w:val="20"/>
          <w:color w:val="auto"/>
        </w:rPr>
        <w:tab/>
      </w:r>
      <w:r>
        <w:rPr>
          <w:rFonts w:ascii="Times New Roman" w:cs="Times New Roman" w:eastAsia="Times New Roman" w:hAnsi="Times New Roman"/>
          <w:sz w:val="19"/>
          <w:szCs w:val="19"/>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1385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138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u w:val="single" w:color="auto"/>
          <w:color w:val="auto"/>
        </w:rPr>
        <w:t>FACTSET RESEARCH SYSTEMS INC.</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u w:val="single" w:color="auto"/>
          <w:color w:val="auto"/>
        </w:rPr>
        <w:t>NOTICE OF STOCK OPTION AWARD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AND STOCK OPTION AWARD AGREEMENT</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You have been granted an award of Non-Qualified Stock Options (the “</w:t>
      </w:r>
      <w:r>
        <w:rPr>
          <w:rFonts w:ascii="Times New Roman" w:cs="Times New Roman" w:eastAsia="Times New Roman" w:hAnsi="Times New Roman"/>
          <w:sz w:val="20"/>
          <w:szCs w:val="20"/>
          <w:b w:val="1"/>
          <w:bCs w:val="1"/>
          <w:i w:val="1"/>
          <w:iCs w:val="1"/>
          <w:color w:val="auto"/>
        </w:rPr>
        <w:t>Options</w:t>
      </w:r>
      <w:r>
        <w:rPr>
          <w:rFonts w:ascii="Times New Roman" w:cs="Times New Roman" w:eastAsia="Times New Roman" w:hAnsi="Times New Roman"/>
          <w:sz w:val="20"/>
          <w:szCs w:val="20"/>
          <w:color w:val="auto"/>
        </w:rPr>
        <w:t>”) for the number of Shares of FactSet Research Systems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listed below, pursuant to the FactSet Research Systems Inc. 2025 Omnibus Incentive Plan, as may be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subject to the terms of this stock option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Plan. Capitalized terms used herein without definition shall have the meanings ascribed to such terms in the Plan.</w:t>
      </w:r>
    </w:p>
    <w:p>
      <w:pPr>
        <w:spacing w:after="0" w:line="205"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20"/>
          <w:szCs w:val="20"/>
          <w:b w:val="1"/>
          <w:bCs w:val="1"/>
          <w:color w:val="auto"/>
        </w:rPr>
        <w:t>Exercise Price Per Option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US$ as detailed on the Grant Acceptance Election page.</w:t>
      </w:r>
    </w:p>
    <w:p>
      <w:pPr>
        <w:spacing w:after="0" w:line="2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Grant Date:</w:t>
      </w:r>
      <w:r>
        <w:rPr>
          <w:sz w:val="20"/>
          <w:szCs w:val="20"/>
          <w:color w:val="auto"/>
        </w:rPr>
        <w:tab/>
      </w:r>
      <w:r>
        <w:rPr>
          <w:rFonts w:ascii="Times New Roman" w:cs="Times New Roman" w:eastAsia="Times New Roman" w:hAnsi="Times New Roman"/>
          <w:sz w:val="19"/>
          <w:szCs w:val="19"/>
          <w:color w:val="auto"/>
        </w:rPr>
        <w:t>As detailed on the Grant Acceptance Election page.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Number of Options Granted: </w:t>
      </w:r>
      <w:r>
        <w:rPr>
          <w:rFonts w:ascii="Times New Roman" w:cs="Times New Roman" w:eastAsia="Times New Roman" w:hAnsi="Times New Roman"/>
          <w:sz w:val="20"/>
          <w:szCs w:val="20"/>
          <w:color w:val="auto"/>
        </w:rPr>
        <w:t>The number of Options that are granted is stated on the Grant Acceptance Election page</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jc w:val="both"/>
        <w:ind w:left="2600" w:hanging="2591"/>
        <w:spacing w:after="0" w:line="266" w:lineRule="auto"/>
        <w:rPr>
          <w:sz w:val="20"/>
          <w:szCs w:val="20"/>
          <w:color w:val="auto"/>
        </w:rPr>
      </w:pPr>
      <w:r>
        <w:rPr>
          <w:rFonts w:ascii="Times New Roman" w:cs="Times New Roman" w:eastAsia="Times New Roman" w:hAnsi="Times New Roman"/>
          <w:sz w:val="20"/>
          <w:szCs w:val="20"/>
          <w:b w:val="1"/>
          <w:bCs w:val="1"/>
          <w:color w:val="auto"/>
        </w:rPr>
        <w:t xml:space="preserve">Option Expiration Date: </w:t>
      </w:r>
      <w:r>
        <w:rPr>
          <w:rFonts w:ascii="Times New Roman" w:cs="Times New Roman" w:eastAsia="Times New Roman" w:hAnsi="Times New Roman"/>
          <w:sz w:val="20"/>
          <w:szCs w:val="20"/>
          <w:color w:val="auto"/>
        </w:rPr>
        <w:t>As detailed on the Grant Acceptance Election page, subject to earlier expiration or cancellation as provided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or the Plan (the “</w:t>
      </w:r>
      <w:r>
        <w:rPr>
          <w:rFonts w:ascii="Times New Roman" w:cs="Times New Roman" w:eastAsia="Times New Roman" w:hAnsi="Times New Roman"/>
          <w:sz w:val="21"/>
          <w:szCs w:val="21"/>
          <w:b w:val="1"/>
          <w:bCs w:val="1"/>
          <w:i w:val="1"/>
          <w:iCs w:val="1"/>
          <w:color w:val="auto"/>
        </w:rPr>
        <w:t>Expiration Date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2600" w:hanging="2591"/>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The Options shall become vested and exercisable in accordance with the schedule as detailed on the Grant Acceptance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Election page and shall remain exercisable until the Expiration Date or cancellation as provided in this Agreement or the Plan.</w:t>
      </w:r>
    </w:p>
    <w:p>
      <w:pPr>
        <w:spacing w:after="0" w:line="19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Shares are rounded down to the next whole Share at each interim vesting date and rounded up on the last vesting date shown on the Grant Acceptance Election page.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Terms Relating to Options:</w:t>
      </w:r>
    </w:p>
    <w:p>
      <w:pPr>
        <w:spacing w:after="0" w:line="368" w:lineRule="exact"/>
        <w:rPr>
          <w:sz w:val="20"/>
          <w:szCs w:val="20"/>
          <w:color w:val="auto"/>
        </w:rPr>
      </w:pPr>
    </w:p>
    <w:p>
      <w:pPr>
        <w:ind w:left="580" w:hanging="572"/>
        <w:spacing w:after="0"/>
        <w:tabs>
          <w:tab w:leader="none" w:pos="5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Provisions Apply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award of Options shall be subject to all of the terms and conditions of the Plan.</w:t>
      </w:r>
    </w:p>
    <w:p>
      <w:pPr>
        <w:spacing w:after="0" w:line="121" w:lineRule="exact"/>
        <w:rPr>
          <w:sz w:val="20"/>
          <w:szCs w:val="20"/>
          <w:color w:val="auto"/>
        </w:rPr>
      </w:pPr>
    </w:p>
    <w:p>
      <w:pPr>
        <w:ind w:left="580" w:hanging="572"/>
        <w:spacing w:after="0"/>
        <w:tabs>
          <w:tab w:leader="none" w:pos="5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Except as otherwise provided in Section 4 below, in the event of your Termination of Service for any reason, any Options not vested on such date shall be cancelled and forfeited for no consideration; provided, however, that the Committee may, in its sole discretion, provide for continued vesting or acceleration of all or a portion of the Options in accordance with the terms of the Plan.</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the event of your Termination of Service for reasons by the Company other than for Cause, any Option that is vested and exercisable as of the date of such Termination of Service shall remain exercisable until the earlier of (i) the date that is ninety (90) days following such Termination of Service and (ii) the Expiration Date.</w:t>
      </w:r>
    </w:p>
    <w:p>
      <w:pPr>
        <w:spacing w:after="0" w:line="7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Notwithstanding the foregoing, in the event of your Termination of Service due to death, any Option that is outstanding and unvested and was granted to you at least one year prior to the date of such Termination of Service shall become fully vested and exercisable as of the date of such Termination of Service. Any Option that is vested and exercisable as of the date of your Termination of Service due to death (including</w:t>
      </w:r>
    </w:p>
    <w:p>
      <w:pPr>
        <w:sectPr>
          <w:pgSz w:w="11900" w:h="16838" w:orient="portrait"/>
          <w:cols w:equalWidth="0" w:num="1">
            <w:col w:w="11240"/>
          </w:cols>
          <w:pgMar w:left="320" w:top="114" w:right="339" w:bottom="1440" w:gutter="0" w:footer="0" w:header="0"/>
        </w:sectPr>
      </w:pPr>
    </w:p>
    <w:bookmarkStart w:id="66" w:name="page67"/>
    <w:bookmarkEnd w:id="66"/>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Option that becomes vested and exercisable upon such Termination of Service pursuant to this Section 2) shall remain exercisable until the earlier of (i) the date that is one (1) year following such Termination of Service and (ii) the Expiration Date. Notwithstanding the foregoing, in the event of your death following your Termination of Service by the Company other than for Cause, any Option that is vested and exercisable as of the date of your death pursuant to this Section 2 shall remain exercisable until the earlier of (i) the date that is one hundred and eighty (180) days following the date of your death and (ii) the Expiration Date.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Notwithstanding the foregoing, in the event of your Termination of Service due to Disability, any Option that is vested and exercisable as of the date of your Termination of Service due to Disability shall remain exercisable until the earlier of (i) the date that is ninety (90) days following such Termination of Service and (ii) the Expiration Date.</w:t>
      </w:r>
    </w:p>
    <w:p>
      <w:pPr>
        <w:spacing w:after="0" w:line="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For the avoidance of doubt, in the event of your Termination of Service for Cause, or if you breach your obligations under Section 5 or 6 of this Agreement, all of your Options then outstanding, whether vested or unvested, shall be cancelled and forfeited for no consideration.</w:t>
      </w:r>
    </w:p>
    <w:p>
      <w:pPr>
        <w:spacing w:after="0" w:line="78" w:lineRule="exact"/>
        <w:rPr>
          <w:sz w:val="20"/>
          <w:szCs w:val="20"/>
          <w:color w:val="auto"/>
        </w:rPr>
      </w:pPr>
    </w:p>
    <w:p>
      <w:pPr>
        <w:ind w:left="580" w:hanging="572"/>
        <w:spacing w:after="0"/>
        <w:tabs>
          <w:tab w:leader="none" w:pos="5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Company Policies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By signing and returning this Agreement, you acknowledge having received and read a copy of the Plan, which is incorporated by reference herein, and agree to comply with it. You also acknowledge and agree that you will comply with the Company’s insider trading policy and holding period policy, as applicable.</w:t>
      </w:r>
    </w:p>
    <w:p>
      <w:pPr>
        <w:spacing w:after="0" w:line="87" w:lineRule="exact"/>
        <w:rPr>
          <w:sz w:val="20"/>
          <w:szCs w:val="20"/>
          <w:color w:val="auto"/>
        </w:rPr>
      </w:pPr>
    </w:p>
    <w:p>
      <w:pPr>
        <w:ind w:left="580" w:hanging="572"/>
        <w:spacing w:after="0"/>
        <w:tabs>
          <w:tab w:leader="none" w:pos="5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p>
    <w:p>
      <w:pPr>
        <w:spacing w:after="0" w:line="1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If, in connection with a Change in Control, the successor or surviving entity or its parent will not assume or continue the Options or substitute for or replace the Options, in each case, with equity securities of successor or surviving entity or its parent, with substantially the same terms and equivalent value as the Options, which are or promptly will be registered under the Securities Act of 1933, as amended, and tradable on an established United States securities exchange, then the vesting and exercisability of all outstanding unvested Options will accelerate in full as of immediately before and contingent upon the occurrence of the Change in Control.</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If, in connection with a Change in Control, the successor or surviving entity or its parent has so assumed, continued, substituted for or replaced the Options, but your employment is terminated without Cause or if you resign for Good Reason during the twenty-four (24) months following the Change in Control, then the vesting and exercisability of all unvested Options will accelerate in full as of the date of your Termination of Service, and any Options that are outstanding as of the date of your Termination of Service shall remain exercisable until the earlier of (i) the date that is one (1) year following your termination of employment and (ii) the Expiration Date.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shall have the meaning set forth in your Service Agreement, if any, or, in the absence of any such agreement or any such definition in such agreement, such term shall mean: (i) a material reduction in your base salary or target annual bonus opportunity; (ii) a relocation of your primary location of employment to more than 50 miles from your current primary location of employment; or (iii) a breach by the Company or its Subsidiaries of any material written agreement between you and the Company and its Subsidiaries; provided, that “Good Reason” shall not exist unless</w:t>
      </w:r>
    </w:p>
    <w:p>
      <w:pPr>
        <w:spacing w:after="0" w:line="7" w:lineRule="exact"/>
        <w:rPr>
          <w:sz w:val="20"/>
          <w:szCs w:val="20"/>
          <w:color w:val="auto"/>
        </w:rPr>
      </w:pPr>
    </w:p>
    <w:p>
      <w:pPr>
        <w:jc w:val="both"/>
        <w:ind w:firstLine="8"/>
        <w:spacing w:after="0" w:line="248" w:lineRule="auto"/>
        <w:tabs>
          <w:tab w:leader="none" w:pos="3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provide the Company with written notice no later than 30 days after the occurrence of the event purported to the basis for Good Reason, setting forth in reasonable detail your basis for a claim of Good Reason, (B) the Company fails to cure such event within 60 days after receipt of such notice, and (C) you resign from employment and all other positions with the Company and its Subsidiaries no later than 30 days after the end of the notice period in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7" w:name="page68"/>
    <w:bookmarkEnd w:id="67"/>
    <w:p>
      <w:pPr>
        <w:spacing w:after="0" w:line="95" w:lineRule="exact"/>
        <w:rPr>
          <w:sz w:val="20"/>
          <w:szCs w:val="20"/>
          <w:color w:val="auto"/>
        </w:rPr>
      </w:pPr>
    </w:p>
    <w:p>
      <w:pPr>
        <w:ind w:left="580" w:hanging="572"/>
        <w:spacing w:after="0"/>
        <w:tabs>
          <w:tab w:leader="none" w:pos="5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Proprietary Information</w:t>
      </w:r>
    </w:p>
    <w:p>
      <w:pPr>
        <w:spacing w:after="0" w:line="10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 addition, in consideration for this Option grant, you further agree as follows with respect to the confidentiality of Proprietary Information (as defined below):</w:t>
      </w:r>
    </w:p>
    <w:p>
      <w:pPr>
        <w:spacing w:after="0" w:line="187" w:lineRule="exact"/>
        <w:rPr>
          <w:sz w:val="20"/>
          <w:szCs w:val="20"/>
          <w:color w:val="auto"/>
        </w:rPr>
      </w:pPr>
    </w:p>
    <w:p>
      <w:pPr>
        <w:jc w:val="both"/>
        <w:ind w:firstLine="656"/>
        <w:spacing w:after="0" w:line="254" w:lineRule="auto"/>
        <w:tabs>
          <w:tab w:leader="none" w:pos="1061"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acknowledge that the Company and its Affiliates possess and will continue to develop and acquire valuable Proprietary Information, of which you may become aware during the course of your employment with the Company and its Affiliates or its Subsidiaries (collectively, “</w:t>
      </w:r>
      <w:r>
        <w:rPr>
          <w:rFonts w:ascii="Times New Roman" w:cs="Times New Roman" w:eastAsia="Times New Roman" w:hAnsi="Times New Roman"/>
          <w:sz w:val="20"/>
          <w:szCs w:val="20"/>
          <w:b w:val="1"/>
          <w:bCs w:val="1"/>
          <w:i w:val="1"/>
          <w:iCs w:val="1"/>
          <w:color w:val="auto"/>
        </w:rPr>
        <w:t>FactSet</w:t>
      </w:r>
      <w:r>
        <w:rPr>
          <w:rFonts w:ascii="Times New Roman" w:cs="Times New Roman" w:eastAsia="Times New Roman" w:hAnsi="Times New Roman"/>
          <w:sz w:val="20"/>
          <w:szCs w:val="20"/>
          <w:color w:val="auto"/>
        </w:rPr>
        <w:t>”), that the value of that Proprietary Information depends on it remaining confidential, and that FactSet depends on you to honor the terms of this Agreement.</w:t>
      </w:r>
    </w:p>
    <w:p>
      <w:pPr>
        <w:spacing w:after="0" w:line="210" w:lineRule="exact"/>
        <w:rPr>
          <w:rFonts w:ascii="Times New Roman" w:cs="Times New Roman" w:eastAsia="Times New Roman" w:hAnsi="Times New Roman"/>
          <w:sz w:val="20"/>
          <w:szCs w:val="20"/>
          <w:color w:val="auto"/>
        </w:rPr>
      </w:pPr>
    </w:p>
    <w:p>
      <w:pPr>
        <w:jc w:val="both"/>
        <w:ind w:firstLine="656"/>
        <w:spacing w:after="0" w:line="255" w:lineRule="auto"/>
        <w:tabs>
          <w:tab w:leader="none" w:pos="105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Agreement, “</w:t>
      </w:r>
      <w:r>
        <w:rPr>
          <w:rFonts w:ascii="Times New Roman" w:cs="Times New Roman" w:eastAsia="Times New Roman" w:hAnsi="Times New Roman"/>
          <w:sz w:val="20"/>
          <w:szCs w:val="20"/>
          <w:b w:val="1"/>
          <w:bCs w:val="1"/>
          <w:i w:val="1"/>
          <w:iCs w:val="1"/>
          <w:color w:val="auto"/>
        </w:rPr>
        <w:t>Proprietary Information</w:t>
      </w:r>
      <w:r>
        <w:rPr>
          <w:rFonts w:ascii="Times New Roman" w:cs="Times New Roman" w:eastAsia="Times New Roman" w:hAnsi="Times New Roman"/>
          <w:sz w:val="20"/>
          <w:szCs w:val="20"/>
          <w:color w:val="auto"/>
        </w:rPr>
        <w:t>” means any business information not generally known to others in the industry and held in confidence by FactSet, that derives independent economic value, actual or potential, from not being generally known to other persons who can obtain economic value from its disclosure or use. Proprietary Information may include, but is not limited to</w:t>
      </w:r>
    </w:p>
    <w:p>
      <w:pPr>
        <w:spacing w:after="0" w:line="1" w:lineRule="exact"/>
        <w:rPr>
          <w:rFonts w:ascii="Times New Roman" w:cs="Times New Roman" w:eastAsia="Times New Roman" w:hAnsi="Times New Roman"/>
          <w:sz w:val="20"/>
          <w:szCs w:val="20"/>
          <w:color w:val="auto"/>
        </w:rPr>
      </w:pPr>
    </w:p>
    <w:p>
      <w:pPr>
        <w:jc w:val="both"/>
        <w:ind w:firstLine="8"/>
        <w:spacing w:after="0" w:line="248" w:lineRule="auto"/>
        <w:tabs>
          <w:tab w:leader="none" w:pos="31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received from or relating to customers, suppliers, joint ventures, licensors, licensees, distributors and other persons and entities with whom FactSet does business; (2) trade secrets, financial information, business plans, methods, and strategies, lists of customers, suppliers or employees, strategies for servicing and attracting customers, cost information and pricing strategies about FactSet products, contracts and cooperative relationships and information about the compensation, evaluations and career paths of employees; and (3) any formula, algorithm, computer program, pattern, compilation, drawing, device, method, technique or process developed by or made known as a result of employment with FactSet. Proprietary Information does not include any information of which you had knowledge prior to your employment with FactSet, or information generally known or available in the financial services industry.</w:t>
      </w:r>
    </w:p>
    <w:p>
      <w:pPr>
        <w:spacing w:after="0" w:line="224" w:lineRule="exact"/>
        <w:rPr>
          <w:rFonts w:ascii="Times New Roman" w:cs="Times New Roman" w:eastAsia="Times New Roman" w:hAnsi="Times New Roman"/>
          <w:sz w:val="20"/>
          <w:szCs w:val="20"/>
          <w:color w:val="auto"/>
        </w:rPr>
      </w:pPr>
    </w:p>
    <w:p>
      <w:pPr>
        <w:jc w:val="both"/>
        <w:ind w:firstLine="656"/>
        <w:spacing w:after="0" w:line="258" w:lineRule="auto"/>
        <w:tabs>
          <w:tab w:leader="none" w:pos="99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use or disclose, either during your employment with FactSet or after termination of your employment with FactSet, any Proprietary Information, except for the exclusive benefit of FactSet and as required by your duties for FactSet, or as FactSet expressly may consent to in writing. You will use your best efforts to prevent the unauthorized disclosure, use, or reproduction of all Proprietary Information and will follow FactSet policies with regard to maintaining such confidentiality.</w:t>
      </w:r>
    </w:p>
    <w:p>
      <w:pPr>
        <w:spacing w:after="0" w:line="199"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00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termination of your employment with FactSet for any reason, you immediately will deliver to FactSet all tangible, written, graphical, machine readable and other materials (including all copies) in your possession or under your control containing or disclosing Proprietary Information and will delete all such material from the hard drives of any computers you may own or control.</w:t>
      </w:r>
    </w:p>
    <w:p>
      <w:pPr>
        <w:spacing w:after="0" w:line="73" w:lineRule="exact"/>
        <w:rPr>
          <w:rFonts w:ascii="Times New Roman" w:cs="Times New Roman" w:eastAsia="Times New Roman" w:hAnsi="Times New Roman"/>
          <w:sz w:val="20"/>
          <w:szCs w:val="20"/>
          <w:color w:val="auto"/>
        </w:rPr>
      </w:pPr>
    </w:p>
    <w:p>
      <w:pPr>
        <w:jc w:val="both"/>
        <w:ind w:firstLine="656"/>
        <w:spacing w:after="0" w:line="250" w:lineRule="auto"/>
        <w:tabs>
          <w:tab w:leader="none" w:pos="111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understand that nothing in this Agreement is intended to or shall prevent you from (i) communicating directly with, cooperating with, or providing information to, any federal, state or local government regulator, including, but not limited to, the U.S. Securities and Exchange Commission, the U.S. Commodity Futures Trading Commission, the U.S. Department of Justice, the U.S. National Labor Relations Act, or the U.S. Equal Employment Opportunities Commission, (ii) providing truthful statements in response to legal process, required governmental testimony or filings or administrative or arbitral proceedings (including depositions in connection with such proceedings), or (iii) discussing or disclosing information about unlawful acts in the workplace, such as harassment or discrimination or any other conduct that you reasonably believe to be unlawful. You acknowledge that the FactSet has provided you notice of your immunity rights under the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20"/>
          <w:szCs w:val="20"/>
          <w:color w:val="auto"/>
        </w:rPr>
        <w:t>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spacing w:after="0" w:line="64" w:lineRule="exact"/>
        <w:rPr>
          <w:sz w:val="20"/>
          <w:szCs w:val="20"/>
          <w:color w:val="auto"/>
        </w:rPr>
      </w:pPr>
    </w:p>
    <w:p>
      <w:pPr>
        <w:ind w:left="1060" w:hanging="1052"/>
        <w:spacing w:after="0"/>
        <w:tabs>
          <w:tab w:leader="none" w:pos="10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 and Non-Solicitation</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As a condition to, and in consideration of, the grant of this Award, you agree to be bound by the covenants, restrictions and other obligations set forth in this Section 6. These restrictive covenants are in addition to, and not in lieu of, any similar covenant or restriction that you may otherwise be bound.</w:t>
      </w:r>
    </w:p>
    <w:p>
      <w:pPr>
        <w:spacing w:after="0" w:line="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During the period of your employment and for two years thereafter, you shall not, directly or indirectly, (a) own, manage, operate, join or control, be employed by or participate in the ownership, management, operation or control of, or be a consultant to or connected in any other manner with, any business, firm or corporation which is similar to or competes with a principal business of FactSet (a “</w:t>
      </w:r>
      <w:r>
        <w:rPr>
          <w:rFonts w:ascii="Times New Roman" w:cs="Times New Roman" w:eastAsia="Times New Roman" w:hAnsi="Times New Roman"/>
          <w:sz w:val="20"/>
          <w:szCs w:val="20"/>
          <w:b w:val="1"/>
          <w:bCs w:val="1"/>
          <w:i w:val="1"/>
          <w:iCs w:val="1"/>
          <w:color w:val="auto"/>
        </w:rPr>
        <w:t>Competitive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Activity</w:t>
      </w:r>
      <w:r>
        <w:rPr>
          <w:rFonts w:ascii="Times New Roman" w:cs="Times New Roman" w:eastAsia="Times New Roman" w:hAnsi="Times New Roman"/>
          <w:sz w:val="20"/>
          <w:szCs w:val="20"/>
          <w:color w:val="auto"/>
        </w:rPr>
        <w:t>”) or (b) for you or any person or business entity, induce or attempt to induce any employee of FactSet to terminate employment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FactSet or solicit, entice, take away or employ any person employed by FactSet (“</w:t>
      </w:r>
      <w:r>
        <w:rPr>
          <w:rFonts w:ascii="Times New Roman" w:cs="Times New Roman" w:eastAsia="Times New Roman" w:hAnsi="Times New Roman"/>
          <w:sz w:val="20"/>
          <w:szCs w:val="20"/>
          <w:b w:val="1"/>
          <w:bCs w:val="1"/>
          <w:i w:val="1"/>
          <w:iCs w:val="1"/>
          <w:color w:val="auto"/>
        </w:rPr>
        <w:t>Solicitation</w:t>
      </w:r>
      <w:r>
        <w:rPr>
          <w:rFonts w:ascii="Times New Roman" w:cs="Times New Roman" w:eastAsia="Times New Roman" w:hAnsi="Times New Roman"/>
          <w:sz w:val="20"/>
          <w:szCs w:val="20"/>
          <w:color w:val="auto"/>
        </w:rPr>
        <w:t>”). For these purposes, your ownership of securities of a public company not in excess of one percent of any class of such securities shall not be considered to be competition with FactSet.</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you engage in a Competitive Activity or Solicitation, as determined by the Committee in good faith, (i) all Options (vested and unvested) then outstanding and held by you shall be cancelled and forfeited as of the date that you first engaged in such Competitive Activity or Solicitation, (ii) the Company shall have the right to acquire any Shares then owned by you as the result of the exercise of the Options for no consideration, and (iii) the Company shall have the right to require you to return to the Company any other gain, whether or not realized, on a gross basis, that you had upon the sale of any Shares obtained pursuant to the exercise of the Options.</w:t>
      </w:r>
    </w:p>
    <w:p>
      <w:pPr>
        <w:spacing w:after="0" w:line="84" w:lineRule="exact"/>
        <w:rPr>
          <w:sz w:val="20"/>
          <w:szCs w:val="20"/>
          <w:color w:val="auto"/>
        </w:rPr>
      </w:pPr>
    </w:p>
    <w:p>
      <w:pPr>
        <w:ind w:left="1060" w:hanging="1052"/>
        <w:spacing w:after="0"/>
        <w:tabs>
          <w:tab w:leader="none" w:pos="10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p>
    <w:p>
      <w:pPr>
        <w:spacing w:after="0" w:line="10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No provisions of this Agreement may be amended or modified unless such amendment or modification is agreed to in writing signed by you and an officer of the Company with the authority to bind the Company.</w:t>
      </w:r>
    </w:p>
    <w:p>
      <w:pPr>
        <w:spacing w:after="0" w:line="65" w:lineRule="exact"/>
        <w:rPr>
          <w:sz w:val="20"/>
          <w:szCs w:val="20"/>
          <w:color w:val="auto"/>
        </w:rPr>
      </w:pPr>
    </w:p>
    <w:p>
      <w:pPr>
        <w:ind w:left="340" w:hanging="332"/>
        <w:spacing w:after="0"/>
        <w:tabs>
          <w:tab w:leader="none" w:pos="3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Responsibility</w:t>
      </w:r>
    </w:p>
    <w:p>
      <w:pPr>
        <w:spacing w:after="0" w:line="107" w:lineRule="exact"/>
        <w:rPr>
          <w:rFonts w:ascii="Times New Roman" w:cs="Times New Roman" w:eastAsia="Times New Roman" w:hAnsi="Times New Roman"/>
          <w:sz w:val="20"/>
          <w:szCs w:val="20"/>
          <w:color w:val="auto"/>
        </w:rPr>
      </w:pPr>
    </w:p>
    <w:p>
      <w:pPr>
        <w:jc w:val="both"/>
        <w:ind w:firstLine="648"/>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You acknowledge that, regardless of any action taken by the Company or your employer or any Subsidiary or Affiliate of the Company to which you provide service (the “</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the ultimate liability for all income tax (including U.S. federal, state, and local taxes and/or non-U.S. taxes), social insurance, payroll tax, fringe benefits tax, payment on account or other tax-related items related to your participation in the Plan and legally applicable to you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is and remains your responsibility and may exceed the amount actually withheld (if any) by the Company or the Employer. You acknowledge that the Company is not making representations or undertakings regarding the treatment of any Tax-Related Items in connection with any aspect of the Options, including, but not limited to, the grant, vesting or exercise of the Options, the subsequent sale of Shares acquired pursuant to such exercise and the receipt of any dividends. Further, you acknowledge that the Company does not have any duty or obligation to minimize your liability for Tax-Related Items arising from the Options or to achieve any particular tax result and will not be liable to you for any Tax-Related Items arising in connection with the Options. If you become subject to taxation in more than one jurisdiction,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3" w:right="339" w:bottom="1440" w:gutter="0" w:footer="0" w:header="0"/>
        </w:sectPr>
      </w:pPr>
    </w:p>
    <w:bookmarkStart w:id="69" w:name="page70"/>
    <w:bookmarkEnd w:id="69"/>
    <w:p>
      <w:pPr>
        <w:spacing w:after="0" w:line="81" w:lineRule="exact"/>
        <w:rPr>
          <w:sz w:val="20"/>
          <w:szCs w:val="20"/>
          <w:color w:val="auto"/>
        </w:rPr>
      </w:pPr>
    </w:p>
    <w:p>
      <w:pPr>
        <w:jc w:val="both"/>
        <w:ind w:firstLine="656"/>
        <w:spacing w:after="0" w:line="251" w:lineRule="auto"/>
        <w:tabs>
          <w:tab w:leader="none" w:pos="129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relevant taxable or tax withholding event, as applicable, you agree to make adequate arrangements satisfactory to the Company and/or the Employer to satisfy all Tax-Related Items. In this regard, you authorize the Company and the Employer, or their respective agents, at their discretion, to satisfy any applicable withholding obligations with regard to all Tax-Related Items, if any, by any of the following means or by a combination of such means: (1) withholding from any compensation otherwise payable to you by the Company or the Employer; (2) causing you to tender a cash payment; (3) withholding from proceeds of the sale of Shares acquired upon exercise of the Options either through a voluntary sale or through a mandatory sale arranged by the Company (on your behalf pursuant to this authorization without further consent); (4) withholding a number of Shares otherwise issuable to you upon exercise of the Options; or (5) any other method of withholding determined by the Company and, to the extent required by applicable law, approved by the Committee.</w:t>
      </w:r>
    </w:p>
    <w:p>
      <w:pPr>
        <w:spacing w:after="0" w:line="87"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5"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or other withholding rates, including minimum or maximum rates applicable in your jurisdiction(s). In the event of over-withholding, you may receive a refund of any over-withheld amount in cash (with no entitlement to the equivalent in Shares), or if not refunded, you may seek a refund from the local tax authorities to the extent you wish to recover any over-withheld amounts in the form of a refund. In the event of under-withholding, you may be required to pay any additional Tax-Related Items directly to the applicable tax authority or to the Company and/or the Employer. If the obligation for Tax-Related Items is satisfied by withholding a number of Shares, for tax purposes, you will be deemed to have been issued the full number of Shares subject to the exercised Options, notwithstanding that a number of the Shares is held back solely for the purpose of paying the Tax-Related Items. The Company may refuse to issue or deliver Shares, or the proceeds of the sale of Shares, if you fail to comply with your obligations in connection with the Tax-Related Items.</w:t>
      </w:r>
    </w:p>
    <w:p>
      <w:pPr>
        <w:spacing w:after="0" w:line="6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Company Policies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acknowledge and agree that this Agreement and the Options granted hereunder shall be subject to the Company’s Incentive Compensation Recoupment Policy or any other compensation recoupment policy adopted by the Company from time to time or as otherwise required by the listing standards of any national securities exchange or association on which the Company’s securities are listed or by applicable law (the “</w:t>
      </w:r>
      <w:r>
        <w:rPr>
          <w:rFonts w:ascii="Times New Roman" w:cs="Times New Roman" w:eastAsia="Times New Roman" w:hAnsi="Times New Roman"/>
          <w:sz w:val="20"/>
          <w:szCs w:val="20"/>
          <w:b w:val="1"/>
          <w:bCs w:val="1"/>
          <w:i w:val="1"/>
          <w:iCs w:val="1"/>
          <w:color w:val="auto"/>
        </w:rPr>
        <w:t>Clawback Policies</w:t>
      </w:r>
      <w:r>
        <w:rPr>
          <w:rFonts w:ascii="Times New Roman" w:cs="Times New Roman" w:eastAsia="Times New Roman" w:hAnsi="Times New Roman"/>
          <w:sz w:val="20"/>
          <w:szCs w:val="20"/>
          <w:color w:val="auto"/>
        </w:rPr>
        <w:t>”). All vested and unvested Options and Shares or other amounts paid or payable to you under or in respect of the Options shall, if applicable, be subject to reduction, cancellation, recovery, recoupment, forfeiture or other action pursuant to and as, and to the extent, required by or determined under the Clawback Policies.</w:t>
      </w:r>
    </w:p>
    <w:p>
      <w:pPr>
        <w:spacing w:after="0" w:line="71"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Acknowledgments and 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accepting the Options, you acknowledge and agree as follows:</w:t>
      </w:r>
    </w:p>
    <w:p>
      <w:pPr>
        <w:spacing w:after="0" w:line="108" w:lineRule="exact"/>
        <w:rPr>
          <w:sz w:val="20"/>
          <w:szCs w:val="20"/>
          <w:color w:val="auto"/>
        </w:rPr>
      </w:pPr>
    </w:p>
    <w:p>
      <w:pPr>
        <w:jc w:val="both"/>
        <w:ind w:left="980" w:hanging="648"/>
        <w:spacing w:after="0" w:line="253" w:lineRule="auto"/>
        <w:tabs>
          <w:tab w:leader="none" w:pos="97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period mandated under applicable law shall not be treated as service for the purpose of determining the vesting of the Option; and your right to issuance of Shares in settlement of the Option after termination of service, if any (and regardless of the reason for such termination and whether or not later found to be invalid or in breach of employment laws in the jurisdiction where you are employed or the terms of your employment agreement, if any), will be measured by the date of termination of your active service and will not be extended by any notice period mandated under applicable law. Subject to the foregoing and the provisions of the Plan, the Company, in its sole discretion, shall determine whether your service has terminated (including whether you may still be considered to be providing services while on a leave of absence) and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81" w:lineRule="exact"/>
        <w:rPr>
          <w:sz w:val="20"/>
          <w:szCs w:val="20"/>
          <w:color w:val="auto"/>
        </w:rPr>
      </w:pPr>
    </w:p>
    <w:p>
      <w:pPr>
        <w:ind w:left="980" w:hanging="648"/>
        <w:spacing w:after="0" w:line="283" w:lineRule="auto"/>
        <w:tabs>
          <w:tab w:leader="none" w:pos="97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38" w:lineRule="exact"/>
        <w:rPr>
          <w:rFonts w:ascii="Times New Roman" w:cs="Times New Roman" w:eastAsia="Times New Roman" w:hAnsi="Times New Roman"/>
          <w:sz w:val="20"/>
          <w:szCs w:val="20"/>
          <w:color w:val="auto"/>
        </w:rPr>
      </w:pPr>
    </w:p>
    <w:p>
      <w:pPr>
        <w:ind w:left="980" w:hanging="648"/>
        <w:spacing w:after="0" w:line="283" w:lineRule="auto"/>
        <w:tabs>
          <w:tab w:leader="none" w:pos="98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Options by the Company is voluntary and occasional and does not create any contractual or other right to receive future grants of Options, or benefits in lieu of Options, even if Options have been granted repeatedly in the past.</w:t>
      </w:r>
    </w:p>
    <w:p>
      <w:pPr>
        <w:spacing w:after="0" w:line="3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Option grants, if any, will be at the sole discretion of the Company.</w:t>
      </w:r>
    </w:p>
    <w:p>
      <w:pPr>
        <w:spacing w:after="0" w:line="121"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participation in the Plan shall not create a right to further service with FactSet and shall not interfere with the ability of FactSet to terminate your service at any time, with or without cause, subject to applicable law.</w:t>
      </w:r>
    </w:p>
    <w:p>
      <w:pPr>
        <w:spacing w:after="0" w:line="38" w:lineRule="exact"/>
        <w:rPr>
          <w:rFonts w:ascii="Times New Roman" w:cs="Times New Roman" w:eastAsia="Times New Roman" w:hAnsi="Times New Roman"/>
          <w:sz w:val="20"/>
          <w:szCs w:val="20"/>
          <w:color w:val="auto"/>
        </w:rPr>
      </w:pPr>
    </w:p>
    <w:p>
      <w:pPr>
        <w:ind w:left="960" w:hanging="628"/>
        <w:spacing w:after="0"/>
        <w:tabs>
          <w:tab w:leader="none" w:pos="9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voluntarily participating in the Plan.</w:t>
      </w:r>
    </w:p>
    <w:p>
      <w:pPr>
        <w:spacing w:after="0" w:line="121" w:lineRule="exact"/>
        <w:rPr>
          <w:rFonts w:ascii="Times New Roman" w:cs="Times New Roman" w:eastAsia="Times New Roman" w:hAnsi="Times New Roman"/>
          <w:sz w:val="20"/>
          <w:szCs w:val="20"/>
          <w:color w:val="auto"/>
        </w:rPr>
      </w:pPr>
    </w:p>
    <w:p>
      <w:pPr>
        <w:ind w:left="980" w:hanging="648"/>
        <w:spacing w:after="0" w:line="269" w:lineRule="auto"/>
        <w:tabs>
          <w:tab w:leader="none" w:pos="96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is an extraordinary item that does not constitute compensation of any kind for service of any kind rendered to FactSet, and which is outside the scope of your employment contract, if any.</w:t>
      </w:r>
    </w:p>
    <w:p>
      <w:pPr>
        <w:spacing w:after="0" w:line="64" w:lineRule="exact"/>
        <w:rPr>
          <w:rFonts w:ascii="Times New Roman" w:cs="Times New Roman" w:eastAsia="Times New Roman" w:hAnsi="Times New Roman"/>
          <w:sz w:val="20"/>
          <w:szCs w:val="20"/>
          <w:color w:val="auto"/>
        </w:rPr>
      </w:pPr>
    </w:p>
    <w:p>
      <w:pPr>
        <w:jc w:val="both"/>
        <w:ind w:left="980" w:hanging="648"/>
        <w:spacing w:after="0" w:line="261" w:lineRule="auto"/>
        <w:tabs>
          <w:tab w:leader="none" w:pos="97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73" w:lineRule="exact"/>
        <w:rPr>
          <w:rFonts w:ascii="Times New Roman" w:cs="Times New Roman" w:eastAsia="Times New Roman" w:hAnsi="Times New Roman"/>
          <w:sz w:val="20"/>
          <w:szCs w:val="20"/>
          <w:color w:val="auto"/>
        </w:rPr>
      </w:pPr>
    </w:p>
    <w:p>
      <w:pPr>
        <w:ind w:left="980" w:hanging="648"/>
        <w:spacing w:after="0" w:line="269" w:lineRule="auto"/>
        <w:tabs>
          <w:tab w:leader="none" w:pos="96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you are not an employee of FactSet, the Option grant will not be interpreted to form an employment contract or relationship with FactSet.</w:t>
      </w:r>
    </w:p>
    <w:p>
      <w:pPr>
        <w:spacing w:after="0" w:line="64" w:lineRule="exact"/>
        <w:rPr>
          <w:rFonts w:ascii="Times New Roman" w:cs="Times New Roman" w:eastAsia="Times New Roman" w:hAnsi="Times New Roman"/>
          <w:sz w:val="20"/>
          <w:szCs w:val="20"/>
          <w:color w:val="auto"/>
        </w:rPr>
      </w:pPr>
    </w:p>
    <w:p>
      <w:pPr>
        <w:ind w:left="980" w:hanging="648"/>
        <w:spacing w:after="0" w:line="283" w:lineRule="auto"/>
        <w:tabs>
          <w:tab w:leader="none" w:pos="96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and cannot be predicted with certainty. The value of the Shares may increase or decrease.</w:t>
      </w:r>
    </w:p>
    <w:p>
      <w:pPr>
        <w:spacing w:after="0" w:line="38" w:lineRule="exact"/>
        <w:rPr>
          <w:rFonts w:ascii="Times New Roman" w:cs="Times New Roman" w:eastAsia="Times New Roman" w:hAnsi="Times New Roman"/>
          <w:sz w:val="20"/>
          <w:szCs w:val="20"/>
          <w:color w:val="auto"/>
        </w:rPr>
      </w:pPr>
    </w:p>
    <w:p>
      <w:pPr>
        <w:jc w:val="both"/>
        <w:ind w:left="980" w:hanging="648"/>
        <w:spacing w:after="0" w:line="258" w:lineRule="auto"/>
        <w:tabs>
          <w:tab w:leader="none" w:pos="96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arises from termination of the Options or diminution in value of the Options or Shares and you irrevocably release FactSet from any such claim that may arise. If notwithstanding the foregoing, any such claim in found by a court of competent jurisdiction to have arisen then, by signing this Agreement, you shall be deemed irrevocably to have waived your entitlement to pursue such a claim.</w:t>
      </w:r>
    </w:p>
    <w:p>
      <w:pPr>
        <w:spacing w:after="0" w:line="64" w:lineRule="exact"/>
        <w:rPr>
          <w:rFonts w:ascii="Times New Roman" w:cs="Times New Roman" w:eastAsia="Times New Roman" w:hAnsi="Times New Roman"/>
          <w:sz w:val="20"/>
          <w:szCs w:val="20"/>
          <w:color w:val="auto"/>
        </w:rPr>
      </w:pPr>
    </w:p>
    <w:p>
      <w:pPr>
        <w:jc w:val="both"/>
        <w:ind w:left="980" w:hanging="648"/>
        <w:spacing w:after="0" w:line="253" w:lineRule="auto"/>
        <w:tabs>
          <w:tab w:leader="none" w:pos="96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certain foreign asset and/or account reporting requirements which may affect your ability to acquire or hold Shares or cash received from participating in the Plan in a brokerage or bank account outside your country. You may be required to report such accounts, assets or related transactions to the tax or other authorities in your country. You also may be required to repatriate sale proceeds or other funds received as a result of participating in the Plan to your country within a certain time after receipt. You acknowledge that it is your responsibility to comply with such regulations, and you are advised to speak to your personal advisor on this matter.</w:t>
      </w:r>
    </w:p>
    <w:p>
      <w:pPr>
        <w:spacing w:after="0" w:line="80"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Data Privacy Consent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following provisions shall apply to you if you reside outside the U.S. and EU/EEA.</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You hereby explicitly and unambiguously consent to the collection, use and transfer, in electronic or other form, of your Data, as defined below, for the exclusive purpose of implementing, administering and managing your participation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71" w:name="page72"/>
    <w:bookmarkEnd w:id="71"/>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You understand that the Company holds certain personal information about you, including, but not limited to, your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your favor, for the purpose of implementing, administering and managing the Plan (“Data”). You understand that Data may be transferred to any third parties assisting in the implementation, administration and management of the Plan, that these recipients may be located in your country or elsewhere, and that the recipient’s country may have different data privacy laws and protections than your country. You understand that you may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acquired pursuant to the Options.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but will have no other detrimental impact on you whatsoever. For more information on the consequences of your refusal to consent or withdrawal of consent, you understand that you may contact your local human resources representative.</w:t>
      </w:r>
    </w:p>
    <w:p>
      <w:pPr>
        <w:spacing w:after="0" w:line="72"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Data Notice for EU/EEA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following provisions shall apply to you if you reside in the EU or EEA.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Data Collected and Purposes of Collection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You understand that the Company acting as controller may collect, to the extent permissible under applicable law, certain Data (as defined above) The Data is collected from you and FactSet for the exclusive purpose of implementing, administering and managing the Plan pursuant to the terms of this Agreement. The legal basis (that is, the legal justification) for processing the Data is to perform the Agreement. The Data must be provided in order for you to participate in the Plan and for the parties to the Agreement to perform their respective obligations thereunder. If you do not provide your Data, you will not be able to participate in the Plan and become a party to the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Transfers and Retention of Data</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You understand that your employer will transfer your Data to the Company for purposes of plan administration, and may also transfer your Data to your employer’s ultimate parent company or related companies in connection with Agreement administration. The Company and your employer may also transfer your Data to other service providers (such as accounting firms, payroll processing firms or tax firms), as may be selected by the Company in the future, to assist the Company with the implementation, administration and management of the Agreement. You understand that the recipients of the Data may be located in the United States, a country that does not benefit from an adequacy decision issued by the European Commission. Where a recipient is located in a country that does not benefit from an adequacy decision, the transfer of the Data to that recipient will be made pursuant to European Commission-approved standard contractual clauses, a copy of which may be obtained from the FactSet Legal Department, 45 Glover Ave. Norwalk, CT, 06850. Such transfer mechanisms may also include transfers made under the EU-U.S. Data Privacy Framework. You understand that Data will be held only as long as is necessary to implement, administer and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9" w:right="339" w:bottom="1440" w:gutter="0" w:footer="0" w:header="0"/>
        </w:sectPr>
      </w:pPr>
    </w:p>
    <w:bookmarkStart w:id="72" w:name="page73"/>
    <w:bookmarkEnd w:id="72"/>
    <w:p>
      <w:pPr>
        <w:spacing w:after="0" w:line="7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your rights and obligations under the Agreement, and for the duration of the relevant statutes of limitations, which may be longer than the term of the Agreement.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Your Rights in Respect of Data</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The Company will take steps in accordance with applicable legislation to keep Data accurate, complete and up-to-date. You are entitled to have any inadequate, incomplete or incorrect Data corrected (that is, rectified). You also have the right to request access to your Data as well as additional information about the processing of that Data. Further, you are entitled to object to the processing of Data or have your Data erased, under certain circumstances. Further, subject to applicable law, and under certain circumstances, you may be entitled to the following rights in regard to your Data: (a) to object to the processing of Data; (b) to have your Data erased, such as where it is no longer necessary in relation to the purposes for which it was processed; (c) to restrict the processing of your Data so that it is stored but not actively processed (e.g., while the Company assesses whether you are entitled to have Data erased); and (d) to port a copy of the Data provided pursuant to the Agreement or generated by you, in a common machine-readable format. To exercise your rights, you may contact your local human resources representative. You may also contact the relevant data protection supervisory authority, as you have the right to lodge a complaint.</w:t>
      </w:r>
    </w:p>
    <w:p>
      <w:pPr>
        <w:spacing w:after="0" w:line="218"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Country Specific Terms and Conditions and Notice</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Notwithstanding any other provision of this Agreement to the contrary, the Options shall be subject to the specific terms and conditions, if any, set forth in the Appendix to this Agreement which are applicable to your country of residence, the provisions of which are incorporated in and constitute part of this Agreement. Moreover, if you relocate to one of the countries included in the Appendix, the specific terms and conditions applicable to such country will apply to the Options to the extent the Company determines that the application of such terms and conditions is necessary or advisable in order to comply with applicable law or facilitate the administration of the Plan or this Agreement.</w:t>
      </w:r>
    </w:p>
    <w:p>
      <w:pPr>
        <w:spacing w:after="0" w:line="200"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or Recommendation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208"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Documents and Notices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 You understand and agree that electronic consent to the Plan documents shall have the same force and effect as executed hardcopies.</w:t>
      </w:r>
    </w:p>
    <w:p>
      <w:pPr>
        <w:spacing w:after="0" w:line="213" w:lineRule="exact"/>
        <w:rPr>
          <w:sz w:val="20"/>
          <w:szCs w:val="20"/>
          <w:color w:val="auto"/>
        </w:rPr>
      </w:pPr>
    </w:p>
    <w:p>
      <w:pPr>
        <w:ind w:left="320" w:hanging="312"/>
        <w:spacing w:after="0"/>
        <w:tabs>
          <w:tab w:leader="none" w:pos="3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You hereby agree that any dispute, claim or controversy arising now or in the future under or relating in any way to this Agreement and/or the Plan (“</w:t>
      </w:r>
      <w:r>
        <w:rPr>
          <w:rFonts w:ascii="Times New Roman" w:cs="Times New Roman" w:eastAsia="Times New Roman" w:hAnsi="Times New Roman"/>
          <w:sz w:val="20"/>
          <w:szCs w:val="20"/>
          <w:b w:val="1"/>
          <w:bCs w:val="1"/>
          <w:i w:val="1"/>
          <w:iCs w:val="1"/>
          <w:color w:val="auto"/>
        </w:rPr>
        <w:t>Claim</w:t>
      </w:r>
      <w:r>
        <w:rPr>
          <w:rFonts w:ascii="Times New Roman" w:cs="Times New Roman" w:eastAsia="Times New Roman" w:hAnsi="Times New Roman"/>
          <w:sz w:val="20"/>
          <w:szCs w:val="20"/>
          <w:color w:val="auto"/>
        </w:rPr>
        <w:t>”), regardless of the nature of the cause(s) of action asserted (including claims for injunctive, declaratory, or equitable relief), shall be resolved by binding arbitration. Arbitration replaces the right to go to court, and you therefore agree to waive any right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73" w:name="page74"/>
    <w:bookmarkEnd w:id="73"/>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you or FactSet might otherwise have had to a jury trial or the opportunity to litigate any claims in court before either a judge or jury. You further agree that you will not be able to bring a class action to litigate any claims in court before either a judge or jury; nor will you be able to participate as a class member in a class action or other representative action to litigate any claims in court before either a judge or jury.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binding arbitration provision applies to any and all Claims that you have against FactSet and its successors and assigns, and against all of its employees, directors or agents, or, or that FactSet has against you; it also includes any and all Claims regarding the applicability of this arbitration clause or the validity of this Agreement, in whole or in part.</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party filing a Claim(s) in arbitration must file its Claim(s) before the American Arbitration Association under the rules of such arbitration administrator in effect at the time the Claim(s) was filed. Rules may be obtained and Claims made may be filed at American Arbitration Association, 335 Madison Avenue, Floor 10, New York, NY 10017-4605, 800-778-7879, www.adr.org. Any arbitration hearing that you attend shall be held at a place chosen by the arbitrator or arbitrator administrator in New York. Judgment upon any arbitration award may be entered in any court having jurisdiction. New York law shall apply, without regard to its conflict of laws principles.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agreement to arbitrate shall survive: (i) termination or changes in the Agreement, and the relationship between you and FactSet concerning the Agreement; and (ii) the bankruptcy of any party or any similar proceeding initiated by you or on your behalf. If any portion of this arbitration provision is deemed invalid or unenforceable, the remaining portions shall nevertheless remain in force.</w:t>
      </w:r>
    </w:p>
    <w:p>
      <w:pPr>
        <w:spacing w:after="0" w:line="195"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the Company has received this Agreement, or any other document related to the Options and/or the Plan translated into a language other than English and if the meaning of the translated version is different than the English version, the English version will control. You acknowledge that you are proficient in the English language, or have consulted with an advisor who is sufficiently proficient in English, and, accordingly, understand the provisions of this Agreement and the Plan.</w:t>
      </w:r>
    </w:p>
    <w:p>
      <w:pPr>
        <w:spacing w:after="0" w:line="199"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Participation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acknowledge and agree that the Company may, in its sole discretion, deliver all documents relating to the Company, the Plan or these Options by email or other means of electronic transmission (including by posting them on a website maintained by the Company or a third party under contract with the Company). You further agree to participate in the Plan through an on-line or electronic system established and maintained by the Company or a third party designated by the Company, and you acknowledge that acceptance of this Agreement via the Company’s online acceptance procedure shall have the same force and effect as if accepted in hard copy form.</w:t>
      </w:r>
    </w:p>
    <w:p>
      <w:pPr>
        <w:spacing w:after="0" w:line="219"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p>
    <w:p>
      <w:pPr>
        <w:spacing w:after="0" w:line="2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If one or more provisions of this Agreement are held to be unenforceable under applicable laws, then (a) such provision(s) will be excluded from such this Agreement, (b) the balance of this Agreement will be interpreted as if such provision were so excluded, and (c) the balance of this Agreement will be enforceable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3" w:right="339" w:bottom="1440" w:gutter="0" w:footer="0" w:header="0"/>
        </w:sectPr>
      </w:pPr>
    </w:p>
    <w:bookmarkStart w:id="74" w:name="page75"/>
    <w:bookmarkEnd w:id="74"/>
    <w:p>
      <w:pPr>
        <w:spacing w:after="0" w:line="81"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reserves the right to impose other requirements on your participation in the Plan, on the Options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60" w:lineRule="exact"/>
        <w:rPr>
          <w:sz w:val="20"/>
          <w:szCs w:val="20"/>
          <w:color w:val="auto"/>
        </w:rPr>
      </w:pPr>
    </w:p>
    <w:p>
      <w:pPr>
        <w:ind w:left="320" w:hanging="312"/>
        <w:spacing w:after="0"/>
        <w:tabs>
          <w:tab w:leader="none" w:pos="3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Foreign Asset/Account and/or Tax Reporting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may be certain exchange control, tax, and/or foreign asset/account reporting requirements which may affect your ability to acquire or hold Shares or cash received from participating in the Plan (including the proceeds from the sale of Shares and the receipt of any dividends paid on Shares) in a brokerage or bank account outside of your country. You may be required to report such accounts, assets or related transactions to the tax or other authorities in your country. You may also be required to repatriate sale proceeds or other funds received as a result of participating in the Plan to your country within a certain time after receipt. You acknowledge that it is your responsibility to comply with such regulations, and it is your obligation to speak to a personal advisor on this matter.</w:t>
      </w:r>
    </w:p>
    <w:p>
      <w:pPr>
        <w:spacing w:after="0" w:line="200" w:lineRule="exact"/>
        <w:rPr>
          <w:sz w:val="20"/>
          <w:szCs w:val="20"/>
          <w:color w:val="auto"/>
        </w:rPr>
      </w:pPr>
    </w:p>
    <w:p>
      <w:pPr>
        <w:spacing w:after="0" w:line="2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You agree, and it is your intent, to sign and submit this document and affirmation by clicking “I accept” below. You understand and agree that by electronically signing and submitting this document in this fashion, you are accepting the Options subject to all of its terms and conditions and are affirming to the truth of the information contained herein.</w:t>
      </w:r>
    </w:p>
    <w:p>
      <w:pPr>
        <w:spacing w:after="0" w:line="200" w:lineRule="exact"/>
        <w:rPr>
          <w:sz w:val="20"/>
          <w:szCs w:val="20"/>
          <w:color w:val="auto"/>
        </w:rPr>
      </w:pPr>
    </w:p>
    <w:p>
      <w:pPr>
        <w:spacing w:after="0" w:line="23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FACTSET RESEARCH SYSTEMS INC.,</w:t>
      </w:r>
    </w:p>
    <w:p>
      <w:pPr>
        <w:spacing w:after="0" w:line="2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by:</w:t>
      </w:r>
    </w:p>
    <w:p>
      <w:pPr>
        <w:spacing w:after="0" w:line="241"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20"/>
          <w:szCs w:val="20"/>
          <w:color w:val="auto"/>
        </w:rPr>
        <w:t>Date: {Month, Date, Year}</w:t>
      </w:r>
      <w:r>
        <w:rPr>
          <w:sz w:val="20"/>
          <w:szCs w:val="20"/>
          <w:color w:val="auto"/>
        </w:rPr>
        <w:tab/>
      </w:r>
      <w:r>
        <w:rPr>
          <w:rFonts w:ascii="Times New Roman" w:cs="Times New Roman" w:eastAsia="Times New Roman" w:hAnsi="Times New Roman"/>
          <w:sz w:val="19"/>
          <w:szCs w:val="19"/>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1753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175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FACTSET RESEARCH SYSTEMS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PERFORMANCE SHARE UNIT AWARD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 PERFORMANCE SHARE UNIT AWARD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(the “</w:t>
      </w:r>
      <w:r>
        <w:rPr>
          <w:rFonts w:ascii="Times New Roman" w:cs="Times New Roman" w:eastAsia="Times New Roman" w:hAnsi="Times New Roman"/>
          <w:sz w:val="22"/>
          <w:szCs w:val="22"/>
          <w:b w:val="1"/>
          <w:bCs w:val="1"/>
          <w:i w:val="1"/>
          <w:iCs w:val="1"/>
          <w:color w:val="auto"/>
        </w:rPr>
        <w:t>Grantee</w:t>
      </w:r>
      <w:r>
        <w:rPr>
          <w:rFonts w:ascii="Times New Roman" w:cs="Times New Roman" w:eastAsia="Times New Roman" w:hAnsi="Times New Roman"/>
          <w:sz w:val="22"/>
          <w:szCs w:val="22"/>
          <w:color w:val="auto"/>
        </w:rPr>
        <w:t>”) have been granted an award of performance share units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of FactSet Research Systems Inc. (the</w:t>
      </w:r>
    </w:p>
    <w:p>
      <w:pPr>
        <w:spacing w:after="0" w:line="20"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pursuant to the FactSet Research Systems Inc. 2025 Omnibus Incentive Plan, and as may be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on the following terms and conditions of this award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Capitalized terms used herein without definition shall have the meanings ascribed to such terms in the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Grant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detailed on the Grant Acceptance Election page.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Target Number of PSUs: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target number of PSUs is stated on the Grant Acceptance Election page.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Vesting Schedule</w:t>
      </w:r>
      <w:r>
        <w:rPr>
          <w:rFonts w:ascii="Times New Roman" w:cs="Times New Roman" w:eastAsia="Times New Roman" w:hAnsi="Times New Roman"/>
          <w:sz w:val="22"/>
          <w:szCs w:val="22"/>
          <w:color w:val="auto"/>
        </w:rPr>
        <w:t>: The PSUs shall vest as detailed on the Grant Acceptance Election page.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Percentage of PSUs that Vest</w:t>
      </w:r>
    </w:p>
    <w:p>
      <w:pPr>
        <w:spacing w:after="0" w:line="23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color w:val="auto"/>
        </w:rPr>
        <w:t>: [Month, Date, Year] to [Month, Date, Year]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General Terms Relating to PSUs:</w:t>
      </w:r>
    </w:p>
    <w:p>
      <w:pPr>
        <w:spacing w:after="0" w:line="224" w:lineRule="exact"/>
        <w:rPr>
          <w:sz w:val="20"/>
          <w:szCs w:val="20"/>
          <w:color w:val="auto"/>
        </w:rPr>
      </w:pPr>
    </w:p>
    <w:p>
      <w:pPr>
        <w:ind w:left="220" w:hanging="212"/>
        <w:spacing w:after="0"/>
        <w:tabs>
          <w:tab w:leader="none" w:pos="22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Grant of PSUs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Pursuant to Section </w:t>
      </w:r>
      <w:r>
        <w:rPr>
          <w:rFonts w:ascii="Times New Roman" w:cs="Times New Roman" w:eastAsia="Times New Roman" w:hAnsi="Times New Roman"/>
          <w:sz w:val="21"/>
          <w:szCs w:val="21"/>
          <w:color w:val="auto"/>
        </w:rPr>
        <w:t>10</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Plan, the </w:t>
      </w:r>
      <w:r>
        <w:rPr>
          <w:rFonts w:ascii="Times New Roman" w:cs="Times New Roman" w:eastAsia="Times New Roman" w:hAnsi="Times New Roman"/>
          <w:sz w:val="21"/>
          <w:szCs w:val="21"/>
          <w:color w:val="auto"/>
        </w:rPr>
        <w:t>Company</w:t>
      </w:r>
      <w:r>
        <w:rPr>
          <w:rFonts w:ascii="Times New Roman" w:cs="Times New Roman" w:eastAsia="Times New Roman" w:hAnsi="Times New Roman"/>
          <w:sz w:val="20"/>
          <w:szCs w:val="20"/>
          <w:color w:val="auto"/>
        </w:rPr>
        <w:t xml:space="preserve"> hereby grants </w:t>
      </w:r>
      <w:r>
        <w:rPr>
          <w:rFonts w:ascii="Times New Roman" w:cs="Times New Roman" w:eastAsia="Times New Roman" w:hAnsi="Times New Roman"/>
          <w:sz w:val="21"/>
          <w:szCs w:val="21"/>
          <w:color w:val="auto"/>
        </w:rPr>
        <w:t>an</w:t>
      </w:r>
      <w:r>
        <w:rPr>
          <w:rFonts w:ascii="Times New Roman" w:cs="Times New Roman" w:eastAsia="Times New Roman" w:hAnsi="Times New Roman"/>
          <w:sz w:val="20"/>
          <w:szCs w:val="20"/>
          <w:color w:val="auto"/>
        </w:rPr>
        <w:t xml:space="preserve"> award of </w:t>
      </w:r>
      <w:r>
        <w:rPr>
          <w:rFonts w:ascii="Times New Roman" w:cs="Times New Roman" w:eastAsia="Times New Roman" w:hAnsi="Times New Roman"/>
          <w:sz w:val="21"/>
          <w:szCs w:val="21"/>
          <w:color w:val="auto"/>
        </w:rPr>
        <w:t>PSUs to you</w:t>
      </w:r>
      <w:r>
        <w:rPr>
          <w:rFonts w:ascii="Times New Roman" w:cs="Times New Roman" w:eastAsia="Times New Roman" w:hAnsi="Times New Roman"/>
          <w:sz w:val="20"/>
          <w:szCs w:val="20"/>
          <w:color w:val="auto"/>
        </w:rPr>
        <w:t xml:space="preserve"> on the date specified above (the “ </w:t>
      </w:r>
      <w:r>
        <w:rPr>
          <w:rFonts w:ascii="Times New Roman" w:cs="Times New Roman" w:eastAsia="Times New Roman" w:hAnsi="Times New Roman"/>
          <w:sz w:val="21"/>
          <w:szCs w:val="21"/>
          <w:b w:val="1"/>
          <w:bCs w:val="1"/>
          <w:i w:val="1"/>
          <w:iCs w:val="1"/>
          <w:color w:val="auto"/>
        </w:rPr>
        <w:t>Grant</w:t>
      </w:r>
    </w:p>
    <w:p>
      <w:pPr>
        <w:spacing w:after="0" w:line="1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Each PSU</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represents the right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receive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one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Share, subject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terms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and conditions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set forth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Plan.</w:t>
      </w:r>
    </w:p>
    <w:p>
      <w:pPr>
        <w:spacing w:after="0" w:line="190" w:lineRule="exact"/>
        <w:rPr>
          <w:sz w:val="20"/>
          <w:szCs w:val="20"/>
          <w:color w:val="auto"/>
        </w:rPr>
      </w:pPr>
    </w:p>
    <w:p>
      <w:pPr>
        <w:ind w:left="220" w:hanging="212"/>
        <w:spacing w:after="0"/>
        <w:tabs>
          <w:tab w:leader="none" w:pos="2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Performance </w:t>
      </w:r>
      <w:r>
        <w:rPr>
          <w:rFonts w:ascii="Times New Roman" w:cs="Times New Roman" w:eastAsia="Times New Roman" w:hAnsi="Times New Roman"/>
          <w:sz w:val="19"/>
          <w:szCs w:val="19"/>
          <w:color w:val="auto"/>
        </w:rPr>
        <w:t>Goals</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number of PSUs that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actually </w:t>
      </w:r>
      <w:r>
        <w:rPr>
          <w:rFonts w:ascii="Times New Roman" w:cs="Times New Roman" w:eastAsia="Times New Roman" w:hAnsi="Times New Roman"/>
          <w:sz w:val="21"/>
          <w:szCs w:val="21"/>
          <w:color w:val="auto"/>
        </w:rPr>
        <w:t>earn</w:t>
      </w:r>
      <w:r>
        <w:rPr>
          <w:rFonts w:ascii="Times New Roman" w:cs="Times New Roman" w:eastAsia="Times New Roman" w:hAnsi="Times New Roman"/>
          <w:sz w:val="20"/>
          <w:szCs w:val="20"/>
          <w:color w:val="auto"/>
        </w:rPr>
        <w:t xml:space="preserve"> for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performance period </w:t>
      </w:r>
      <w:r>
        <w:rPr>
          <w:rFonts w:ascii="Times New Roman" w:cs="Times New Roman" w:eastAsia="Times New Roman" w:hAnsi="Times New Roman"/>
          <w:sz w:val="21"/>
          <w:szCs w:val="21"/>
          <w:color w:val="auto"/>
        </w:rPr>
        <w:t>noted above</w:t>
      </w:r>
      <w:r>
        <w:rPr>
          <w:rFonts w:ascii="Times New Roman" w:cs="Times New Roman" w:eastAsia="Times New Roman" w:hAnsi="Times New Roman"/>
          <w:sz w:val="20"/>
          <w:szCs w:val="20"/>
          <w:color w:val="auto"/>
        </w:rPr>
        <w:t xml:space="preserve"> (the</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b w:val="1"/>
          <w:bCs w:val="1"/>
          <w:i w:val="1"/>
          <w:iCs w:val="1"/>
          <w:color w:val="auto"/>
        </w:rPr>
        <w:t>Performance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and such number of</w:t>
      </w:r>
      <w:r>
        <w:rPr>
          <w:rFonts w:ascii="Times New Roman" w:cs="Times New Roman" w:eastAsia="Times New Roman" w:hAnsi="Times New Roman"/>
          <w:sz w:val="20"/>
          <w:szCs w:val="20"/>
          <w:color w:val="auto"/>
        </w:rPr>
        <w:t xml:space="preserve"> PSUs </w:t>
      </w:r>
      <w:r>
        <w:rPr>
          <w:rFonts w:ascii="Times New Roman" w:cs="Times New Roman" w:eastAsia="Times New Roman" w:hAnsi="Times New Roman"/>
          <w:sz w:val="21"/>
          <w:szCs w:val="21"/>
          <w:color w:val="auto"/>
        </w:rPr>
        <w:t>earned,</w:t>
      </w:r>
      <w:r>
        <w:rPr>
          <w:rFonts w:ascii="Times New Roman" w:cs="Times New Roman" w:eastAsia="Times New Roman" w:hAnsi="Times New Roman"/>
          <w:sz w:val="20"/>
          <w:szCs w:val="20"/>
          <w:color w:val="auto"/>
        </w:rPr>
        <w:t xml:space="preserve"> the “ </w:t>
      </w:r>
      <w:r>
        <w:rPr>
          <w:rFonts w:ascii="Times New Roman" w:cs="Times New Roman" w:eastAsia="Times New Roman" w:hAnsi="Times New Roman"/>
          <w:sz w:val="21"/>
          <w:szCs w:val="21"/>
          <w:b w:val="1"/>
          <w:bCs w:val="1"/>
          <w:i w:val="1"/>
          <w:iCs w:val="1"/>
          <w:color w:val="auto"/>
        </w:rPr>
        <w:t>Earned PSUs</w:t>
      </w:r>
      <w:r>
        <w:rPr>
          <w:rFonts w:ascii="Times New Roman" w:cs="Times New Roman" w:eastAsia="Times New Roman" w:hAnsi="Times New Roman"/>
          <w:sz w:val="21"/>
          <w:szCs w:val="21"/>
          <w:color w:val="auto"/>
        </w:rPr>
        <w:t>”) (up to</w:t>
      </w:r>
      <w:r>
        <w:rPr>
          <w:rFonts w:ascii="Times New Roman" w:cs="Times New Roman" w:eastAsia="Times New Roman" w:hAnsi="Times New Roman"/>
          <w:sz w:val="20"/>
          <w:szCs w:val="20"/>
          <w:color w:val="auto"/>
        </w:rPr>
        <w:t xml:space="preserve"> the maximum noted above) </w:t>
      </w:r>
      <w:r>
        <w:rPr>
          <w:rFonts w:ascii="Times New Roman" w:cs="Times New Roman" w:eastAsia="Times New Roman" w:hAnsi="Times New Roman"/>
          <w:sz w:val="21"/>
          <w:szCs w:val="21"/>
          <w:color w:val="auto"/>
        </w:rPr>
        <w:t>will be</w:t>
      </w:r>
      <w:r>
        <w:rPr>
          <w:rFonts w:ascii="Times New Roman" w:cs="Times New Roman" w:eastAsia="Times New Roman" w:hAnsi="Times New Roman"/>
          <w:sz w:val="20"/>
          <w:szCs w:val="20"/>
          <w:color w:val="auto"/>
        </w:rPr>
        <w:t xml:space="preserve"> determined </w:t>
      </w: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1"/>
          <w:szCs w:val="21"/>
          <w:color w:val="auto"/>
        </w:rPr>
        <w:t xml:space="preserve"> Committee </w:t>
      </w:r>
      <w:r>
        <w:rPr>
          <w:rFonts w:ascii="Times New Roman" w:cs="Times New Roman" w:eastAsia="Times New Roman" w:hAnsi="Times New Roman"/>
          <w:sz w:val="19"/>
          <w:szCs w:val="19"/>
          <w:color w:val="auto"/>
        </w:rPr>
        <w:t>based</w:t>
      </w:r>
      <w:r>
        <w:rPr>
          <w:rFonts w:ascii="Times New Roman" w:cs="Times New Roman" w:eastAsia="Times New Roman" w:hAnsi="Times New Roman"/>
          <w:sz w:val="21"/>
          <w:szCs w:val="21"/>
          <w:color w:val="auto"/>
        </w:rPr>
        <w:t xml:space="preserve"> on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1"/>
          <w:szCs w:val="21"/>
          <w:color w:val="auto"/>
        </w:rPr>
        <w:t xml:space="preserve"> level of </w:t>
      </w:r>
      <w:r>
        <w:rPr>
          <w:rFonts w:ascii="Times New Roman" w:cs="Times New Roman" w:eastAsia="Times New Roman" w:hAnsi="Times New Roman"/>
          <w:sz w:val="19"/>
          <w:szCs w:val="19"/>
          <w:color w:val="auto"/>
        </w:rPr>
        <w:t>achievement</w:t>
      </w:r>
      <w:r>
        <w:rPr>
          <w:rFonts w:ascii="Times New Roman" w:cs="Times New Roman" w:eastAsia="Times New Roman" w:hAnsi="Times New Roman"/>
          <w:sz w:val="21"/>
          <w:szCs w:val="21"/>
          <w:color w:val="auto"/>
        </w:rPr>
        <w:t xml:space="preserve"> of the </w:t>
      </w:r>
      <w:r>
        <w:rPr>
          <w:rFonts w:ascii="Times New Roman" w:cs="Times New Roman" w:eastAsia="Times New Roman" w:hAnsi="Times New Roman"/>
          <w:sz w:val="19"/>
          <w:szCs w:val="19"/>
          <w:color w:val="auto"/>
        </w:rPr>
        <w:t>performance goals</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19"/>
          <w:szCs w:val="19"/>
          <w:color w:val="auto"/>
        </w:rPr>
        <w:t>accordance with</w:t>
      </w:r>
      <w:r>
        <w:rPr>
          <w:rFonts w:ascii="Times New Roman" w:cs="Times New Roman" w:eastAsia="Times New Roman" w:hAnsi="Times New Roman"/>
          <w:sz w:val="21"/>
          <w:szCs w:val="21"/>
          <w:color w:val="auto"/>
        </w:rPr>
        <w:t xml:space="preserve"> Exhibit A </w:t>
      </w:r>
      <w:r>
        <w:rPr>
          <w:rFonts w:ascii="Times New Roman" w:cs="Times New Roman" w:eastAsia="Times New Roman" w:hAnsi="Times New Roman"/>
          <w:sz w:val="19"/>
          <w:szCs w:val="19"/>
          <w:color w:val="auto"/>
        </w:rPr>
        <w:t>attached</w:t>
      </w:r>
      <w:r>
        <w:rPr>
          <w:rFonts w:ascii="Times New Roman" w:cs="Times New Roman" w:eastAsia="Times New Roman" w:hAnsi="Times New Roman"/>
          <w:sz w:val="21"/>
          <w:szCs w:val="21"/>
          <w:color w:val="auto"/>
        </w:rPr>
        <w:t xml:space="preserve"> hereto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Goals</w:t>
      </w:r>
      <w:r>
        <w:rPr>
          <w:rFonts w:ascii="Times New Roman" w:cs="Times New Roman" w:eastAsia="Times New Roman" w:hAnsi="Times New Roman"/>
          <w:sz w:val="22"/>
          <w:szCs w:val="22"/>
          <w:color w:val="auto"/>
        </w:rPr>
        <w:t xml:space="preserve"> ”). The </w:t>
      </w:r>
      <w:r>
        <w:rPr>
          <w:rFonts w:ascii="Times New Roman" w:cs="Times New Roman" w:eastAsia="Times New Roman" w:hAnsi="Times New Roman"/>
          <w:sz w:val="19"/>
          <w:szCs w:val="19"/>
          <w:color w:val="auto"/>
        </w:rPr>
        <w:t>Earned PSUs will</w:t>
      </w:r>
      <w:r>
        <w:rPr>
          <w:rFonts w:ascii="Times New Roman" w:cs="Times New Roman" w:eastAsia="Times New Roman" w:hAnsi="Times New Roman"/>
          <w:sz w:val="22"/>
          <w:szCs w:val="22"/>
          <w:color w:val="auto"/>
        </w:rPr>
        <w:t xml:space="preserve"> be </w:t>
      </w:r>
      <w:r>
        <w:rPr>
          <w:rFonts w:ascii="Times New Roman" w:cs="Times New Roman" w:eastAsia="Times New Roman" w:hAnsi="Times New Roman"/>
          <w:sz w:val="19"/>
          <w:szCs w:val="19"/>
          <w:color w:val="auto"/>
        </w:rPr>
        <w:t>determined based</w:t>
      </w:r>
      <w:r>
        <w:rPr>
          <w:rFonts w:ascii="Times New Roman" w:cs="Times New Roman" w:eastAsia="Times New Roman" w:hAnsi="Times New Roman"/>
          <w:sz w:val="22"/>
          <w:szCs w:val="22"/>
          <w:color w:val="auto"/>
        </w:rPr>
        <w:t xml:space="preserve"> on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 xml:space="preserve">b. Promptly following the completion </w:t>
      </w:r>
      <w:r>
        <w:rPr>
          <w:rFonts w:ascii="Times New Roman" w:cs="Times New Roman" w:eastAsia="Times New Roman" w:hAnsi="Times New Roman"/>
          <w:sz w:val="21"/>
          <w:szCs w:val="21"/>
          <w:color w:val="auto"/>
        </w:rPr>
        <w:t>of the Performance</w:t>
      </w:r>
      <w:r>
        <w:rPr>
          <w:rFonts w:ascii="Times New Roman" w:cs="Times New Roman" w:eastAsia="Times New Roman" w:hAnsi="Times New Roman"/>
          <w:sz w:val="20"/>
          <w:szCs w:val="20"/>
          <w:color w:val="auto"/>
        </w:rPr>
        <w:t xml:space="preserve"> Period </w:t>
      </w:r>
      <w:r>
        <w:rPr>
          <w:rFonts w:ascii="Times New Roman" w:cs="Times New Roman" w:eastAsia="Times New Roman" w:hAnsi="Times New Roman"/>
          <w:sz w:val="21"/>
          <w:szCs w:val="21"/>
          <w:color w:val="auto"/>
        </w:rPr>
        <w:t>and in</w:t>
      </w:r>
      <w:r>
        <w:rPr>
          <w:rFonts w:ascii="Times New Roman" w:cs="Times New Roman" w:eastAsia="Times New Roman" w:hAnsi="Times New Roman"/>
          <w:sz w:val="20"/>
          <w:szCs w:val="20"/>
          <w:color w:val="auto"/>
        </w:rPr>
        <w:t xml:space="preserve"> no event </w:t>
      </w:r>
      <w:r>
        <w:rPr>
          <w:rFonts w:ascii="Times New Roman" w:cs="Times New Roman" w:eastAsia="Times New Roman" w:hAnsi="Times New Roman"/>
          <w:sz w:val="21"/>
          <w:szCs w:val="21"/>
          <w:color w:val="auto"/>
        </w:rPr>
        <w:t>later</w:t>
      </w:r>
      <w:r>
        <w:rPr>
          <w:rFonts w:ascii="Times New Roman" w:cs="Times New Roman" w:eastAsia="Times New Roman" w:hAnsi="Times New Roman"/>
          <w:sz w:val="20"/>
          <w:szCs w:val="20"/>
          <w:color w:val="auto"/>
        </w:rPr>
        <w:t xml:space="preserve"> than</w:t>
      </w: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the third anniversary </w:t>
      </w:r>
      <w:r>
        <w:rPr>
          <w:rFonts w:ascii="Times New Roman" w:cs="Times New Roman" w:eastAsia="Times New Roman" w:hAnsi="Times New Roman"/>
          <w:sz w:val="21"/>
          <w:szCs w:val="21"/>
          <w:color w:val="auto"/>
        </w:rPr>
        <w:t>of the</w:t>
      </w:r>
      <w:r>
        <w:rPr>
          <w:rFonts w:ascii="Times New Roman" w:cs="Times New Roman" w:eastAsia="Times New Roman" w:hAnsi="Times New Roman"/>
          <w:sz w:val="20"/>
          <w:szCs w:val="20"/>
          <w:color w:val="auto"/>
        </w:rPr>
        <w:t xml:space="preserve"> Grant Date, the Committee will review and </w:t>
      </w:r>
      <w:r>
        <w:rPr>
          <w:rFonts w:ascii="Times New Roman" w:cs="Times New Roman" w:eastAsia="Times New Roman" w:hAnsi="Times New Roman"/>
          <w:sz w:val="21"/>
          <w:szCs w:val="21"/>
          <w:color w:val="auto"/>
        </w:rPr>
        <w:t>certify in writing</w:t>
      </w:r>
      <w:r>
        <w:rPr>
          <w:rFonts w:ascii="Times New Roman" w:cs="Times New Roman" w:eastAsia="Times New Roman" w:hAnsi="Times New Roman"/>
          <w:sz w:val="20"/>
          <w:szCs w:val="20"/>
          <w:color w:val="auto"/>
        </w:rPr>
        <w:t xml:space="preserve"> (a) whether, and </w:t>
      </w:r>
      <w:r>
        <w:rPr>
          <w:rFonts w:ascii="Times New Roman" w:cs="Times New Roman" w:eastAsia="Times New Roman" w:hAnsi="Times New Roman"/>
          <w:sz w:val="21"/>
          <w:szCs w:val="21"/>
          <w:color w:val="auto"/>
        </w:rPr>
        <w:t>to what extent,</w:t>
      </w:r>
      <w:r>
        <w:rPr>
          <w:rFonts w:ascii="Times New Roman" w:cs="Times New Roman" w:eastAsia="Times New Roman" w:hAnsi="Times New Roman"/>
          <w:sz w:val="20"/>
          <w:szCs w:val="20"/>
          <w:color w:val="auto"/>
        </w:rPr>
        <w:t xml:space="preserve"> the Performance Goals for the Performance Period </w:t>
      </w:r>
      <w:r>
        <w:rPr>
          <w:rFonts w:ascii="Times New Roman" w:cs="Times New Roman" w:eastAsia="Times New Roman" w:hAnsi="Times New Roman"/>
          <w:sz w:val="21"/>
          <w:szCs w:val="21"/>
          <w:color w:val="auto"/>
        </w:rPr>
        <w:t>have</w:t>
      </w:r>
      <w:r>
        <w:rPr>
          <w:rFonts w:ascii="Times New Roman" w:cs="Times New Roman" w:eastAsia="Times New Roman" w:hAnsi="Times New Roman"/>
          <w:sz w:val="20"/>
          <w:szCs w:val="20"/>
          <w:color w:val="auto"/>
        </w:rPr>
        <w:t xml:space="preserve"> been achieved, and </w:t>
      </w:r>
      <w:r>
        <w:rPr>
          <w:rFonts w:ascii="Times New Roman" w:cs="Times New Roman" w:eastAsia="Times New Roman" w:hAnsi="Times New Roman"/>
          <w:sz w:val="21"/>
          <w:szCs w:val="21"/>
          <w:color w:val="auto"/>
        </w:rPr>
        <w:t>(b)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number</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Earned</w:t>
      </w:r>
      <w:r>
        <w:rPr>
          <w:rFonts w:ascii="Times New Roman" w:cs="Times New Roman" w:eastAsia="Times New Roman" w:hAnsi="Times New Roman"/>
          <w:sz w:val="20"/>
          <w:szCs w:val="20"/>
          <w:color w:val="auto"/>
        </w:rPr>
        <w:t xml:space="preserve"> PSUs that </w:t>
      </w:r>
      <w:r>
        <w:rPr>
          <w:rFonts w:ascii="Times New Roman" w:cs="Times New Roman" w:eastAsia="Times New Roman" w:hAnsi="Times New Roman"/>
          <w:sz w:val="21"/>
          <w:szCs w:val="21"/>
          <w:color w:val="auto"/>
        </w:rPr>
        <w:t>will</w:t>
      </w:r>
      <w:r>
        <w:rPr>
          <w:rFonts w:ascii="Times New Roman" w:cs="Times New Roman" w:eastAsia="Times New Roman" w:hAnsi="Times New Roman"/>
          <w:sz w:val="20"/>
          <w:szCs w:val="20"/>
          <w:color w:val="auto"/>
        </w:rPr>
        <w:t xml:space="preserve"> be eligible to </w:t>
      </w:r>
      <w:r>
        <w:rPr>
          <w:rFonts w:ascii="Times New Roman" w:cs="Times New Roman" w:eastAsia="Times New Roman" w:hAnsi="Times New Roman"/>
          <w:sz w:val="21"/>
          <w:szCs w:val="21"/>
          <w:color w:val="auto"/>
        </w:rPr>
        <w:t>vest,</w:t>
      </w:r>
      <w:r>
        <w:rPr>
          <w:rFonts w:ascii="Times New Roman" w:cs="Times New Roman" w:eastAsia="Times New Roman" w:hAnsi="Times New Roman"/>
          <w:sz w:val="20"/>
          <w:szCs w:val="20"/>
          <w:color w:val="auto"/>
        </w:rPr>
        <w:t xml:space="preserve"> if any, subject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compliance with the requirements </w:t>
      </w:r>
      <w:r>
        <w:rPr>
          <w:rFonts w:ascii="Times New Roman" w:cs="Times New Roman" w:eastAsia="Times New Roman" w:hAnsi="Times New Roman"/>
          <w:sz w:val="21"/>
          <w:szCs w:val="21"/>
          <w:color w:val="auto"/>
        </w:rPr>
        <w:t>of Section</w:t>
      </w:r>
      <w:r>
        <w:rPr>
          <w:rFonts w:ascii="Times New Roman" w:cs="Times New Roman" w:eastAsia="Times New Roman" w:hAnsi="Times New Roman"/>
          <w:sz w:val="20"/>
          <w:szCs w:val="20"/>
          <w:color w:val="auto"/>
        </w:rPr>
        <w:t xml:space="preserve"> 3. Such certification shall </w:t>
      </w:r>
      <w:r>
        <w:rPr>
          <w:rFonts w:ascii="Times New Roman" w:cs="Times New Roman" w:eastAsia="Times New Roman" w:hAnsi="Times New Roman"/>
          <w:sz w:val="21"/>
          <w:szCs w:val="21"/>
          <w:color w:val="auto"/>
        </w:rPr>
        <w:t>be</w:t>
      </w:r>
      <w:r>
        <w:rPr>
          <w:rFonts w:ascii="Times New Roman" w:cs="Times New Roman" w:eastAsia="Times New Roman" w:hAnsi="Times New Roman"/>
          <w:sz w:val="20"/>
          <w:szCs w:val="20"/>
          <w:color w:val="auto"/>
        </w:rPr>
        <w:t xml:space="preserve"> final, conclusive and </w:t>
      </w:r>
      <w:r>
        <w:rPr>
          <w:rFonts w:ascii="Times New Roman" w:cs="Times New Roman" w:eastAsia="Times New Roman" w:hAnsi="Times New Roman"/>
          <w:sz w:val="21"/>
          <w:szCs w:val="21"/>
          <w:color w:val="auto"/>
        </w:rPr>
        <w:t>binding on you</w:t>
      </w:r>
      <w:r>
        <w:rPr>
          <w:rFonts w:ascii="Times New Roman" w:cs="Times New Roman" w:eastAsia="Times New Roman" w:hAnsi="Times New Roman"/>
          <w:sz w:val="20"/>
          <w:szCs w:val="20"/>
          <w:color w:val="auto"/>
        </w:rPr>
        <w:t xml:space="preserve"> and all other persons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maximum</w:t>
      </w:r>
      <w:r>
        <w:rPr>
          <w:rFonts w:ascii="Times New Roman" w:cs="Times New Roman" w:eastAsia="Times New Roman" w:hAnsi="Times New Roman"/>
          <w:sz w:val="20"/>
          <w:szCs w:val="20"/>
          <w:color w:val="auto"/>
        </w:rPr>
        <w:t xml:space="preserve"> extent permitted by </w:t>
      </w:r>
      <w:r>
        <w:rPr>
          <w:rFonts w:ascii="Times New Roman" w:cs="Times New Roman" w:eastAsia="Times New Roman" w:hAnsi="Times New Roman"/>
          <w:sz w:val="21"/>
          <w:szCs w:val="21"/>
          <w:color w:val="auto"/>
        </w:rPr>
        <w:t>law.</w:t>
      </w:r>
    </w:p>
    <w:p>
      <w:pPr>
        <w:spacing w:after="0" w:line="178" w:lineRule="exact"/>
        <w:rPr>
          <w:sz w:val="20"/>
          <w:szCs w:val="20"/>
          <w:color w:val="auto"/>
        </w:rPr>
      </w:pPr>
    </w:p>
    <w:p>
      <w:pPr>
        <w:ind w:left="220" w:hanging="212"/>
        <w:spacing w:after="0"/>
        <w:tabs>
          <w:tab w:leader="none" w:pos="2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Vesting and Settlement of PSUs</w:t>
      </w:r>
    </w:p>
    <w:p>
      <w:pPr>
        <w:sectPr>
          <w:pgSz w:w="11900" w:h="16838" w:orient="portrait"/>
          <w:cols w:equalWidth="0" w:num="1">
            <w:col w:w="11240"/>
          </w:cols>
          <w:pgMar w:left="320" w:top="114"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 xml:space="preserve">Earned PSUs shall vest </w:t>
      </w:r>
      <w:r>
        <w:rPr>
          <w:rFonts w:ascii="Times New Roman" w:cs="Times New Roman" w:eastAsia="Times New Roman" w:hAnsi="Times New Roman"/>
          <w:sz w:val="21"/>
          <w:szCs w:val="21"/>
          <w:color w:val="auto"/>
        </w:rPr>
        <w:t>on the third</w:t>
      </w:r>
      <w:r>
        <w:rPr>
          <w:rFonts w:ascii="Times New Roman" w:cs="Times New Roman" w:eastAsia="Times New Roman" w:hAnsi="Times New Roman"/>
          <w:sz w:val="20"/>
          <w:szCs w:val="20"/>
          <w:color w:val="auto"/>
        </w:rPr>
        <w:t xml:space="preserve"> anniversary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the Grant Date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Vesting Date</w:t>
      </w:r>
      <w:r>
        <w:rPr>
          <w:rFonts w:ascii="Times New Roman" w:cs="Times New Roman" w:eastAsia="Times New Roman" w:hAnsi="Times New Roman"/>
          <w:sz w:val="20"/>
          <w:szCs w:val="20"/>
          <w:color w:val="auto"/>
        </w:rPr>
        <w:t xml:space="preserve"> ”), subject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your continued employment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service with </w:t>
      </w:r>
      <w:r>
        <w:rPr>
          <w:rFonts w:ascii="Times New Roman" w:cs="Times New Roman" w:eastAsia="Times New Roman" w:hAnsi="Times New Roman"/>
          <w:sz w:val="21"/>
          <w:szCs w:val="21"/>
          <w:color w:val="auto"/>
        </w:rPr>
        <w:t>the Company or</w:t>
      </w:r>
      <w:r>
        <w:rPr>
          <w:rFonts w:ascii="Times New Roman" w:cs="Times New Roman" w:eastAsia="Times New Roman" w:hAnsi="Times New Roman"/>
          <w:sz w:val="20"/>
          <w:szCs w:val="20"/>
          <w:color w:val="auto"/>
        </w:rPr>
        <w:t xml:space="preserve"> its Subsidiaries through the Vesting Date unless otherwise provided </w:t>
      </w:r>
      <w:r>
        <w:rPr>
          <w:rFonts w:ascii="Times New Roman" w:cs="Times New Roman" w:eastAsia="Times New Roman" w:hAnsi="Times New Roman"/>
          <w:sz w:val="21"/>
          <w:szCs w:val="21"/>
          <w:color w:val="auto"/>
        </w:rPr>
        <w:t>herein. Vested PSUs shall be</w:t>
      </w:r>
      <w:r>
        <w:rPr>
          <w:rFonts w:ascii="Times New Roman" w:cs="Times New Roman" w:eastAsia="Times New Roman" w:hAnsi="Times New Roman"/>
          <w:sz w:val="20"/>
          <w:szCs w:val="20"/>
          <w:color w:val="auto"/>
        </w:rPr>
        <w:t xml:space="preserve"> settled </w:t>
      </w:r>
      <w:r>
        <w:rPr>
          <w:rFonts w:ascii="Times New Roman" w:cs="Times New Roman" w:eastAsia="Times New Roman" w:hAnsi="Times New Roman"/>
          <w:sz w:val="21"/>
          <w:szCs w:val="21"/>
          <w:color w:val="auto"/>
        </w:rPr>
        <w:t>as</w:t>
      </w:r>
      <w:r>
        <w:rPr>
          <w:rFonts w:ascii="Times New Roman" w:cs="Times New Roman" w:eastAsia="Times New Roman" w:hAnsi="Times New Roman"/>
          <w:sz w:val="20"/>
          <w:szCs w:val="20"/>
          <w:color w:val="auto"/>
        </w:rPr>
        <w:t xml:space="preserve"> soon </w:t>
      </w:r>
      <w:r>
        <w:rPr>
          <w:rFonts w:ascii="Times New Roman" w:cs="Times New Roman" w:eastAsia="Times New Roman" w:hAnsi="Times New Roman"/>
          <w:sz w:val="21"/>
          <w:szCs w:val="21"/>
          <w:color w:val="auto"/>
        </w:rPr>
        <w:t>as</w:t>
      </w:r>
      <w:r>
        <w:rPr>
          <w:rFonts w:ascii="Times New Roman" w:cs="Times New Roman" w:eastAsia="Times New Roman" w:hAnsi="Times New Roman"/>
          <w:sz w:val="20"/>
          <w:szCs w:val="20"/>
          <w:color w:val="auto"/>
        </w:rPr>
        <w:t xml:space="preserve"> administratively practicable after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Vesting Date (and </w:t>
      </w:r>
      <w:r>
        <w:rPr>
          <w:rFonts w:ascii="Times New Roman" w:cs="Times New Roman" w:eastAsia="Times New Roman" w:hAnsi="Times New Roman"/>
          <w:sz w:val="21"/>
          <w:szCs w:val="21"/>
          <w:color w:val="auto"/>
        </w:rPr>
        <w:t>in no</w:t>
      </w:r>
      <w:r>
        <w:rPr>
          <w:rFonts w:ascii="Times New Roman" w:cs="Times New Roman" w:eastAsia="Times New Roman" w:hAnsi="Times New Roman"/>
          <w:sz w:val="20"/>
          <w:szCs w:val="20"/>
          <w:color w:val="auto"/>
        </w:rPr>
        <w:t xml:space="preserve"> event </w:t>
      </w:r>
      <w:r>
        <w:rPr>
          <w:rFonts w:ascii="Times New Roman" w:cs="Times New Roman" w:eastAsia="Times New Roman" w:hAnsi="Times New Roman"/>
          <w:sz w:val="21"/>
          <w:szCs w:val="21"/>
          <w:color w:val="auto"/>
        </w:rPr>
        <w:t>more</w:t>
      </w:r>
      <w:r>
        <w:rPr>
          <w:rFonts w:ascii="Times New Roman" w:cs="Times New Roman" w:eastAsia="Times New Roman" w:hAnsi="Times New Roman"/>
          <w:sz w:val="20"/>
          <w:szCs w:val="20"/>
          <w:color w:val="auto"/>
        </w:rPr>
        <w:t xml:space="preserve"> than </w:t>
      </w:r>
      <w:r>
        <w:rPr>
          <w:rFonts w:ascii="Times New Roman" w:cs="Times New Roman" w:eastAsia="Times New Roman" w:hAnsi="Times New Roman"/>
          <w:sz w:val="21"/>
          <w:szCs w:val="21"/>
          <w:color w:val="auto"/>
        </w:rPr>
        <w:t>thirty</w:t>
      </w:r>
      <w:r>
        <w:rPr>
          <w:rFonts w:ascii="Times New Roman" w:cs="Times New Roman" w:eastAsia="Times New Roman" w:hAnsi="Times New Roman"/>
          <w:sz w:val="20"/>
          <w:szCs w:val="20"/>
          <w:color w:val="auto"/>
        </w:rPr>
        <w:t xml:space="preserve"> (30) </w:t>
      </w:r>
      <w:r>
        <w:rPr>
          <w:rFonts w:ascii="Times New Roman" w:cs="Times New Roman" w:eastAsia="Times New Roman" w:hAnsi="Times New Roman"/>
          <w:sz w:val="21"/>
          <w:szCs w:val="21"/>
          <w:color w:val="auto"/>
        </w:rPr>
        <w:t>days</w:t>
      </w:r>
      <w:r>
        <w:rPr>
          <w:rFonts w:ascii="Times New Roman" w:cs="Times New Roman" w:eastAsia="Times New Roman" w:hAnsi="Times New Roman"/>
          <w:sz w:val="20"/>
          <w:szCs w:val="20"/>
          <w:color w:val="auto"/>
        </w:rPr>
        <w:t xml:space="preserve"> thereafter)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delivery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Shares, subject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applicable </w:t>
      </w:r>
      <w:r>
        <w:rPr>
          <w:rFonts w:ascii="Times New Roman" w:cs="Times New Roman" w:eastAsia="Times New Roman" w:hAnsi="Times New Roman"/>
          <w:sz w:val="21"/>
          <w:szCs w:val="21"/>
          <w:color w:val="auto"/>
        </w:rPr>
        <w:t>tax</w:t>
      </w:r>
      <w:r>
        <w:rPr>
          <w:rFonts w:ascii="Times New Roman" w:cs="Times New Roman" w:eastAsia="Times New Roman" w:hAnsi="Times New Roman"/>
          <w:sz w:val="20"/>
          <w:szCs w:val="20"/>
          <w:color w:val="auto"/>
        </w:rPr>
        <w:t xml:space="preserve"> withholding.</w:t>
      </w:r>
    </w:p>
    <w:p>
      <w:pPr>
        <w:spacing w:after="0" w:line="192" w:lineRule="exact"/>
        <w:rPr>
          <w:sz w:val="20"/>
          <w:szCs w:val="20"/>
          <w:color w:val="auto"/>
        </w:rPr>
      </w:pPr>
    </w:p>
    <w:p>
      <w:pPr>
        <w:ind w:left="220" w:hanging="212"/>
        <w:spacing w:after="0"/>
        <w:tabs>
          <w:tab w:leader="none" w:pos="2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Transferability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PSUs </w:t>
      </w:r>
      <w:r>
        <w:rPr>
          <w:rFonts w:ascii="Times New Roman" w:cs="Times New Roman" w:eastAsia="Times New Roman" w:hAnsi="Times New Roman"/>
          <w:sz w:val="21"/>
          <w:szCs w:val="21"/>
          <w:color w:val="auto"/>
        </w:rPr>
        <w:t>may not be</w:t>
      </w:r>
      <w:r>
        <w:rPr>
          <w:rFonts w:ascii="Times New Roman" w:cs="Times New Roman" w:eastAsia="Times New Roman" w:hAnsi="Times New Roman"/>
          <w:sz w:val="20"/>
          <w:szCs w:val="20"/>
          <w:color w:val="auto"/>
        </w:rPr>
        <w:t xml:space="preserve"> sold, transferred, pledged, assigned, or otherwise alienated or </w:t>
      </w:r>
      <w:r>
        <w:rPr>
          <w:rFonts w:ascii="Times New Roman" w:cs="Times New Roman" w:eastAsia="Times New Roman" w:hAnsi="Times New Roman"/>
          <w:sz w:val="21"/>
          <w:szCs w:val="21"/>
          <w:color w:val="auto"/>
        </w:rPr>
        <w:t>hypothecated.</w:t>
      </w:r>
    </w:p>
    <w:p>
      <w:pPr>
        <w:spacing w:after="0" w:line="218" w:lineRule="exact"/>
        <w:rPr>
          <w:sz w:val="20"/>
          <w:szCs w:val="20"/>
          <w:color w:val="auto"/>
        </w:rPr>
      </w:pPr>
    </w:p>
    <w:p>
      <w:pPr>
        <w:ind w:left="220" w:hanging="212"/>
        <w:spacing w:after="0"/>
        <w:tabs>
          <w:tab w:leader="none" w:pos="2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Change in Control</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If,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connection with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Change in Control, the successor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surviving </w:t>
      </w:r>
      <w:r>
        <w:rPr>
          <w:rFonts w:ascii="Times New Roman" w:cs="Times New Roman" w:eastAsia="Times New Roman" w:hAnsi="Times New Roman"/>
          <w:sz w:val="21"/>
          <w:szCs w:val="21"/>
          <w:color w:val="auto"/>
        </w:rPr>
        <w:t>entity</w:t>
      </w:r>
      <w:r>
        <w:rPr>
          <w:rFonts w:ascii="Times New Roman" w:cs="Times New Roman" w:eastAsia="Times New Roman" w:hAnsi="Times New Roman"/>
          <w:sz w:val="20"/>
          <w:szCs w:val="20"/>
          <w:color w:val="auto"/>
        </w:rPr>
        <w:t xml:space="preserve"> or its parent </w:t>
      </w:r>
      <w:r>
        <w:rPr>
          <w:rFonts w:ascii="Times New Roman" w:cs="Times New Roman" w:eastAsia="Times New Roman" w:hAnsi="Times New Roman"/>
          <w:sz w:val="21"/>
          <w:szCs w:val="21"/>
          <w:color w:val="auto"/>
        </w:rPr>
        <w:t>will not</w:t>
      </w:r>
      <w:r>
        <w:rPr>
          <w:rFonts w:ascii="Times New Roman" w:cs="Times New Roman" w:eastAsia="Times New Roman" w:hAnsi="Times New Roman"/>
          <w:sz w:val="20"/>
          <w:szCs w:val="20"/>
          <w:color w:val="auto"/>
        </w:rPr>
        <w:t xml:space="preserve"> assume or continue this Award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substitute </w:t>
      </w:r>
      <w:r>
        <w:rPr>
          <w:rFonts w:ascii="Times New Roman" w:cs="Times New Roman" w:eastAsia="Times New Roman" w:hAnsi="Times New Roman"/>
          <w:sz w:val="19"/>
          <w:szCs w:val="19"/>
          <w:color w:val="auto"/>
        </w:rPr>
        <w:t>for</w:t>
      </w:r>
      <w:r>
        <w:rPr>
          <w:rFonts w:ascii="Times New Roman" w:cs="Times New Roman" w:eastAsia="Times New Roman" w:hAnsi="Times New Roman"/>
          <w:sz w:val="21"/>
          <w:szCs w:val="21"/>
          <w:color w:val="auto"/>
        </w:rPr>
        <w:t xml:space="preserve"> or replace </w:t>
      </w:r>
      <w:r>
        <w:rPr>
          <w:rFonts w:ascii="Times New Roman" w:cs="Times New Roman" w:eastAsia="Times New Roman" w:hAnsi="Times New Roman"/>
          <w:sz w:val="19"/>
          <w:szCs w:val="19"/>
          <w:color w:val="auto"/>
        </w:rPr>
        <w:t>this</w:t>
      </w:r>
      <w:r>
        <w:rPr>
          <w:rFonts w:ascii="Times New Roman" w:cs="Times New Roman" w:eastAsia="Times New Roman" w:hAnsi="Times New Roman"/>
          <w:sz w:val="21"/>
          <w:szCs w:val="21"/>
          <w:color w:val="auto"/>
        </w:rPr>
        <w:t xml:space="preserve"> Award, in </w:t>
      </w:r>
      <w:r>
        <w:rPr>
          <w:rFonts w:ascii="Times New Roman" w:cs="Times New Roman" w:eastAsia="Times New Roman" w:hAnsi="Times New Roman"/>
          <w:sz w:val="19"/>
          <w:szCs w:val="19"/>
          <w:color w:val="auto"/>
        </w:rPr>
        <w:t>each case,</w:t>
      </w:r>
      <w:r>
        <w:rPr>
          <w:rFonts w:ascii="Times New Roman" w:cs="Times New Roman" w:eastAsia="Times New Roman" w:hAnsi="Times New Roman"/>
          <w:sz w:val="21"/>
          <w:szCs w:val="21"/>
          <w:color w:val="auto"/>
        </w:rPr>
        <w:t xml:space="preserve"> with equity </w:t>
      </w:r>
      <w:r>
        <w:rPr>
          <w:rFonts w:ascii="Times New Roman" w:cs="Times New Roman" w:eastAsia="Times New Roman" w:hAnsi="Times New Roman"/>
          <w:sz w:val="19"/>
          <w:szCs w:val="19"/>
          <w:color w:val="auto"/>
        </w:rPr>
        <w:t>securities of the successor</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9"/>
          <w:szCs w:val="19"/>
          <w:color w:val="auto"/>
        </w:rPr>
        <w:t>surviving</w:t>
      </w:r>
      <w:r>
        <w:rPr>
          <w:rFonts w:ascii="Times New Roman" w:cs="Times New Roman" w:eastAsia="Times New Roman" w:hAnsi="Times New Roman"/>
          <w:sz w:val="21"/>
          <w:szCs w:val="21"/>
          <w:color w:val="auto"/>
        </w:rPr>
        <w:t xml:space="preserve"> entity </w:t>
      </w:r>
      <w:r>
        <w:rPr>
          <w:rFonts w:ascii="Times New Roman" w:cs="Times New Roman" w:eastAsia="Times New Roman" w:hAnsi="Times New Roman"/>
          <w:sz w:val="19"/>
          <w:szCs w:val="19"/>
          <w:color w:val="auto"/>
        </w:rPr>
        <w:t>or its parent, with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substantially the </w:t>
      </w:r>
      <w:r>
        <w:rPr>
          <w:rFonts w:ascii="Times New Roman" w:cs="Times New Roman" w:eastAsia="Times New Roman" w:hAnsi="Times New Roman"/>
          <w:sz w:val="21"/>
          <w:szCs w:val="21"/>
          <w:color w:val="auto"/>
        </w:rPr>
        <w:t>same</w:t>
      </w:r>
      <w:r>
        <w:rPr>
          <w:rFonts w:ascii="Times New Roman" w:cs="Times New Roman" w:eastAsia="Times New Roman" w:hAnsi="Times New Roman"/>
          <w:sz w:val="19"/>
          <w:szCs w:val="19"/>
          <w:color w:val="auto"/>
        </w:rPr>
        <w:t xml:space="preserve"> terms and equivalent value </w:t>
      </w:r>
      <w:r>
        <w:rPr>
          <w:rFonts w:ascii="Times New Roman" w:cs="Times New Roman" w:eastAsia="Times New Roman" w:hAnsi="Times New Roman"/>
          <w:sz w:val="21"/>
          <w:szCs w:val="21"/>
          <w:color w:val="auto"/>
        </w:rPr>
        <w:t>as</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21"/>
          <w:szCs w:val="21"/>
          <w:color w:val="auto"/>
        </w:rPr>
        <w:t>Award</w:t>
      </w:r>
      <w:r>
        <w:rPr>
          <w:rFonts w:ascii="Times New Roman" w:cs="Times New Roman" w:eastAsia="Times New Roman" w:hAnsi="Times New Roman"/>
          <w:sz w:val="19"/>
          <w:szCs w:val="19"/>
          <w:color w:val="auto"/>
        </w:rPr>
        <w:t xml:space="preserve"> (other </w:t>
      </w:r>
      <w:r>
        <w:rPr>
          <w:rFonts w:ascii="Times New Roman" w:cs="Times New Roman" w:eastAsia="Times New Roman" w:hAnsi="Times New Roman"/>
          <w:sz w:val="21"/>
          <w:szCs w:val="21"/>
          <w:color w:val="auto"/>
        </w:rPr>
        <w:t>than Performance</w:t>
      </w:r>
      <w:r>
        <w:rPr>
          <w:rFonts w:ascii="Times New Roman" w:cs="Times New Roman" w:eastAsia="Times New Roman" w:hAnsi="Times New Roman"/>
          <w:sz w:val="19"/>
          <w:szCs w:val="19"/>
          <w:color w:val="auto"/>
        </w:rPr>
        <w:t xml:space="preserve"> Goals), which are </w:t>
      </w:r>
      <w:r>
        <w:rPr>
          <w:rFonts w:ascii="Times New Roman" w:cs="Times New Roman" w:eastAsia="Times New Roman" w:hAnsi="Times New Roman"/>
          <w:sz w:val="21"/>
          <w:szCs w:val="21"/>
          <w:color w:val="auto"/>
        </w:rPr>
        <w:t>or</w:t>
      </w:r>
      <w:r>
        <w:rPr>
          <w:rFonts w:ascii="Times New Roman" w:cs="Times New Roman" w:eastAsia="Times New Roman" w:hAnsi="Times New Roman"/>
          <w:sz w:val="19"/>
          <w:szCs w:val="19"/>
          <w:color w:val="auto"/>
        </w:rPr>
        <w:t xml:space="preserve"> promptly will be registered</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under the Securities Act of 1933, </w:t>
      </w:r>
      <w:r>
        <w:rPr>
          <w:rFonts w:ascii="Times New Roman" w:cs="Times New Roman" w:eastAsia="Times New Roman" w:hAnsi="Times New Roman"/>
          <w:sz w:val="21"/>
          <w:szCs w:val="21"/>
          <w:color w:val="auto"/>
        </w:rPr>
        <w:t>as</w:t>
      </w:r>
      <w:r>
        <w:rPr>
          <w:rFonts w:ascii="Times New Roman" w:cs="Times New Roman" w:eastAsia="Times New Roman" w:hAnsi="Times New Roman"/>
          <w:sz w:val="20"/>
          <w:szCs w:val="20"/>
          <w:color w:val="auto"/>
        </w:rPr>
        <w:t xml:space="preserve"> amended,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tradable </w:t>
      </w:r>
      <w:r>
        <w:rPr>
          <w:rFonts w:ascii="Times New Roman" w:cs="Times New Roman" w:eastAsia="Times New Roman" w:hAnsi="Times New Roman"/>
          <w:sz w:val="21"/>
          <w:szCs w:val="21"/>
          <w:color w:val="auto"/>
        </w:rPr>
        <w:t>on an established</w:t>
      </w:r>
      <w:r>
        <w:rPr>
          <w:rFonts w:ascii="Times New Roman" w:cs="Times New Roman" w:eastAsia="Times New Roman" w:hAnsi="Times New Roman"/>
          <w:sz w:val="20"/>
          <w:szCs w:val="20"/>
          <w:color w:val="auto"/>
        </w:rPr>
        <w:t xml:space="preserve"> United States securities exchange, </w:t>
      </w:r>
      <w:r>
        <w:rPr>
          <w:rFonts w:ascii="Times New Roman" w:cs="Times New Roman" w:eastAsia="Times New Roman" w:hAnsi="Times New Roman"/>
          <w:sz w:val="21"/>
          <w:szCs w:val="21"/>
          <w:color w:val="auto"/>
        </w:rPr>
        <w:t>then,</w:t>
      </w:r>
      <w:r>
        <w:rPr>
          <w:rFonts w:ascii="Times New Roman" w:cs="Times New Roman" w:eastAsia="Times New Roman" w:hAnsi="Times New Roman"/>
          <w:sz w:val="20"/>
          <w:szCs w:val="20"/>
          <w:color w:val="auto"/>
        </w:rPr>
        <w:t xml:space="preserve"> unless otherwise determined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Committee,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1"/>
          <w:szCs w:val="21"/>
          <w:color w:val="auto"/>
        </w:rPr>
        <w:t>number of</w:t>
      </w:r>
      <w:r>
        <w:rPr>
          <w:rFonts w:ascii="Times New Roman" w:cs="Times New Roman" w:eastAsia="Times New Roman" w:hAnsi="Times New Roman"/>
          <w:sz w:val="20"/>
          <w:szCs w:val="20"/>
          <w:color w:val="auto"/>
        </w:rPr>
        <w:t xml:space="preserve"> unvested PSUs will </w:t>
      </w:r>
      <w:r>
        <w:rPr>
          <w:rFonts w:ascii="Times New Roman" w:cs="Times New Roman" w:eastAsia="Times New Roman" w:hAnsi="Times New Roman"/>
          <w:sz w:val="21"/>
          <w:szCs w:val="21"/>
          <w:color w:val="auto"/>
        </w:rPr>
        <w:t>be</w:t>
      </w:r>
      <w:r>
        <w:rPr>
          <w:rFonts w:ascii="Times New Roman" w:cs="Times New Roman" w:eastAsia="Times New Roman" w:hAnsi="Times New Roman"/>
          <w:sz w:val="20"/>
          <w:szCs w:val="20"/>
          <w:color w:val="auto"/>
        </w:rPr>
        <w:t xml:space="preserve"> deemed earned and will vest </w:t>
      </w:r>
      <w:r>
        <w:rPr>
          <w:rFonts w:ascii="Times New Roman" w:cs="Times New Roman" w:eastAsia="Times New Roman" w:hAnsi="Times New Roman"/>
          <w:sz w:val="21"/>
          <w:szCs w:val="21"/>
          <w:color w:val="auto"/>
        </w:rPr>
        <w:t>upon the</w:t>
      </w:r>
      <w:r>
        <w:rPr>
          <w:rFonts w:ascii="Times New Roman" w:cs="Times New Roman" w:eastAsia="Times New Roman" w:hAnsi="Times New Roman"/>
          <w:sz w:val="20"/>
          <w:szCs w:val="20"/>
          <w:color w:val="auto"/>
        </w:rPr>
        <w:t xml:space="preserve"> Change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Control </w:t>
      </w:r>
      <w:r>
        <w:rPr>
          <w:rFonts w:ascii="Times New Roman" w:cs="Times New Roman" w:eastAsia="Times New Roman" w:hAnsi="Times New Roman"/>
          <w:sz w:val="21"/>
          <w:szCs w:val="21"/>
          <w:color w:val="auto"/>
        </w:rPr>
        <w:t>as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determined </w:t>
      </w:r>
      <w:r>
        <w:rPr>
          <w:rFonts w:ascii="Times New Roman" w:cs="Times New Roman" w:eastAsia="Times New Roman" w:hAnsi="Times New Roman"/>
          <w:sz w:val="21"/>
          <w:szCs w:val="21"/>
          <w:color w:val="auto"/>
        </w:rPr>
        <w:t>by the Committee</w:t>
      </w:r>
      <w:r>
        <w:rPr>
          <w:rFonts w:ascii="Times New Roman" w:cs="Times New Roman" w:eastAsia="Times New Roman" w:hAnsi="Times New Roman"/>
          <w:sz w:val="20"/>
          <w:szCs w:val="20"/>
          <w:color w:val="auto"/>
        </w:rPr>
        <w:t xml:space="preserve"> based </w:t>
      </w:r>
      <w:r>
        <w:rPr>
          <w:rFonts w:ascii="Times New Roman" w:cs="Times New Roman" w:eastAsia="Times New Roman" w:hAnsi="Times New Roman"/>
          <w:sz w:val="21"/>
          <w:szCs w:val="21"/>
          <w:color w:val="auto"/>
        </w:rPr>
        <w:t>on the</w:t>
      </w:r>
      <w:r>
        <w:rPr>
          <w:rFonts w:ascii="Times New Roman" w:cs="Times New Roman" w:eastAsia="Times New Roman" w:hAnsi="Times New Roman"/>
          <w:sz w:val="20"/>
          <w:szCs w:val="20"/>
          <w:color w:val="auto"/>
        </w:rPr>
        <w:t xml:space="preserve"> greater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(i) the </w:t>
      </w:r>
      <w:r>
        <w:rPr>
          <w:rFonts w:ascii="Times New Roman" w:cs="Times New Roman" w:eastAsia="Times New Roman" w:hAnsi="Times New Roman"/>
          <w:sz w:val="21"/>
          <w:szCs w:val="21"/>
          <w:color w:val="auto"/>
        </w:rPr>
        <w:t>target level</w:t>
      </w:r>
      <w:r>
        <w:rPr>
          <w:rFonts w:ascii="Times New Roman" w:cs="Times New Roman" w:eastAsia="Times New Roman" w:hAnsi="Times New Roman"/>
          <w:sz w:val="20"/>
          <w:szCs w:val="20"/>
          <w:color w:val="auto"/>
        </w:rPr>
        <w:t xml:space="preserve"> of performance </w:t>
      </w:r>
      <w:r>
        <w:rPr>
          <w:rFonts w:ascii="Times New Roman" w:cs="Times New Roman" w:eastAsia="Times New Roman" w:hAnsi="Times New Roman"/>
          <w:sz w:val="21"/>
          <w:szCs w:val="21"/>
          <w:color w:val="auto"/>
        </w:rPr>
        <w:t>or (ii) the actual level of performance</w:t>
      </w:r>
      <w:r>
        <w:rPr>
          <w:rFonts w:ascii="Times New Roman" w:cs="Times New Roman" w:eastAsia="Times New Roman" w:hAnsi="Times New Roman"/>
          <w:sz w:val="20"/>
          <w:szCs w:val="20"/>
          <w:color w:val="auto"/>
        </w:rPr>
        <w:t xml:space="preserve"> with respect </w:t>
      </w:r>
      <w:r>
        <w:rPr>
          <w:rFonts w:ascii="Times New Roman" w:cs="Times New Roman" w:eastAsia="Times New Roman" w:hAnsi="Times New Roman"/>
          <w:sz w:val="21"/>
          <w:szCs w:val="21"/>
          <w:color w:val="auto"/>
        </w:rPr>
        <w:t>to the Performance Period</w:t>
      </w:r>
      <w:r>
        <w:rPr>
          <w:rFonts w:ascii="Times New Roman" w:cs="Times New Roman" w:eastAsia="Times New Roman" w:hAnsi="Times New Roman"/>
          <w:sz w:val="20"/>
          <w:szCs w:val="20"/>
          <w:color w:val="auto"/>
        </w:rPr>
        <w:t xml:space="preserve"> ending </w:t>
      </w:r>
      <w:r>
        <w:rPr>
          <w:rFonts w:ascii="Times New Roman" w:cs="Times New Roman" w:eastAsia="Times New Roman" w:hAnsi="Times New Roman"/>
          <w:sz w:val="21"/>
          <w:szCs w:val="21"/>
          <w:color w:val="auto"/>
        </w:rPr>
        <w:t>on</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date of</w:t>
      </w:r>
      <w:r>
        <w:rPr>
          <w:rFonts w:ascii="Times New Roman" w:cs="Times New Roman" w:eastAsia="Times New Roman" w:hAnsi="Times New Roman"/>
          <w:sz w:val="20"/>
          <w:szCs w:val="20"/>
          <w:color w:val="auto"/>
        </w:rPr>
        <w:t xml:space="preserve"> the Change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Control.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If,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connection with a </w:t>
      </w:r>
      <w:r>
        <w:rPr>
          <w:rFonts w:ascii="Times New Roman" w:cs="Times New Roman" w:eastAsia="Times New Roman" w:hAnsi="Times New Roman"/>
          <w:sz w:val="21"/>
          <w:szCs w:val="21"/>
          <w:color w:val="auto"/>
        </w:rPr>
        <w:t>Change in</w:t>
      </w:r>
      <w:r>
        <w:rPr>
          <w:rFonts w:ascii="Times New Roman" w:cs="Times New Roman" w:eastAsia="Times New Roman" w:hAnsi="Times New Roman"/>
          <w:sz w:val="20"/>
          <w:szCs w:val="20"/>
          <w:color w:val="auto"/>
        </w:rPr>
        <w:t xml:space="preserve"> Control, the successor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surviving </w:t>
      </w:r>
      <w:r>
        <w:rPr>
          <w:rFonts w:ascii="Times New Roman" w:cs="Times New Roman" w:eastAsia="Times New Roman" w:hAnsi="Times New Roman"/>
          <w:sz w:val="21"/>
          <w:szCs w:val="21"/>
          <w:color w:val="auto"/>
        </w:rPr>
        <w:t>entity or its</w:t>
      </w:r>
      <w:r>
        <w:rPr>
          <w:rFonts w:ascii="Times New Roman" w:cs="Times New Roman" w:eastAsia="Times New Roman" w:hAnsi="Times New Roman"/>
          <w:sz w:val="20"/>
          <w:szCs w:val="20"/>
          <w:color w:val="auto"/>
        </w:rPr>
        <w:t xml:space="preserve"> parent </w:t>
      </w:r>
      <w:r>
        <w:rPr>
          <w:rFonts w:ascii="Times New Roman" w:cs="Times New Roman" w:eastAsia="Times New Roman" w:hAnsi="Times New Roman"/>
          <w:sz w:val="21"/>
          <w:szCs w:val="21"/>
          <w:color w:val="auto"/>
        </w:rPr>
        <w:t>has so</w:t>
      </w:r>
      <w:r>
        <w:rPr>
          <w:rFonts w:ascii="Times New Roman" w:cs="Times New Roman" w:eastAsia="Times New Roman" w:hAnsi="Times New Roman"/>
          <w:sz w:val="20"/>
          <w:szCs w:val="20"/>
          <w:color w:val="auto"/>
        </w:rPr>
        <w:t xml:space="preserve"> assumed, continued, </w:t>
      </w:r>
      <w:r>
        <w:rPr>
          <w:rFonts w:ascii="Times New Roman" w:cs="Times New Roman" w:eastAsia="Times New Roman" w:hAnsi="Times New Roman"/>
          <w:sz w:val="21"/>
          <w:szCs w:val="21"/>
          <w:color w:val="auto"/>
        </w:rPr>
        <w:t>substituted</w:t>
      </w:r>
      <w:r>
        <w:rPr>
          <w:rFonts w:ascii="Times New Roman" w:cs="Times New Roman" w:eastAsia="Times New Roman" w:hAnsi="Times New Roman"/>
          <w:sz w:val="20"/>
          <w:szCs w:val="20"/>
          <w:color w:val="auto"/>
        </w:rPr>
        <w:t xml:space="preserve"> for </w:t>
      </w:r>
      <w:r>
        <w:rPr>
          <w:rFonts w:ascii="Times New Roman" w:cs="Times New Roman" w:eastAsia="Times New Roman" w:hAnsi="Times New Roman"/>
          <w:sz w:val="21"/>
          <w:szCs w:val="21"/>
          <w:color w:val="auto"/>
        </w:rPr>
        <w:t>or</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replaced this </w:t>
      </w:r>
      <w:r>
        <w:rPr>
          <w:rFonts w:ascii="Times New Roman" w:cs="Times New Roman" w:eastAsia="Times New Roman" w:hAnsi="Times New Roman"/>
          <w:sz w:val="21"/>
          <w:szCs w:val="21"/>
          <w:color w:val="auto"/>
        </w:rPr>
        <w:t>Award, then,</w:t>
      </w:r>
      <w:r>
        <w:rPr>
          <w:rFonts w:ascii="Times New Roman" w:cs="Times New Roman" w:eastAsia="Times New Roman" w:hAnsi="Times New Roman"/>
          <w:sz w:val="20"/>
          <w:szCs w:val="20"/>
          <w:color w:val="auto"/>
        </w:rPr>
        <w:t xml:space="preserve"> unless otherwise determined by the </w:t>
      </w:r>
      <w:r>
        <w:rPr>
          <w:rFonts w:ascii="Times New Roman" w:cs="Times New Roman" w:eastAsia="Times New Roman" w:hAnsi="Times New Roman"/>
          <w:sz w:val="21"/>
          <w:szCs w:val="21"/>
          <w:color w:val="auto"/>
        </w:rPr>
        <w:t>Committee, any</w:t>
      </w:r>
      <w:r>
        <w:rPr>
          <w:rFonts w:ascii="Times New Roman" w:cs="Times New Roman" w:eastAsia="Times New Roman" w:hAnsi="Times New Roman"/>
          <w:sz w:val="20"/>
          <w:szCs w:val="20"/>
          <w:color w:val="auto"/>
        </w:rPr>
        <w:t xml:space="preserve"> performance vesting conditions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respect of </w:t>
      </w:r>
      <w:r>
        <w:rPr>
          <w:rFonts w:ascii="Times New Roman" w:cs="Times New Roman" w:eastAsia="Times New Roman" w:hAnsi="Times New Roman"/>
          <w:sz w:val="21"/>
          <w:szCs w:val="21"/>
          <w:color w:val="auto"/>
        </w:rPr>
        <w:t>the PSUs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shall </w:t>
      </w:r>
      <w:r>
        <w:rPr>
          <w:rFonts w:ascii="Times New Roman" w:cs="Times New Roman" w:eastAsia="Times New Roman" w:hAnsi="Times New Roman"/>
          <w:sz w:val="19"/>
          <w:szCs w:val="19"/>
          <w:color w:val="auto"/>
        </w:rPr>
        <w:t>lapse upon the Change</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19"/>
          <w:szCs w:val="19"/>
          <w:color w:val="auto"/>
        </w:rPr>
        <w:t>Control, and</w:t>
      </w:r>
      <w:r>
        <w:rPr>
          <w:rFonts w:ascii="Times New Roman" w:cs="Times New Roman" w:eastAsia="Times New Roman" w:hAnsi="Times New Roman"/>
          <w:sz w:val="21"/>
          <w:szCs w:val="21"/>
          <w:color w:val="auto"/>
        </w:rPr>
        <w:t xml:space="preserve"> the number </w:t>
      </w:r>
      <w:r>
        <w:rPr>
          <w:rFonts w:ascii="Times New Roman" w:cs="Times New Roman" w:eastAsia="Times New Roman" w:hAnsi="Times New Roman"/>
          <w:sz w:val="19"/>
          <w:szCs w:val="19"/>
          <w:color w:val="auto"/>
        </w:rPr>
        <w:t>of Earned PSUs</w:t>
      </w:r>
      <w:r>
        <w:rPr>
          <w:rFonts w:ascii="Times New Roman" w:cs="Times New Roman" w:eastAsia="Times New Roman" w:hAnsi="Times New Roman"/>
          <w:sz w:val="21"/>
          <w:szCs w:val="21"/>
          <w:color w:val="auto"/>
        </w:rPr>
        <w:t xml:space="preserve"> shall be </w:t>
      </w:r>
      <w:r>
        <w:rPr>
          <w:rFonts w:ascii="Times New Roman" w:cs="Times New Roman" w:eastAsia="Times New Roman" w:hAnsi="Times New Roman"/>
          <w:sz w:val="19"/>
          <w:szCs w:val="19"/>
          <w:color w:val="auto"/>
        </w:rPr>
        <w:t>determined based on</w:t>
      </w:r>
      <w:r>
        <w:rPr>
          <w:rFonts w:ascii="Times New Roman" w:cs="Times New Roman" w:eastAsia="Times New Roman" w:hAnsi="Times New Roman"/>
          <w:sz w:val="21"/>
          <w:szCs w:val="21"/>
          <w:color w:val="auto"/>
        </w:rPr>
        <w:t xml:space="preserve"> the greater of </w:t>
      </w:r>
      <w:r>
        <w:rPr>
          <w:rFonts w:ascii="Times New Roman" w:cs="Times New Roman" w:eastAsia="Times New Roman" w:hAnsi="Times New Roman"/>
          <w:sz w:val="19"/>
          <w:szCs w:val="19"/>
          <w:color w:val="auto"/>
        </w:rPr>
        <w:t>(i) the target level of</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performance </w:t>
      </w:r>
      <w:r>
        <w:rPr>
          <w:rFonts w:ascii="Times New Roman" w:cs="Times New Roman" w:eastAsia="Times New Roman" w:hAnsi="Times New Roman"/>
          <w:sz w:val="21"/>
          <w:szCs w:val="21"/>
          <w:color w:val="auto"/>
        </w:rPr>
        <w:t>or (ii) the actual</w:t>
      </w:r>
      <w:r>
        <w:rPr>
          <w:rFonts w:ascii="Times New Roman" w:cs="Times New Roman" w:eastAsia="Times New Roman" w:hAnsi="Times New Roman"/>
          <w:sz w:val="20"/>
          <w:szCs w:val="20"/>
          <w:color w:val="auto"/>
        </w:rPr>
        <w:t xml:space="preserve"> level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performance with respect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the Performance Period ending </w:t>
      </w:r>
      <w:r>
        <w:rPr>
          <w:rFonts w:ascii="Times New Roman" w:cs="Times New Roman" w:eastAsia="Times New Roman" w:hAnsi="Times New Roman"/>
          <w:sz w:val="21"/>
          <w:szCs w:val="21"/>
          <w:color w:val="auto"/>
        </w:rPr>
        <w:t>on</w:t>
      </w:r>
      <w:r>
        <w:rPr>
          <w:rFonts w:ascii="Times New Roman" w:cs="Times New Roman" w:eastAsia="Times New Roman" w:hAnsi="Times New Roman"/>
          <w:sz w:val="20"/>
          <w:szCs w:val="20"/>
          <w:color w:val="auto"/>
        </w:rPr>
        <w:t xml:space="preserve"> the date of the </w:t>
      </w:r>
      <w:r>
        <w:rPr>
          <w:rFonts w:ascii="Times New Roman" w:cs="Times New Roman" w:eastAsia="Times New Roman" w:hAnsi="Times New Roman"/>
          <w:sz w:val="21"/>
          <w:szCs w:val="21"/>
          <w:color w:val="auto"/>
        </w:rPr>
        <w:t>Change in</w:t>
      </w:r>
      <w:r>
        <w:rPr>
          <w:rFonts w:ascii="Times New Roman" w:cs="Times New Roman" w:eastAsia="Times New Roman" w:hAnsi="Times New Roman"/>
          <w:sz w:val="20"/>
          <w:szCs w:val="20"/>
          <w:color w:val="auto"/>
        </w:rPr>
        <w:t xml:space="preserve"> Control. </w:t>
      </w:r>
      <w:r>
        <w:rPr>
          <w:rFonts w:ascii="Times New Roman" w:cs="Times New Roman" w:eastAsia="Times New Roman" w:hAnsi="Times New Roman"/>
          <w:sz w:val="21"/>
          <w:szCs w:val="21"/>
          <w:color w:val="auto"/>
        </w:rPr>
        <w:t xml:space="preserve">If </w:t>
      </w:r>
      <w:r>
        <w:rPr>
          <w:rFonts w:ascii="Times New Roman" w:cs="Times New Roman" w:eastAsia="Times New Roman" w:hAnsi="Times New Roman"/>
          <w:sz w:val="19"/>
          <w:szCs w:val="19"/>
          <w:color w:val="auto"/>
        </w:rPr>
        <w:t>your employment is terminated without</w:t>
      </w:r>
      <w:r>
        <w:rPr>
          <w:rFonts w:ascii="Times New Roman" w:cs="Times New Roman" w:eastAsia="Times New Roman" w:hAnsi="Times New Roman"/>
          <w:sz w:val="21"/>
          <w:szCs w:val="21"/>
          <w:color w:val="auto"/>
        </w:rPr>
        <w:t xml:space="preserve"> Cause or if you resign for Good </w:t>
      </w:r>
      <w:r>
        <w:rPr>
          <w:rFonts w:ascii="Times New Roman" w:cs="Times New Roman" w:eastAsia="Times New Roman" w:hAnsi="Times New Roman"/>
          <w:sz w:val="19"/>
          <w:szCs w:val="19"/>
          <w:color w:val="auto"/>
        </w:rPr>
        <w:t>Reason during the twenty-four (24) months following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Control, then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vesting </w:t>
      </w:r>
      <w:r>
        <w:rPr>
          <w:rFonts w:ascii="Times New Roman" w:cs="Times New Roman" w:eastAsia="Times New Roman" w:hAnsi="Times New Roman"/>
          <w:sz w:val="21"/>
          <w:szCs w:val="21"/>
          <w:color w:val="auto"/>
        </w:rPr>
        <w:t>of all</w:t>
      </w:r>
      <w:r>
        <w:rPr>
          <w:rFonts w:ascii="Times New Roman" w:cs="Times New Roman" w:eastAsia="Times New Roman" w:hAnsi="Times New Roman"/>
          <w:sz w:val="20"/>
          <w:szCs w:val="20"/>
          <w:color w:val="auto"/>
        </w:rPr>
        <w:t xml:space="preserve"> unvested </w:t>
      </w:r>
      <w:r>
        <w:rPr>
          <w:rFonts w:ascii="Times New Roman" w:cs="Times New Roman" w:eastAsia="Times New Roman" w:hAnsi="Times New Roman"/>
          <w:sz w:val="21"/>
          <w:szCs w:val="21"/>
          <w:color w:val="auto"/>
        </w:rPr>
        <w:t>Award</w:t>
      </w:r>
      <w:r>
        <w:rPr>
          <w:rFonts w:ascii="Times New Roman" w:cs="Times New Roman" w:eastAsia="Times New Roman" w:hAnsi="Times New Roman"/>
          <w:sz w:val="20"/>
          <w:szCs w:val="20"/>
          <w:color w:val="auto"/>
        </w:rPr>
        <w:t xml:space="preserve"> will accelerate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full </w:t>
      </w:r>
      <w:r>
        <w:rPr>
          <w:rFonts w:ascii="Times New Roman" w:cs="Times New Roman" w:eastAsia="Times New Roman" w:hAnsi="Times New Roman"/>
          <w:sz w:val="21"/>
          <w:szCs w:val="21"/>
          <w:color w:val="auto"/>
        </w:rPr>
        <w:t>as</w:t>
      </w:r>
      <w:r>
        <w:rPr>
          <w:rFonts w:ascii="Times New Roman" w:cs="Times New Roman" w:eastAsia="Times New Roman" w:hAnsi="Times New Roman"/>
          <w:sz w:val="20"/>
          <w:szCs w:val="20"/>
          <w:color w:val="auto"/>
        </w:rPr>
        <w:t xml:space="preserve"> of the date of your Termination of Service . “</w:t>
      </w:r>
      <w:r>
        <w:rPr>
          <w:rFonts w:ascii="Times New Roman" w:cs="Times New Roman" w:eastAsia="Times New Roman" w:hAnsi="Times New Roman"/>
          <w:sz w:val="21"/>
          <w:szCs w:val="21"/>
          <w:b w:val="1"/>
          <w:bCs w:val="1"/>
          <w:i w:val="1"/>
          <w:iCs w:val="1"/>
          <w:color w:val="auto"/>
        </w:rPr>
        <w:t>Good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Reason</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shall</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have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meaning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set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forth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your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Service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Agreement,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if any, or,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the absence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any such agreement or any such</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definition in such </w:t>
      </w:r>
      <w:r>
        <w:rPr>
          <w:rFonts w:ascii="Times New Roman" w:cs="Times New Roman" w:eastAsia="Times New Roman" w:hAnsi="Times New Roman"/>
          <w:sz w:val="19"/>
          <w:szCs w:val="19"/>
          <w:color w:val="auto"/>
        </w:rPr>
        <w:t>agreement,</w:t>
      </w:r>
      <w:r>
        <w:rPr>
          <w:rFonts w:ascii="Times New Roman" w:cs="Times New Roman" w:eastAsia="Times New Roman" w:hAnsi="Times New Roman"/>
          <w:sz w:val="22"/>
          <w:szCs w:val="22"/>
          <w:color w:val="auto"/>
        </w:rPr>
        <w:t xml:space="preserve"> such </w:t>
      </w:r>
      <w:r>
        <w:rPr>
          <w:rFonts w:ascii="Times New Roman" w:cs="Times New Roman" w:eastAsia="Times New Roman" w:hAnsi="Times New Roman"/>
          <w:sz w:val="19"/>
          <w:szCs w:val="19"/>
          <w:color w:val="auto"/>
        </w:rPr>
        <w:t>term</w:t>
      </w:r>
      <w:r>
        <w:rPr>
          <w:rFonts w:ascii="Times New Roman" w:cs="Times New Roman" w:eastAsia="Times New Roman" w:hAnsi="Times New Roman"/>
          <w:sz w:val="22"/>
          <w:szCs w:val="22"/>
          <w:color w:val="auto"/>
        </w:rPr>
        <w:t xml:space="preserve"> shall mean: </w:t>
      </w:r>
      <w:r>
        <w:rPr>
          <w:rFonts w:ascii="Times New Roman" w:cs="Times New Roman" w:eastAsia="Times New Roman" w:hAnsi="Times New Roman"/>
          <w:sz w:val="19"/>
          <w:szCs w:val="19"/>
          <w:color w:val="auto"/>
        </w:rPr>
        <w:t>(i) a material reduction</w:t>
      </w:r>
      <w:r>
        <w:rPr>
          <w:rFonts w:ascii="Times New Roman" w:cs="Times New Roman" w:eastAsia="Times New Roman" w:hAnsi="Times New Roman"/>
          <w:sz w:val="22"/>
          <w:szCs w:val="22"/>
          <w:color w:val="auto"/>
        </w:rPr>
        <w:t xml:space="preserve"> in </w:t>
      </w:r>
      <w:r>
        <w:rPr>
          <w:rFonts w:ascii="Times New Roman" w:cs="Times New Roman" w:eastAsia="Times New Roman" w:hAnsi="Times New Roman"/>
          <w:sz w:val="19"/>
          <w:szCs w:val="19"/>
          <w:color w:val="auto"/>
        </w:rPr>
        <w:t>your</w:t>
      </w:r>
      <w:r>
        <w:rPr>
          <w:rFonts w:ascii="Times New Roman" w:cs="Times New Roman" w:eastAsia="Times New Roman" w:hAnsi="Times New Roman"/>
          <w:sz w:val="22"/>
          <w:szCs w:val="22"/>
          <w:color w:val="auto"/>
        </w:rPr>
        <w:t xml:space="preserve"> base salary or </w:t>
      </w:r>
      <w:r>
        <w:rPr>
          <w:rFonts w:ascii="Times New Roman" w:cs="Times New Roman" w:eastAsia="Times New Roman" w:hAnsi="Times New Roman"/>
          <w:sz w:val="19"/>
          <w:szCs w:val="19"/>
          <w:color w:val="auto"/>
        </w:rPr>
        <w:t>target annual bonus opportunity; (ii)</w:t>
      </w:r>
      <w:r>
        <w:rPr>
          <w:rFonts w:ascii="Times New Roman" w:cs="Times New Roman" w:eastAsia="Times New Roman" w:hAnsi="Times New Roman"/>
          <w:sz w:val="22"/>
          <w:szCs w:val="22"/>
          <w:color w:val="auto"/>
        </w:rPr>
        <w:t xml:space="preserve"> a relocation </w:t>
      </w:r>
      <w:r>
        <w:rPr>
          <w:rFonts w:ascii="Times New Roman" w:cs="Times New Roman" w:eastAsia="Times New Roman" w:hAnsi="Times New Roman"/>
          <w:sz w:val="19"/>
          <w:szCs w:val="19"/>
          <w:color w:val="auto"/>
        </w:rPr>
        <w:t>of your primary</w:t>
      </w:r>
      <w:r>
        <w:rPr>
          <w:rFonts w:ascii="Times New Roman" w:cs="Times New Roman" w:eastAsia="Times New Roman" w:hAnsi="Times New Roman"/>
          <w:sz w:val="22"/>
          <w:szCs w:val="22"/>
          <w:color w:val="auto"/>
        </w:rPr>
        <w:t xml:space="preserve"> location of employment </w:t>
      </w:r>
      <w:r>
        <w:rPr>
          <w:rFonts w:ascii="Times New Roman" w:cs="Times New Roman" w:eastAsia="Times New Roman" w:hAnsi="Times New Roman"/>
          <w:sz w:val="19"/>
          <w:szCs w:val="19"/>
          <w:color w:val="auto"/>
        </w:rPr>
        <w:t>to</w:t>
      </w:r>
      <w:r>
        <w:rPr>
          <w:rFonts w:ascii="Times New Roman" w:cs="Times New Roman" w:eastAsia="Times New Roman" w:hAnsi="Times New Roman"/>
          <w:sz w:val="22"/>
          <w:szCs w:val="22"/>
          <w:color w:val="auto"/>
        </w:rPr>
        <w:t xml:space="preserve"> more </w:t>
      </w:r>
      <w:r>
        <w:rPr>
          <w:rFonts w:ascii="Times New Roman" w:cs="Times New Roman" w:eastAsia="Times New Roman" w:hAnsi="Times New Roman"/>
          <w:sz w:val="19"/>
          <w:szCs w:val="19"/>
          <w:color w:val="auto"/>
        </w:rPr>
        <w:t>than</w:t>
      </w:r>
      <w:r>
        <w:rPr>
          <w:rFonts w:ascii="Times New Roman" w:cs="Times New Roman" w:eastAsia="Times New Roman" w:hAnsi="Times New Roman"/>
          <w:sz w:val="22"/>
          <w:szCs w:val="22"/>
          <w:color w:val="auto"/>
        </w:rPr>
        <w:t xml:space="preserve"> 50 </w:t>
      </w:r>
      <w:r>
        <w:rPr>
          <w:rFonts w:ascii="Times New Roman" w:cs="Times New Roman" w:eastAsia="Times New Roman" w:hAnsi="Times New Roman"/>
          <w:sz w:val="19"/>
          <w:szCs w:val="19"/>
          <w:color w:val="auto"/>
        </w:rPr>
        <w:t>miles</w:t>
      </w:r>
      <w:r>
        <w:rPr>
          <w:rFonts w:ascii="Times New Roman" w:cs="Times New Roman" w:eastAsia="Times New Roman" w:hAnsi="Times New Roman"/>
          <w:sz w:val="22"/>
          <w:szCs w:val="22"/>
          <w:color w:val="auto"/>
        </w:rPr>
        <w:t xml:space="preserve"> from </w:t>
      </w:r>
      <w:r>
        <w:rPr>
          <w:rFonts w:ascii="Times New Roman" w:cs="Times New Roman" w:eastAsia="Times New Roman" w:hAnsi="Times New Roman"/>
          <w:sz w:val="19"/>
          <w:szCs w:val="19"/>
          <w:color w:val="auto"/>
        </w:rPr>
        <w:t>your</w:t>
      </w:r>
      <w:r>
        <w:rPr>
          <w:rFonts w:ascii="Times New Roman" w:cs="Times New Roman" w:eastAsia="Times New Roman" w:hAnsi="Times New Roman"/>
          <w:sz w:val="22"/>
          <w:szCs w:val="22"/>
          <w:color w:val="auto"/>
        </w:rPr>
        <w:t xml:space="preserve"> current </w:t>
      </w:r>
      <w:r>
        <w:rPr>
          <w:rFonts w:ascii="Times New Roman" w:cs="Times New Roman" w:eastAsia="Times New Roman" w:hAnsi="Times New Roman"/>
          <w:sz w:val="19"/>
          <w:szCs w:val="19"/>
          <w:color w:val="auto"/>
        </w:rPr>
        <w:t>primary</w:t>
      </w:r>
      <w:r>
        <w:rPr>
          <w:rFonts w:ascii="Times New Roman" w:cs="Times New Roman" w:eastAsia="Times New Roman" w:hAnsi="Times New Roman"/>
          <w:sz w:val="22"/>
          <w:szCs w:val="22"/>
          <w:color w:val="auto"/>
        </w:rPr>
        <w:t xml:space="preserve"> location of </w:t>
      </w:r>
      <w:r>
        <w:rPr>
          <w:rFonts w:ascii="Times New Roman" w:cs="Times New Roman" w:eastAsia="Times New Roman" w:hAnsi="Times New Roman"/>
          <w:sz w:val="19"/>
          <w:szCs w:val="19"/>
          <w:color w:val="auto"/>
        </w:rPr>
        <w:t>employment;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19"/>
          <w:szCs w:val="19"/>
          <w:color w:val="auto"/>
        </w:rPr>
        <w:t>(iii)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breach </w:t>
      </w:r>
      <w:r>
        <w:rPr>
          <w:rFonts w:ascii="Times New Roman" w:cs="Times New Roman" w:eastAsia="Times New Roman" w:hAnsi="Times New Roman"/>
          <w:sz w:val="21"/>
          <w:szCs w:val="21"/>
          <w:color w:val="auto"/>
        </w:rPr>
        <w:t>by</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21"/>
          <w:szCs w:val="21"/>
          <w:color w:val="auto"/>
        </w:rPr>
        <w:t>Company</w:t>
      </w:r>
      <w:r>
        <w:rPr>
          <w:rFonts w:ascii="Times New Roman" w:cs="Times New Roman" w:eastAsia="Times New Roman" w:hAnsi="Times New Roman"/>
          <w:sz w:val="19"/>
          <w:szCs w:val="19"/>
          <w:color w:val="auto"/>
        </w:rPr>
        <w:t xml:space="preserve"> or its Subsidiaries of </w:t>
      </w:r>
      <w:r>
        <w:rPr>
          <w:rFonts w:ascii="Times New Roman" w:cs="Times New Roman" w:eastAsia="Times New Roman" w:hAnsi="Times New Roman"/>
          <w:sz w:val="21"/>
          <w:szCs w:val="21"/>
          <w:color w:val="auto"/>
        </w:rPr>
        <w:t>any</w:t>
      </w:r>
      <w:r>
        <w:rPr>
          <w:rFonts w:ascii="Times New Roman" w:cs="Times New Roman" w:eastAsia="Times New Roman" w:hAnsi="Times New Roman"/>
          <w:sz w:val="19"/>
          <w:szCs w:val="19"/>
          <w:color w:val="auto"/>
        </w:rPr>
        <w:t xml:space="preserve"> material </w:t>
      </w:r>
      <w:r>
        <w:rPr>
          <w:rFonts w:ascii="Times New Roman" w:cs="Times New Roman" w:eastAsia="Times New Roman" w:hAnsi="Times New Roman"/>
          <w:sz w:val="21"/>
          <w:szCs w:val="21"/>
          <w:color w:val="auto"/>
        </w:rPr>
        <w:t>written</w:t>
      </w:r>
      <w:r>
        <w:rPr>
          <w:rFonts w:ascii="Times New Roman" w:cs="Times New Roman" w:eastAsia="Times New Roman" w:hAnsi="Times New Roman"/>
          <w:sz w:val="19"/>
          <w:szCs w:val="19"/>
          <w:color w:val="auto"/>
        </w:rPr>
        <w:t xml:space="preserve"> agreement between </w:t>
      </w:r>
      <w:r>
        <w:rPr>
          <w:rFonts w:ascii="Times New Roman" w:cs="Times New Roman" w:eastAsia="Times New Roman" w:hAnsi="Times New Roman"/>
          <w:sz w:val="21"/>
          <w:szCs w:val="21"/>
          <w:color w:val="auto"/>
        </w:rPr>
        <w:t>you</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9"/>
          <w:szCs w:val="19"/>
          <w:color w:val="auto"/>
        </w:rPr>
        <w:t xml:space="preserve"> Company and its Subsidiaries;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provided, that “Good Reason” shall </w:t>
      </w:r>
      <w:r>
        <w:rPr>
          <w:rFonts w:ascii="Times New Roman" w:cs="Times New Roman" w:eastAsia="Times New Roman" w:hAnsi="Times New Roman"/>
          <w:sz w:val="19"/>
          <w:szCs w:val="19"/>
          <w:color w:val="auto"/>
        </w:rPr>
        <w:t>not exist unless</w:t>
      </w:r>
      <w:r>
        <w:rPr>
          <w:rFonts w:ascii="Times New Roman" w:cs="Times New Roman" w:eastAsia="Times New Roman" w:hAnsi="Times New Roman"/>
          <w:sz w:val="22"/>
          <w:szCs w:val="22"/>
          <w:color w:val="auto"/>
        </w:rPr>
        <w:t xml:space="preserve"> (A) you </w:t>
      </w:r>
      <w:r>
        <w:rPr>
          <w:rFonts w:ascii="Times New Roman" w:cs="Times New Roman" w:eastAsia="Times New Roman" w:hAnsi="Times New Roman"/>
          <w:sz w:val="19"/>
          <w:szCs w:val="19"/>
          <w:color w:val="auto"/>
        </w:rPr>
        <w:t>provide the Company with</w:t>
      </w:r>
      <w:r>
        <w:rPr>
          <w:rFonts w:ascii="Times New Roman" w:cs="Times New Roman" w:eastAsia="Times New Roman" w:hAnsi="Times New Roman"/>
          <w:sz w:val="22"/>
          <w:szCs w:val="22"/>
          <w:color w:val="auto"/>
        </w:rPr>
        <w:t xml:space="preserve"> written </w:t>
      </w:r>
      <w:r>
        <w:rPr>
          <w:rFonts w:ascii="Times New Roman" w:cs="Times New Roman" w:eastAsia="Times New Roman" w:hAnsi="Times New Roman"/>
          <w:sz w:val="19"/>
          <w:szCs w:val="19"/>
          <w:color w:val="auto"/>
        </w:rPr>
        <w:t>notice</w:t>
      </w:r>
      <w:r>
        <w:rPr>
          <w:rFonts w:ascii="Times New Roman" w:cs="Times New Roman" w:eastAsia="Times New Roman" w:hAnsi="Times New Roman"/>
          <w:sz w:val="22"/>
          <w:szCs w:val="22"/>
          <w:color w:val="auto"/>
        </w:rPr>
        <w:t xml:space="preserve"> no later </w:t>
      </w:r>
      <w:r>
        <w:rPr>
          <w:rFonts w:ascii="Times New Roman" w:cs="Times New Roman" w:eastAsia="Times New Roman" w:hAnsi="Times New Roman"/>
          <w:sz w:val="19"/>
          <w:szCs w:val="19"/>
          <w:color w:val="auto"/>
        </w:rPr>
        <w:t>than</w:t>
      </w:r>
      <w:r>
        <w:rPr>
          <w:rFonts w:ascii="Times New Roman" w:cs="Times New Roman" w:eastAsia="Times New Roman" w:hAnsi="Times New Roman"/>
          <w:sz w:val="22"/>
          <w:szCs w:val="22"/>
          <w:color w:val="auto"/>
        </w:rPr>
        <w:t xml:space="preserve"> 30 </w:t>
      </w:r>
      <w:r>
        <w:rPr>
          <w:rFonts w:ascii="Times New Roman" w:cs="Times New Roman" w:eastAsia="Times New Roman" w:hAnsi="Times New Roman"/>
          <w:sz w:val="19"/>
          <w:szCs w:val="19"/>
          <w:color w:val="auto"/>
        </w:rPr>
        <w:t>days after</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19"/>
          <w:szCs w:val="19"/>
          <w:color w:val="auto"/>
        </w:rPr>
        <w:t xml:space="preserve">occurrence of the </w:t>
      </w:r>
      <w:r>
        <w:rPr>
          <w:rFonts w:ascii="Times New Roman" w:cs="Times New Roman" w:eastAsia="Times New Roman" w:hAnsi="Times New Roman"/>
          <w:sz w:val="21"/>
          <w:szCs w:val="21"/>
          <w:color w:val="auto"/>
        </w:rPr>
        <w:t>event</w:t>
      </w:r>
      <w:r>
        <w:rPr>
          <w:rFonts w:ascii="Times New Roman" w:cs="Times New Roman" w:eastAsia="Times New Roman" w:hAnsi="Times New Roman"/>
          <w:sz w:val="19"/>
          <w:szCs w:val="19"/>
          <w:color w:val="auto"/>
        </w:rPr>
        <w:t xml:space="preserve"> purported </w:t>
      </w:r>
      <w:r>
        <w:rPr>
          <w:rFonts w:ascii="Times New Roman" w:cs="Times New Roman" w:eastAsia="Times New Roman" w:hAnsi="Times New Roman"/>
          <w:sz w:val="21"/>
          <w:szCs w:val="21"/>
          <w:color w:val="auto"/>
        </w:rPr>
        <w:t>to</w:t>
      </w:r>
      <w:r>
        <w:rPr>
          <w:rFonts w:ascii="Times New Roman" w:cs="Times New Roman" w:eastAsia="Times New Roman" w:hAnsi="Times New Roman"/>
          <w:sz w:val="19"/>
          <w:szCs w:val="19"/>
          <w:color w:val="auto"/>
        </w:rPr>
        <w:t xml:space="preserve"> the basis </w:t>
      </w:r>
      <w:r>
        <w:rPr>
          <w:rFonts w:ascii="Times New Roman" w:cs="Times New Roman" w:eastAsia="Times New Roman" w:hAnsi="Times New Roman"/>
          <w:sz w:val="21"/>
          <w:szCs w:val="21"/>
          <w:color w:val="auto"/>
        </w:rPr>
        <w:t>for Good</w:t>
      </w:r>
      <w:r>
        <w:rPr>
          <w:rFonts w:ascii="Times New Roman" w:cs="Times New Roman" w:eastAsia="Times New Roman" w:hAnsi="Times New Roman"/>
          <w:sz w:val="19"/>
          <w:szCs w:val="19"/>
          <w:color w:val="auto"/>
        </w:rPr>
        <w:t xml:space="preserve"> Reason, setting </w:t>
      </w:r>
      <w:r>
        <w:rPr>
          <w:rFonts w:ascii="Times New Roman" w:cs="Times New Roman" w:eastAsia="Times New Roman" w:hAnsi="Times New Roman"/>
          <w:sz w:val="21"/>
          <w:szCs w:val="21"/>
          <w:color w:val="auto"/>
        </w:rPr>
        <w:t>forth in</w:t>
      </w:r>
      <w:r>
        <w:rPr>
          <w:rFonts w:ascii="Times New Roman" w:cs="Times New Roman" w:eastAsia="Times New Roman" w:hAnsi="Times New Roman"/>
          <w:sz w:val="19"/>
          <w:szCs w:val="19"/>
          <w:color w:val="auto"/>
        </w:rPr>
        <w:t xml:space="preserve"> reasonable </w:t>
      </w:r>
      <w:r>
        <w:rPr>
          <w:rFonts w:ascii="Times New Roman" w:cs="Times New Roman" w:eastAsia="Times New Roman" w:hAnsi="Times New Roman"/>
          <w:sz w:val="21"/>
          <w:szCs w:val="21"/>
          <w:color w:val="auto"/>
        </w:rPr>
        <w:t>detail your basis</w:t>
      </w:r>
      <w:r>
        <w:rPr>
          <w:rFonts w:ascii="Times New Roman" w:cs="Times New Roman" w:eastAsia="Times New Roman" w:hAnsi="Times New Roman"/>
          <w:sz w:val="19"/>
          <w:szCs w:val="19"/>
          <w:color w:val="auto"/>
        </w:rPr>
        <w:t xml:space="preserve"> for a claim of </w:t>
      </w:r>
      <w:r>
        <w:rPr>
          <w:rFonts w:ascii="Times New Roman" w:cs="Times New Roman" w:eastAsia="Times New Roman" w:hAnsi="Times New Roman"/>
          <w:sz w:val="21"/>
          <w:szCs w:val="21"/>
          <w:color w:val="auto"/>
        </w:rPr>
        <w:t>Good</w:t>
      </w:r>
      <w:r>
        <w:rPr>
          <w:rFonts w:ascii="Times New Roman" w:cs="Times New Roman" w:eastAsia="Times New Roman" w:hAnsi="Times New Roman"/>
          <w:sz w:val="19"/>
          <w:szCs w:val="19"/>
          <w:color w:val="auto"/>
        </w:rPr>
        <w:t xml:space="preserve"> Reason,</w:t>
      </w:r>
    </w:p>
    <w:p>
      <w:pPr>
        <w:spacing w:after="0" w:line="1" w:lineRule="exact"/>
        <w:rPr>
          <w:sz w:val="20"/>
          <w:szCs w:val="20"/>
          <w:color w:val="auto"/>
        </w:rPr>
      </w:pPr>
    </w:p>
    <w:p>
      <w:pPr>
        <w:ind w:firstLine="8"/>
        <w:spacing w:after="0" w:line="244" w:lineRule="auto"/>
        <w:tabs>
          <w:tab w:leader="none" w:pos="31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1"/>
          <w:szCs w:val="21"/>
          <w:color w:val="auto"/>
        </w:rPr>
        <w:t>Company fails</w:t>
      </w:r>
      <w:r>
        <w:rPr>
          <w:rFonts w:ascii="Times New Roman" w:cs="Times New Roman" w:eastAsia="Times New Roman" w:hAnsi="Times New Roman"/>
          <w:sz w:val="20"/>
          <w:szCs w:val="20"/>
          <w:color w:val="auto"/>
        </w:rPr>
        <w:t xml:space="preserve"> to cure </w:t>
      </w:r>
      <w:r>
        <w:rPr>
          <w:rFonts w:ascii="Times New Roman" w:cs="Times New Roman" w:eastAsia="Times New Roman" w:hAnsi="Times New Roman"/>
          <w:sz w:val="21"/>
          <w:szCs w:val="21"/>
          <w:color w:val="auto"/>
        </w:rPr>
        <w:t>such</w:t>
      </w:r>
      <w:r>
        <w:rPr>
          <w:rFonts w:ascii="Times New Roman" w:cs="Times New Roman" w:eastAsia="Times New Roman" w:hAnsi="Times New Roman"/>
          <w:sz w:val="20"/>
          <w:szCs w:val="20"/>
          <w:color w:val="auto"/>
        </w:rPr>
        <w:t xml:space="preserve"> event within </w:t>
      </w:r>
      <w:r>
        <w:rPr>
          <w:rFonts w:ascii="Times New Roman" w:cs="Times New Roman" w:eastAsia="Times New Roman" w:hAnsi="Times New Roman"/>
          <w:sz w:val="21"/>
          <w:szCs w:val="21"/>
          <w:color w:val="auto"/>
        </w:rPr>
        <w:t>60</w:t>
      </w:r>
      <w:r>
        <w:rPr>
          <w:rFonts w:ascii="Times New Roman" w:cs="Times New Roman" w:eastAsia="Times New Roman" w:hAnsi="Times New Roman"/>
          <w:sz w:val="20"/>
          <w:szCs w:val="20"/>
          <w:color w:val="auto"/>
        </w:rPr>
        <w:t xml:space="preserve"> days after receipt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such notice, and (C)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resign from </w:t>
      </w:r>
      <w:r>
        <w:rPr>
          <w:rFonts w:ascii="Times New Roman" w:cs="Times New Roman" w:eastAsia="Times New Roman" w:hAnsi="Times New Roman"/>
          <w:sz w:val="21"/>
          <w:szCs w:val="21"/>
          <w:color w:val="auto"/>
        </w:rPr>
        <w:t>employment</w:t>
      </w:r>
      <w:r>
        <w:rPr>
          <w:rFonts w:ascii="Times New Roman" w:cs="Times New Roman" w:eastAsia="Times New Roman" w:hAnsi="Times New Roman"/>
          <w:sz w:val="20"/>
          <w:szCs w:val="20"/>
          <w:color w:val="auto"/>
        </w:rPr>
        <w:t xml:space="preserve"> and all </w:t>
      </w:r>
      <w:r>
        <w:rPr>
          <w:rFonts w:ascii="Times New Roman" w:cs="Times New Roman" w:eastAsia="Times New Roman" w:hAnsi="Times New Roman"/>
          <w:sz w:val="21"/>
          <w:szCs w:val="21"/>
          <w:color w:val="auto"/>
        </w:rPr>
        <w:t>other</w:t>
      </w:r>
      <w:r>
        <w:rPr>
          <w:rFonts w:ascii="Times New Roman" w:cs="Times New Roman" w:eastAsia="Times New Roman" w:hAnsi="Times New Roman"/>
          <w:sz w:val="20"/>
          <w:szCs w:val="20"/>
          <w:color w:val="auto"/>
        </w:rPr>
        <w:t xml:space="preserve"> positions </w:t>
      </w:r>
      <w:r>
        <w:rPr>
          <w:rFonts w:ascii="Times New Roman" w:cs="Times New Roman" w:eastAsia="Times New Roman" w:hAnsi="Times New Roman"/>
          <w:sz w:val="21"/>
          <w:szCs w:val="21"/>
          <w:color w:val="auto"/>
        </w:rPr>
        <w:t>with the</w:t>
      </w:r>
      <w:r>
        <w:rPr>
          <w:rFonts w:ascii="Times New Roman" w:cs="Times New Roman" w:eastAsia="Times New Roman" w:hAnsi="Times New Roman"/>
          <w:sz w:val="20"/>
          <w:szCs w:val="20"/>
          <w:color w:val="auto"/>
        </w:rPr>
        <w:t xml:space="preserve"> Company and its Subsidiaries no later </w:t>
      </w:r>
      <w:r>
        <w:rPr>
          <w:rFonts w:ascii="Times New Roman" w:cs="Times New Roman" w:eastAsia="Times New Roman" w:hAnsi="Times New Roman"/>
          <w:sz w:val="21"/>
          <w:szCs w:val="21"/>
          <w:color w:val="auto"/>
        </w:rPr>
        <w:t>than 30</w:t>
      </w:r>
      <w:r>
        <w:rPr>
          <w:rFonts w:ascii="Times New Roman" w:cs="Times New Roman" w:eastAsia="Times New Roman" w:hAnsi="Times New Roman"/>
          <w:sz w:val="20"/>
          <w:szCs w:val="20"/>
          <w:color w:val="auto"/>
        </w:rPr>
        <w:t xml:space="preserve"> days </w:t>
      </w:r>
      <w:r>
        <w:rPr>
          <w:rFonts w:ascii="Times New Roman" w:cs="Times New Roman" w:eastAsia="Times New Roman" w:hAnsi="Times New Roman"/>
          <w:sz w:val="21"/>
          <w:szCs w:val="21"/>
          <w:color w:val="auto"/>
        </w:rPr>
        <w:t>after</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end</w:t>
      </w:r>
      <w:r>
        <w:rPr>
          <w:rFonts w:ascii="Times New Roman" w:cs="Times New Roman" w:eastAsia="Times New Roman" w:hAnsi="Times New Roman"/>
          <w:sz w:val="20"/>
          <w:szCs w:val="20"/>
          <w:color w:val="auto"/>
        </w:rPr>
        <w:t xml:space="preserve"> of the notice period </w:t>
      </w:r>
      <w:r>
        <w:rPr>
          <w:rFonts w:ascii="Times New Roman" w:cs="Times New Roman" w:eastAsia="Times New Roman" w:hAnsi="Times New Roman"/>
          <w:sz w:val="21"/>
          <w:szCs w:val="21"/>
          <w:color w:val="auto"/>
        </w:rPr>
        <w:t>in (B).</w:t>
      </w:r>
    </w:p>
    <w:p>
      <w:pPr>
        <w:spacing w:after="0" w:line="187" w:lineRule="exact"/>
        <w:rPr>
          <w:sz w:val="20"/>
          <w:szCs w:val="20"/>
          <w:color w:val="auto"/>
        </w:rPr>
      </w:pPr>
    </w:p>
    <w:p>
      <w:pPr>
        <w:ind w:left="220" w:hanging="212"/>
        <w:spacing w:after="0"/>
        <w:tabs>
          <w:tab w:leader="none" w:pos="2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of Employment</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Except as otherwise provided in Section 5 above, in </w:t>
      </w:r>
      <w:r>
        <w:rPr>
          <w:rFonts w:ascii="Times New Roman" w:cs="Times New Roman" w:eastAsia="Times New Roman" w:hAnsi="Times New Roman"/>
          <w:sz w:val="21"/>
          <w:szCs w:val="21"/>
          <w:color w:val="auto"/>
        </w:rPr>
        <w:t>the event</w:t>
      </w:r>
      <w:r>
        <w:rPr>
          <w:rFonts w:ascii="Times New Roman" w:cs="Times New Roman" w:eastAsia="Times New Roman" w:hAnsi="Times New Roman"/>
          <w:sz w:val="20"/>
          <w:szCs w:val="20"/>
          <w:color w:val="auto"/>
        </w:rPr>
        <w:t xml:space="preserve"> of your Termination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Service for any reason before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Vesting Date, all PSUs, including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Earned PSUs, </w:t>
      </w:r>
      <w:r>
        <w:rPr>
          <w:rFonts w:ascii="Times New Roman" w:cs="Times New Roman" w:eastAsia="Times New Roman" w:hAnsi="Times New Roman"/>
          <w:sz w:val="21"/>
          <w:szCs w:val="21"/>
          <w:color w:val="auto"/>
        </w:rPr>
        <w:t>will be</w:t>
      </w:r>
      <w:r>
        <w:rPr>
          <w:rFonts w:ascii="Times New Roman" w:cs="Times New Roman" w:eastAsia="Times New Roman" w:hAnsi="Times New Roman"/>
          <w:sz w:val="20"/>
          <w:szCs w:val="20"/>
          <w:color w:val="auto"/>
        </w:rPr>
        <w:t xml:space="preserve"> cancelled and forfeited </w:t>
      </w:r>
      <w:r>
        <w:rPr>
          <w:rFonts w:ascii="Times New Roman" w:cs="Times New Roman" w:eastAsia="Times New Roman" w:hAnsi="Times New Roman"/>
          <w:sz w:val="21"/>
          <w:szCs w:val="21"/>
          <w:color w:val="auto"/>
        </w:rPr>
        <w:t>for no</w:t>
      </w:r>
      <w:r>
        <w:rPr>
          <w:rFonts w:ascii="Times New Roman" w:cs="Times New Roman" w:eastAsia="Times New Roman" w:hAnsi="Times New Roman"/>
          <w:sz w:val="20"/>
          <w:szCs w:val="20"/>
          <w:color w:val="auto"/>
        </w:rPr>
        <w:t xml:space="preserve"> consideration </w:t>
      </w:r>
      <w:r>
        <w:rPr>
          <w:rFonts w:ascii="Times New Roman" w:cs="Times New Roman" w:eastAsia="Times New Roman" w:hAnsi="Times New Roman"/>
          <w:sz w:val="21"/>
          <w:szCs w:val="21"/>
          <w:color w:val="auto"/>
        </w:rPr>
        <w:t>on</w:t>
      </w:r>
      <w:r>
        <w:rPr>
          <w:rFonts w:ascii="Times New Roman" w:cs="Times New Roman" w:eastAsia="Times New Roman" w:hAnsi="Times New Roman"/>
          <w:sz w:val="20"/>
          <w:szCs w:val="20"/>
          <w:color w:val="auto"/>
        </w:rPr>
        <w:t xml:space="preserve"> the date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such Termination </w:t>
      </w:r>
      <w:r>
        <w:rPr>
          <w:rFonts w:ascii="Times New Roman" w:cs="Times New Roman" w:eastAsia="Times New Roman" w:hAnsi="Times New Roman"/>
          <w:sz w:val="21"/>
          <w:szCs w:val="21"/>
          <w:color w:val="auto"/>
        </w:rPr>
        <w:t>of Service;</w:t>
      </w:r>
      <w:r>
        <w:rPr>
          <w:rFonts w:ascii="Times New Roman" w:cs="Times New Roman" w:eastAsia="Times New Roman" w:hAnsi="Times New Roman"/>
          <w:sz w:val="20"/>
          <w:szCs w:val="20"/>
          <w:color w:val="auto"/>
        </w:rPr>
        <w:t xml:space="preserve"> provided however, that </w:t>
      </w:r>
      <w:r>
        <w:rPr>
          <w:rFonts w:ascii="Times New Roman" w:cs="Times New Roman" w:eastAsia="Times New Roman" w:hAnsi="Times New Roman"/>
          <w:sz w:val="21"/>
          <w:szCs w:val="21"/>
          <w:color w:val="auto"/>
        </w:rPr>
        <w:t>the Committee may, in its</w:t>
      </w:r>
      <w:r>
        <w:rPr>
          <w:rFonts w:ascii="Times New Roman" w:cs="Times New Roman" w:eastAsia="Times New Roman" w:hAnsi="Times New Roman"/>
          <w:sz w:val="20"/>
          <w:szCs w:val="20"/>
          <w:color w:val="auto"/>
        </w:rPr>
        <w:t xml:space="preserve"> sole </w:t>
      </w:r>
      <w:r>
        <w:rPr>
          <w:rFonts w:ascii="Times New Roman" w:cs="Times New Roman" w:eastAsia="Times New Roman" w:hAnsi="Times New Roman"/>
          <w:sz w:val="21"/>
          <w:szCs w:val="21"/>
          <w:color w:val="auto"/>
        </w:rPr>
        <w:t>discretion,</w:t>
      </w:r>
      <w:r>
        <w:rPr>
          <w:rFonts w:ascii="Times New Roman" w:cs="Times New Roman" w:eastAsia="Times New Roman" w:hAnsi="Times New Roman"/>
          <w:sz w:val="20"/>
          <w:szCs w:val="20"/>
          <w:color w:val="auto"/>
        </w:rPr>
        <w:t xml:space="preserve"> provide for continued vesting or acceleration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all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a portion of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PSUs in accordance </w:t>
      </w:r>
      <w:r>
        <w:rPr>
          <w:rFonts w:ascii="Times New Roman" w:cs="Times New Roman" w:eastAsia="Times New Roman" w:hAnsi="Times New Roman"/>
          <w:sz w:val="21"/>
          <w:szCs w:val="21"/>
          <w:color w:val="auto"/>
        </w:rPr>
        <w:t>with</w:t>
      </w:r>
      <w:r>
        <w:rPr>
          <w:rFonts w:ascii="Times New Roman" w:cs="Times New Roman" w:eastAsia="Times New Roman" w:hAnsi="Times New Roman"/>
          <w:sz w:val="20"/>
          <w:szCs w:val="20"/>
          <w:color w:val="auto"/>
        </w:rPr>
        <w:t xml:space="preserve"> the terms of the Plan.</w:t>
      </w:r>
    </w:p>
    <w:p>
      <w:pPr>
        <w:sectPr>
          <w:pgSz w:w="11900" w:h="16838" w:orient="portrait"/>
          <w:cols w:equalWidth="0" w:num="1">
            <w:col w:w="11240"/>
          </w:cols>
          <w:pgMar w:left="320" w:top="114"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Notwithstanding anything to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contrary herein, </w:t>
      </w:r>
      <w:r>
        <w:rPr>
          <w:rFonts w:ascii="Times New Roman" w:cs="Times New Roman" w:eastAsia="Times New Roman" w:hAnsi="Times New Roman"/>
          <w:sz w:val="21"/>
          <w:szCs w:val="21"/>
          <w:color w:val="auto"/>
        </w:rPr>
        <w:t>in the event of</w:t>
      </w:r>
      <w:r>
        <w:rPr>
          <w:rFonts w:ascii="Times New Roman" w:cs="Times New Roman" w:eastAsia="Times New Roman" w:hAnsi="Times New Roman"/>
          <w:sz w:val="20"/>
          <w:szCs w:val="20"/>
          <w:color w:val="auto"/>
        </w:rPr>
        <w:t xml:space="preserve"> your Termination of Service due </w:t>
      </w:r>
      <w:r>
        <w:rPr>
          <w:rFonts w:ascii="Times New Roman" w:cs="Times New Roman" w:eastAsia="Times New Roman" w:hAnsi="Times New Roman"/>
          <w:sz w:val="21"/>
          <w:szCs w:val="21"/>
          <w:color w:val="auto"/>
        </w:rPr>
        <w:t>to death,</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1"/>
          <w:szCs w:val="21"/>
          <w:color w:val="auto"/>
        </w:rPr>
        <w:t>PSUs</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1"/>
          <w:szCs w:val="21"/>
          <w:color w:val="auto"/>
        </w:rPr>
        <w:t>are</w:t>
      </w:r>
      <w:r>
        <w:rPr>
          <w:rFonts w:ascii="Times New Roman" w:cs="Times New Roman" w:eastAsia="Times New Roman" w:hAnsi="Times New Roman"/>
          <w:sz w:val="20"/>
          <w:szCs w:val="20"/>
          <w:color w:val="auto"/>
        </w:rPr>
        <w:t xml:space="preserve"> outstanding and unvested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were granted </w:t>
      </w:r>
      <w:r>
        <w:rPr>
          <w:rFonts w:ascii="Times New Roman" w:cs="Times New Roman" w:eastAsia="Times New Roman" w:hAnsi="Times New Roman"/>
          <w:sz w:val="21"/>
          <w:szCs w:val="21"/>
          <w:color w:val="auto"/>
        </w:rPr>
        <w:t>to you at least</w:t>
      </w:r>
      <w:r>
        <w:rPr>
          <w:rFonts w:ascii="Times New Roman" w:cs="Times New Roman" w:eastAsia="Times New Roman" w:hAnsi="Times New Roman"/>
          <w:sz w:val="20"/>
          <w:szCs w:val="20"/>
          <w:color w:val="auto"/>
        </w:rPr>
        <w:t xml:space="preserve"> one </w:t>
      </w:r>
      <w:r>
        <w:rPr>
          <w:rFonts w:ascii="Times New Roman" w:cs="Times New Roman" w:eastAsia="Times New Roman" w:hAnsi="Times New Roman"/>
          <w:sz w:val="21"/>
          <w:szCs w:val="21"/>
          <w:color w:val="auto"/>
        </w:rPr>
        <w:t>year prior to</w:t>
      </w:r>
      <w:r>
        <w:rPr>
          <w:rFonts w:ascii="Times New Roman" w:cs="Times New Roman" w:eastAsia="Times New Roman" w:hAnsi="Times New Roman"/>
          <w:sz w:val="20"/>
          <w:szCs w:val="20"/>
          <w:color w:val="auto"/>
        </w:rPr>
        <w:t xml:space="preserve"> the date </w:t>
      </w:r>
      <w:r>
        <w:rPr>
          <w:rFonts w:ascii="Times New Roman" w:cs="Times New Roman" w:eastAsia="Times New Roman" w:hAnsi="Times New Roman"/>
          <w:sz w:val="21"/>
          <w:szCs w:val="21"/>
          <w:color w:val="auto"/>
        </w:rPr>
        <w:t>of such</w:t>
      </w:r>
      <w:r>
        <w:rPr>
          <w:rFonts w:ascii="Times New Roman" w:cs="Times New Roman" w:eastAsia="Times New Roman" w:hAnsi="Times New Roman"/>
          <w:sz w:val="20"/>
          <w:szCs w:val="20"/>
          <w:color w:val="auto"/>
        </w:rPr>
        <w:t xml:space="preserve"> Termination of </w:t>
      </w:r>
      <w:r>
        <w:rPr>
          <w:rFonts w:ascii="Times New Roman" w:cs="Times New Roman" w:eastAsia="Times New Roman" w:hAnsi="Times New Roman"/>
          <w:sz w:val="21"/>
          <w:szCs w:val="21"/>
          <w:color w:val="auto"/>
        </w:rPr>
        <w:t>Service shall become fully vested and</w:t>
      </w:r>
      <w:r>
        <w:rPr>
          <w:rFonts w:ascii="Times New Roman" w:cs="Times New Roman" w:eastAsia="Times New Roman" w:hAnsi="Times New Roman"/>
          <w:sz w:val="20"/>
          <w:szCs w:val="20"/>
          <w:color w:val="auto"/>
        </w:rPr>
        <w:t xml:space="preserve"> settled within </w:t>
      </w:r>
      <w:r>
        <w:rPr>
          <w:rFonts w:ascii="Times New Roman" w:cs="Times New Roman" w:eastAsia="Times New Roman" w:hAnsi="Times New Roman"/>
          <w:sz w:val="21"/>
          <w:szCs w:val="21"/>
          <w:color w:val="auto"/>
        </w:rPr>
        <w:t>ten</w:t>
      </w:r>
      <w:r>
        <w:rPr>
          <w:rFonts w:ascii="Times New Roman" w:cs="Times New Roman" w:eastAsia="Times New Roman" w:hAnsi="Times New Roman"/>
          <w:sz w:val="20"/>
          <w:szCs w:val="20"/>
          <w:color w:val="auto"/>
        </w:rPr>
        <w:t xml:space="preserve"> (10) days following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Termination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Service, assuming the achievement of target level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performance.</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For the avoidance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doubt,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the event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your Termination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Service for Cause, or if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breach your obligations under Section 9 </w:t>
      </w:r>
      <w:r>
        <w:rPr>
          <w:rFonts w:ascii="Times New Roman" w:cs="Times New Roman" w:eastAsia="Times New Roman" w:hAnsi="Times New Roman"/>
          <w:sz w:val="21"/>
          <w:szCs w:val="21"/>
          <w:color w:val="auto"/>
        </w:rPr>
        <w:t>or 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of </w:t>
      </w:r>
      <w:r>
        <w:rPr>
          <w:rFonts w:ascii="Times New Roman" w:cs="Times New Roman" w:eastAsia="Times New Roman" w:hAnsi="Times New Roman"/>
          <w:sz w:val="19"/>
          <w:szCs w:val="19"/>
          <w:color w:val="auto"/>
        </w:rPr>
        <w:t>this Agreement,</w:t>
      </w:r>
      <w:r>
        <w:rPr>
          <w:rFonts w:ascii="Times New Roman" w:cs="Times New Roman" w:eastAsia="Times New Roman" w:hAnsi="Times New Roman"/>
          <w:sz w:val="21"/>
          <w:szCs w:val="21"/>
          <w:color w:val="auto"/>
        </w:rPr>
        <w:t xml:space="preserve"> all of </w:t>
      </w:r>
      <w:r>
        <w:rPr>
          <w:rFonts w:ascii="Times New Roman" w:cs="Times New Roman" w:eastAsia="Times New Roman" w:hAnsi="Times New Roman"/>
          <w:sz w:val="19"/>
          <w:szCs w:val="19"/>
          <w:color w:val="auto"/>
        </w:rPr>
        <w:t>your</w:t>
      </w:r>
      <w:r>
        <w:rPr>
          <w:rFonts w:ascii="Times New Roman" w:cs="Times New Roman" w:eastAsia="Times New Roman" w:hAnsi="Times New Roman"/>
          <w:sz w:val="21"/>
          <w:szCs w:val="21"/>
          <w:color w:val="auto"/>
        </w:rPr>
        <w:t xml:space="preserve"> PSUs </w:t>
      </w:r>
      <w:r>
        <w:rPr>
          <w:rFonts w:ascii="Times New Roman" w:cs="Times New Roman" w:eastAsia="Times New Roman" w:hAnsi="Times New Roman"/>
          <w:sz w:val="19"/>
          <w:szCs w:val="19"/>
          <w:color w:val="auto"/>
        </w:rPr>
        <w:t>then outstanding, whether vested or unvested,</w:t>
      </w:r>
      <w:r>
        <w:rPr>
          <w:rFonts w:ascii="Times New Roman" w:cs="Times New Roman" w:eastAsia="Times New Roman" w:hAnsi="Times New Roman"/>
          <w:sz w:val="21"/>
          <w:szCs w:val="21"/>
          <w:color w:val="auto"/>
        </w:rPr>
        <w:t xml:space="preserve"> shall </w:t>
      </w:r>
      <w:r>
        <w:rPr>
          <w:rFonts w:ascii="Times New Roman" w:cs="Times New Roman" w:eastAsia="Times New Roman" w:hAnsi="Times New Roman"/>
          <w:sz w:val="19"/>
          <w:szCs w:val="19"/>
          <w:color w:val="auto"/>
        </w:rPr>
        <w:t>be</w:t>
      </w:r>
      <w:r>
        <w:rPr>
          <w:rFonts w:ascii="Times New Roman" w:cs="Times New Roman" w:eastAsia="Times New Roman" w:hAnsi="Times New Roman"/>
          <w:sz w:val="21"/>
          <w:szCs w:val="21"/>
          <w:color w:val="auto"/>
        </w:rPr>
        <w:t xml:space="preserve"> cancelled and </w:t>
      </w:r>
      <w:r>
        <w:rPr>
          <w:rFonts w:ascii="Times New Roman" w:cs="Times New Roman" w:eastAsia="Times New Roman" w:hAnsi="Times New Roman"/>
          <w:sz w:val="19"/>
          <w:szCs w:val="19"/>
          <w:color w:val="auto"/>
        </w:rPr>
        <w:t>forfeited</w:t>
      </w:r>
      <w:r>
        <w:rPr>
          <w:rFonts w:ascii="Times New Roman" w:cs="Times New Roman" w:eastAsia="Times New Roman" w:hAnsi="Times New Roman"/>
          <w:sz w:val="21"/>
          <w:szCs w:val="21"/>
          <w:color w:val="auto"/>
        </w:rPr>
        <w:t xml:space="preserve"> for no consideration.</w:t>
      </w:r>
    </w:p>
    <w:p>
      <w:pPr>
        <w:spacing w:after="0" w:line="163" w:lineRule="exact"/>
        <w:rPr>
          <w:sz w:val="20"/>
          <w:szCs w:val="20"/>
          <w:color w:val="auto"/>
        </w:rPr>
      </w:pPr>
    </w:p>
    <w:p>
      <w:pPr>
        <w:ind w:left="220" w:hanging="212"/>
        <w:spacing w:after="0"/>
        <w:tabs>
          <w:tab w:leader="none" w:pos="2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Dividend and Voting Rights</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You shall </w:t>
      </w:r>
      <w:r>
        <w:rPr>
          <w:rFonts w:ascii="Times New Roman" w:cs="Times New Roman" w:eastAsia="Times New Roman" w:hAnsi="Times New Roman"/>
          <w:sz w:val="21"/>
          <w:szCs w:val="21"/>
          <w:color w:val="auto"/>
        </w:rPr>
        <w:t>not</w:t>
      </w:r>
      <w:r>
        <w:rPr>
          <w:rFonts w:ascii="Times New Roman" w:cs="Times New Roman" w:eastAsia="Times New Roman" w:hAnsi="Times New Roman"/>
          <w:sz w:val="20"/>
          <w:szCs w:val="20"/>
          <w:color w:val="auto"/>
        </w:rPr>
        <w:t xml:space="preserve"> have any </w:t>
      </w:r>
      <w:r>
        <w:rPr>
          <w:rFonts w:ascii="Times New Roman" w:cs="Times New Roman" w:eastAsia="Times New Roman" w:hAnsi="Times New Roman"/>
          <w:sz w:val="21"/>
          <w:szCs w:val="21"/>
          <w:color w:val="auto"/>
        </w:rPr>
        <w:t>right</w:t>
      </w:r>
      <w:r>
        <w:rPr>
          <w:rFonts w:ascii="Times New Roman" w:cs="Times New Roman" w:eastAsia="Times New Roman" w:hAnsi="Times New Roman"/>
          <w:sz w:val="20"/>
          <w:szCs w:val="20"/>
          <w:color w:val="auto"/>
        </w:rPr>
        <w:t xml:space="preserve"> to receive dividends, dividend equivalents or </w:t>
      </w:r>
      <w:r>
        <w:rPr>
          <w:rFonts w:ascii="Times New Roman" w:cs="Times New Roman" w:eastAsia="Times New Roman" w:hAnsi="Times New Roman"/>
          <w:sz w:val="21"/>
          <w:szCs w:val="21"/>
          <w:color w:val="auto"/>
        </w:rPr>
        <w:t>other distribution</w:t>
      </w:r>
      <w:r>
        <w:rPr>
          <w:rFonts w:ascii="Times New Roman" w:cs="Times New Roman" w:eastAsia="Times New Roman" w:hAnsi="Times New Roman"/>
          <w:sz w:val="20"/>
          <w:szCs w:val="20"/>
          <w:color w:val="auto"/>
        </w:rPr>
        <w:t xml:space="preserve"> or rights in </w:t>
      </w:r>
      <w:r>
        <w:rPr>
          <w:rFonts w:ascii="Times New Roman" w:cs="Times New Roman" w:eastAsia="Times New Roman" w:hAnsi="Times New Roman"/>
          <w:sz w:val="21"/>
          <w:szCs w:val="21"/>
          <w:color w:val="auto"/>
        </w:rPr>
        <w:t>respect of your</w:t>
      </w:r>
      <w:r>
        <w:rPr>
          <w:rFonts w:ascii="Times New Roman" w:cs="Times New Roman" w:eastAsia="Times New Roman" w:hAnsi="Times New Roman"/>
          <w:sz w:val="20"/>
          <w:szCs w:val="20"/>
          <w:color w:val="auto"/>
        </w:rPr>
        <w:t xml:space="preserve"> unvested </w:t>
      </w:r>
      <w:r>
        <w:rPr>
          <w:rFonts w:ascii="Times New Roman" w:cs="Times New Roman" w:eastAsia="Times New Roman" w:hAnsi="Times New Roman"/>
          <w:sz w:val="21"/>
          <w:szCs w:val="21"/>
          <w:color w:val="auto"/>
        </w:rPr>
        <w:t>PSUs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21"/>
          <w:szCs w:val="21"/>
          <w:color w:val="auto"/>
        </w:rPr>
        <w:t xml:space="preserve"> not have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1"/>
          <w:szCs w:val="21"/>
          <w:color w:val="auto"/>
        </w:rPr>
        <w:t xml:space="preserve"> right to vote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1"/>
          <w:szCs w:val="21"/>
          <w:color w:val="auto"/>
        </w:rPr>
        <w:t xml:space="preserve"> Shares </w:t>
      </w:r>
      <w:r>
        <w:rPr>
          <w:rFonts w:ascii="Times New Roman" w:cs="Times New Roman" w:eastAsia="Times New Roman" w:hAnsi="Times New Roman"/>
          <w:sz w:val="19"/>
          <w:szCs w:val="19"/>
          <w:color w:val="auto"/>
        </w:rPr>
        <w:t>related</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such unvested PSUs as</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19"/>
          <w:szCs w:val="19"/>
          <w:color w:val="auto"/>
        </w:rPr>
        <w:t>record owner thereof,</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19"/>
          <w:szCs w:val="19"/>
          <w:color w:val="auto"/>
        </w:rPr>
        <w:t>each case,</w:t>
      </w:r>
      <w:r>
        <w:rPr>
          <w:rFonts w:ascii="Times New Roman" w:cs="Times New Roman" w:eastAsia="Times New Roman" w:hAnsi="Times New Roman"/>
          <w:sz w:val="21"/>
          <w:szCs w:val="21"/>
          <w:color w:val="auto"/>
        </w:rPr>
        <w:t xml:space="preserve"> until </w:t>
      </w:r>
      <w:r>
        <w:rPr>
          <w:rFonts w:ascii="Times New Roman" w:cs="Times New Roman" w:eastAsia="Times New Roman" w:hAnsi="Times New Roman"/>
          <w:sz w:val="19"/>
          <w:szCs w:val="19"/>
          <w:color w:val="auto"/>
        </w:rPr>
        <w:t>such</w:t>
      </w:r>
      <w:r>
        <w:rPr>
          <w:rFonts w:ascii="Times New Roman" w:cs="Times New Roman" w:eastAsia="Times New Roman" w:hAnsi="Times New Roman"/>
          <w:sz w:val="21"/>
          <w:szCs w:val="21"/>
          <w:color w:val="auto"/>
        </w:rPr>
        <w:t xml:space="preserve"> PSUs </w:t>
      </w:r>
      <w:r>
        <w:rPr>
          <w:rFonts w:ascii="Times New Roman" w:cs="Times New Roman" w:eastAsia="Times New Roman" w:hAnsi="Times New Roman"/>
          <w:sz w:val="19"/>
          <w:szCs w:val="19"/>
          <w:color w:val="auto"/>
        </w:rPr>
        <w:t xml:space="preserve">have been earned and </w:t>
      </w:r>
      <w:r>
        <w:rPr>
          <w:rFonts w:ascii="Times New Roman" w:cs="Times New Roman" w:eastAsia="Times New Roman" w:hAnsi="Times New Roman"/>
          <w:sz w:val="21"/>
          <w:szCs w:val="21"/>
          <w:color w:val="auto"/>
        </w:rPr>
        <w:t>become fully</w:t>
      </w:r>
      <w:r>
        <w:rPr>
          <w:rFonts w:ascii="Times New Roman" w:cs="Times New Roman" w:eastAsia="Times New Roman" w:hAnsi="Times New Roman"/>
          <w:sz w:val="19"/>
          <w:szCs w:val="19"/>
          <w:color w:val="auto"/>
        </w:rPr>
        <w:t xml:space="preserve"> vested and settled </w:t>
      </w:r>
      <w:r>
        <w:rPr>
          <w:rFonts w:ascii="Times New Roman" w:cs="Times New Roman" w:eastAsia="Times New Roman" w:hAnsi="Times New Roman"/>
          <w:sz w:val="21"/>
          <w:szCs w:val="21"/>
          <w:color w:val="auto"/>
        </w:rPr>
        <w:t>in</w:t>
      </w:r>
      <w:r>
        <w:rPr>
          <w:rFonts w:ascii="Times New Roman" w:cs="Times New Roman" w:eastAsia="Times New Roman" w:hAnsi="Times New Roman"/>
          <w:sz w:val="19"/>
          <w:szCs w:val="19"/>
          <w:color w:val="auto"/>
        </w:rPr>
        <w:t xml:space="preserve"> Shares </w:t>
      </w:r>
      <w:r>
        <w:rPr>
          <w:rFonts w:ascii="Times New Roman" w:cs="Times New Roman" w:eastAsia="Times New Roman" w:hAnsi="Times New Roman"/>
          <w:sz w:val="21"/>
          <w:szCs w:val="21"/>
          <w:color w:val="auto"/>
        </w:rPr>
        <w:t>in</w:t>
      </w:r>
      <w:r>
        <w:rPr>
          <w:rFonts w:ascii="Times New Roman" w:cs="Times New Roman" w:eastAsia="Times New Roman" w:hAnsi="Times New Roman"/>
          <w:sz w:val="19"/>
          <w:szCs w:val="19"/>
          <w:color w:val="auto"/>
        </w:rPr>
        <w:t xml:space="preserve"> accordance with </w:t>
      </w:r>
      <w:r>
        <w:rPr>
          <w:rFonts w:ascii="Times New Roman" w:cs="Times New Roman" w:eastAsia="Times New Roman" w:hAnsi="Times New Roman"/>
          <w:sz w:val="21"/>
          <w:szCs w:val="21"/>
          <w:color w:val="auto"/>
        </w:rPr>
        <w:t>the terms</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21"/>
          <w:szCs w:val="21"/>
          <w:color w:val="auto"/>
        </w:rPr>
        <w:t>this Agreement and</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21"/>
          <w:szCs w:val="21"/>
          <w:color w:val="auto"/>
        </w:rPr>
        <w:t>Plan.</w:t>
      </w:r>
    </w:p>
    <w:p>
      <w:pPr>
        <w:spacing w:after="0" w:line="183" w:lineRule="exact"/>
        <w:rPr>
          <w:sz w:val="20"/>
          <w:szCs w:val="20"/>
          <w:color w:val="auto"/>
        </w:rPr>
      </w:pPr>
    </w:p>
    <w:p>
      <w:pPr>
        <w:ind w:left="220" w:hanging="212"/>
        <w:spacing w:after="0"/>
        <w:tabs>
          <w:tab w:leader="none" w:pos="2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 xml:space="preserve">Compliance </w:t>
      </w:r>
      <w:r>
        <w:rPr>
          <w:rFonts w:ascii="Times New Roman" w:cs="Times New Roman" w:eastAsia="Times New Roman" w:hAnsi="Times New Roman"/>
          <w:sz w:val="19"/>
          <w:szCs w:val="19"/>
          <w:u w:val="single" w:color="auto"/>
          <w:color w:val="auto"/>
        </w:rPr>
        <w:t>with Company Policies</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1"/>
          <w:szCs w:val="21"/>
          <w:color w:val="auto"/>
        </w:rPr>
        <w:t>signing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color w:val="auto"/>
        </w:rPr>
        <w:t>returning this</w:t>
      </w:r>
      <w:r>
        <w:rPr>
          <w:rFonts w:ascii="Times New Roman" w:cs="Times New Roman" w:eastAsia="Times New Roman" w:hAnsi="Times New Roman"/>
          <w:sz w:val="20"/>
          <w:szCs w:val="20"/>
          <w:color w:val="auto"/>
        </w:rPr>
        <w:t xml:space="preserve"> Agreement,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acknowledge having received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read </w:t>
      </w:r>
      <w:r>
        <w:rPr>
          <w:rFonts w:ascii="Times New Roman" w:cs="Times New Roman" w:eastAsia="Times New Roman" w:hAnsi="Times New Roman"/>
          <w:sz w:val="21"/>
          <w:szCs w:val="21"/>
          <w:color w:val="auto"/>
        </w:rPr>
        <w:t>a copy of the Plan, which</w:t>
      </w:r>
      <w:r>
        <w:rPr>
          <w:rFonts w:ascii="Times New Roman" w:cs="Times New Roman" w:eastAsia="Times New Roman" w:hAnsi="Times New Roman"/>
          <w:sz w:val="20"/>
          <w:szCs w:val="20"/>
          <w:color w:val="auto"/>
        </w:rPr>
        <w:t xml:space="preserve"> is incorporated by reference herein,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agree to </w:t>
      </w:r>
      <w:r>
        <w:rPr>
          <w:rFonts w:ascii="Times New Roman" w:cs="Times New Roman" w:eastAsia="Times New Roman" w:hAnsi="Times New Roman"/>
          <w:sz w:val="21"/>
          <w:szCs w:val="21"/>
          <w:color w:val="auto"/>
        </w:rPr>
        <w:t>comply</w:t>
      </w:r>
      <w:r>
        <w:rPr>
          <w:rFonts w:ascii="Times New Roman" w:cs="Times New Roman" w:eastAsia="Times New Roman" w:hAnsi="Times New Roman"/>
          <w:sz w:val="20"/>
          <w:szCs w:val="20"/>
          <w:color w:val="auto"/>
        </w:rPr>
        <w:t xml:space="preserve"> with it. You also </w:t>
      </w:r>
      <w:r>
        <w:rPr>
          <w:rFonts w:ascii="Times New Roman" w:cs="Times New Roman" w:eastAsia="Times New Roman" w:hAnsi="Times New Roman"/>
          <w:sz w:val="21"/>
          <w:szCs w:val="21"/>
          <w:color w:val="auto"/>
        </w:rPr>
        <w:t>acknowledge</w:t>
      </w:r>
      <w:r>
        <w:rPr>
          <w:rFonts w:ascii="Times New Roman" w:cs="Times New Roman" w:eastAsia="Times New Roman" w:hAnsi="Times New Roman"/>
          <w:sz w:val="20"/>
          <w:szCs w:val="20"/>
          <w:color w:val="auto"/>
        </w:rPr>
        <w:t xml:space="preserve"> and agree that </w:t>
      </w:r>
      <w:r>
        <w:rPr>
          <w:rFonts w:ascii="Times New Roman" w:cs="Times New Roman" w:eastAsia="Times New Roman" w:hAnsi="Times New Roman"/>
          <w:sz w:val="21"/>
          <w:szCs w:val="21"/>
          <w:color w:val="auto"/>
        </w:rPr>
        <w:t>you will</w:t>
      </w:r>
      <w:r>
        <w:rPr>
          <w:rFonts w:ascii="Times New Roman" w:cs="Times New Roman" w:eastAsia="Times New Roman" w:hAnsi="Times New Roman"/>
          <w:sz w:val="20"/>
          <w:szCs w:val="20"/>
          <w:color w:val="auto"/>
        </w:rPr>
        <w:t xml:space="preserve"> comply with the </w:t>
      </w:r>
      <w:r>
        <w:rPr>
          <w:rFonts w:ascii="Times New Roman" w:cs="Times New Roman" w:eastAsia="Times New Roman" w:hAnsi="Times New Roman"/>
          <w:sz w:val="21"/>
          <w:szCs w:val="21"/>
          <w:color w:val="auto"/>
        </w:rPr>
        <w:t>Company</w:t>
      </w:r>
      <w:r>
        <w:rPr>
          <w:rFonts w:ascii="Times New Roman" w:cs="Times New Roman" w:eastAsia="Times New Roman" w:hAnsi="Times New Roman"/>
          <w:sz w:val="20"/>
          <w:szCs w:val="20"/>
          <w:color w:val="auto"/>
        </w:rPr>
        <w:t xml:space="preserve">’s insider </w:t>
      </w:r>
      <w:r>
        <w:rPr>
          <w:rFonts w:ascii="Times New Roman" w:cs="Times New Roman" w:eastAsia="Times New Roman" w:hAnsi="Times New Roman"/>
          <w:sz w:val="21"/>
          <w:szCs w:val="21"/>
          <w:color w:val="auto"/>
        </w:rPr>
        <w:t>trading</w:t>
      </w:r>
      <w:r>
        <w:rPr>
          <w:rFonts w:ascii="Times New Roman" w:cs="Times New Roman" w:eastAsia="Times New Roman" w:hAnsi="Times New Roman"/>
          <w:sz w:val="20"/>
          <w:szCs w:val="20"/>
          <w:color w:val="auto"/>
        </w:rPr>
        <w:t xml:space="preserve"> policy and holding </w:t>
      </w:r>
      <w:r>
        <w:rPr>
          <w:rFonts w:ascii="Times New Roman" w:cs="Times New Roman" w:eastAsia="Times New Roman" w:hAnsi="Times New Roman"/>
          <w:sz w:val="21"/>
          <w:szCs w:val="21"/>
          <w:color w:val="auto"/>
        </w:rPr>
        <w:t>period policy,</w:t>
      </w:r>
      <w:r>
        <w:rPr>
          <w:rFonts w:ascii="Times New Roman" w:cs="Times New Roman" w:eastAsia="Times New Roman" w:hAnsi="Times New Roman"/>
          <w:sz w:val="20"/>
          <w:szCs w:val="20"/>
          <w:color w:val="auto"/>
        </w:rPr>
        <w:t xml:space="preserve"> as applicable.</w:t>
      </w:r>
    </w:p>
    <w:p>
      <w:pPr>
        <w:spacing w:after="0" w:line="201" w:lineRule="exact"/>
        <w:rPr>
          <w:sz w:val="20"/>
          <w:szCs w:val="20"/>
          <w:color w:val="auto"/>
        </w:rPr>
      </w:pPr>
    </w:p>
    <w:p>
      <w:pPr>
        <w:ind w:left="220" w:hanging="212"/>
        <w:spacing w:after="0"/>
        <w:tabs>
          <w:tab w:leader="none" w:pos="2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Proprietary Information</w:t>
      </w:r>
    </w:p>
    <w:p>
      <w:pPr>
        <w:spacing w:after="0" w:line="211" w:lineRule="exact"/>
        <w:rPr>
          <w:sz w:val="20"/>
          <w:szCs w:val="20"/>
          <w:color w:val="auto"/>
        </w:rPr>
      </w:pPr>
    </w:p>
    <w:p>
      <w:pPr>
        <w:ind w:right="1140"/>
        <w:spacing w:after="0" w:line="268" w:lineRule="auto"/>
        <w:rPr>
          <w:sz w:val="20"/>
          <w:szCs w:val="20"/>
          <w:color w:val="auto"/>
        </w:rPr>
      </w:pPr>
      <w:r>
        <w:rPr>
          <w:rFonts w:ascii="Times New Roman" w:cs="Times New Roman" w:eastAsia="Times New Roman" w:hAnsi="Times New Roman"/>
          <w:sz w:val="20"/>
          <w:szCs w:val="20"/>
          <w:color w:val="auto"/>
        </w:rPr>
        <w:t xml:space="preserve">In consideration for the above </w:t>
      </w:r>
      <w:r>
        <w:rPr>
          <w:rFonts w:ascii="Times New Roman" w:cs="Times New Roman" w:eastAsia="Times New Roman" w:hAnsi="Times New Roman"/>
          <w:sz w:val="21"/>
          <w:szCs w:val="21"/>
          <w:color w:val="auto"/>
        </w:rPr>
        <w:t>PSU</w:t>
      </w:r>
      <w:r>
        <w:rPr>
          <w:rFonts w:ascii="Times New Roman" w:cs="Times New Roman" w:eastAsia="Times New Roman" w:hAnsi="Times New Roman"/>
          <w:sz w:val="20"/>
          <w:szCs w:val="20"/>
          <w:color w:val="auto"/>
        </w:rPr>
        <w:t xml:space="preserve"> grant and subject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Section 9(e) </w:t>
      </w:r>
      <w:r>
        <w:rPr>
          <w:rFonts w:ascii="Times New Roman" w:cs="Times New Roman" w:eastAsia="Times New Roman" w:hAnsi="Times New Roman"/>
          <w:sz w:val="21"/>
          <w:szCs w:val="21"/>
          <w:color w:val="auto"/>
        </w:rPr>
        <w:t>below, you</w:t>
      </w:r>
      <w:r>
        <w:rPr>
          <w:rFonts w:ascii="Times New Roman" w:cs="Times New Roman" w:eastAsia="Times New Roman" w:hAnsi="Times New Roman"/>
          <w:sz w:val="20"/>
          <w:szCs w:val="20"/>
          <w:color w:val="auto"/>
        </w:rPr>
        <w:t xml:space="preserve"> further agree </w:t>
      </w:r>
      <w:r>
        <w:rPr>
          <w:rFonts w:ascii="Times New Roman" w:cs="Times New Roman" w:eastAsia="Times New Roman" w:hAnsi="Times New Roman"/>
          <w:sz w:val="21"/>
          <w:szCs w:val="21"/>
          <w:color w:val="auto"/>
        </w:rPr>
        <w:t>as</w:t>
      </w:r>
      <w:r>
        <w:rPr>
          <w:rFonts w:ascii="Times New Roman" w:cs="Times New Roman" w:eastAsia="Times New Roman" w:hAnsi="Times New Roman"/>
          <w:sz w:val="20"/>
          <w:szCs w:val="20"/>
          <w:color w:val="auto"/>
        </w:rPr>
        <w:t xml:space="preserve"> follows </w:t>
      </w:r>
      <w:r>
        <w:rPr>
          <w:rFonts w:ascii="Times New Roman" w:cs="Times New Roman" w:eastAsia="Times New Roman" w:hAnsi="Times New Roman"/>
          <w:sz w:val="21"/>
          <w:szCs w:val="21"/>
          <w:color w:val="auto"/>
        </w:rPr>
        <w:t>with respect to the</w:t>
      </w:r>
      <w:r>
        <w:rPr>
          <w:rFonts w:ascii="Times New Roman" w:cs="Times New Roman" w:eastAsia="Times New Roman" w:hAnsi="Times New Roman"/>
          <w:sz w:val="20"/>
          <w:szCs w:val="20"/>
          <w:color w:val="auto"/>
        </w:rPr>
        <w:t xml:space="preserve"> confidentiality of </w:t>
      </w:r>
      <w:r>
        <w:rPr>
          <w:rFonts w:ascii="Times New Roman" w:cs="Times New Roman" w:eastAsia="Times New Roman" w:hAnsi="Times New Roman"/>
          <w:sz w:val="21"/>
          <w:szCs w:val="21"/>
          <w:color w:val="auto"/>
        </w:rPr>
        <w:t>Proprietary</w:t>
      </w:r>
      <w:r>
        <w:rPr>
          <w:rFonts w:ascii="Times New Roman" w:cs="Times New Roman" w:eastAsia="Times New Roman" w:hAnsi="Times New Roman"/>
          <w:sz w:val="20"/>
          <w:szCs w:val="20"/>
          <w:color w:val="auto"/>
        </w:rPr>
        <w:t xml:space="preserve"> Information (as defined below):</w:t>
      </w:r>
    </w:p>
    <w:p>
      <w:pPr>
        <w:spacing w:after="0" w:line="14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a. You </w:t>
      </w:r>
      <w:r>
        <w:rPr>
          <w:rFonts w:ascii="Times New Roman" w:cs="Times New Roman" w:eastAsia="Times New Roman" w:hAnsi="Times New Roman"/>
          <w:sz w:val="21"/>
          <w:szCs w:val="21"/>
          <w:color w:val="auto"/>
        </w:rPr>
        <w:t>acknowledge that the Company</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color w:val="auto"/>
        </w:rPr>
        <w:t>its Affiliates</w:t>
      </w:r>
      <w:r>
        <w:rPr>
          <w:rFonts w:ascii="Times New Roman" w:cs="Times New Roman" w:eastAsia="Times New Roman" w:hAnsi="Times New Roman"/>
          <w:sz w:val="20"/>
          <w:szCs w:val="20"/>
          <w:color w:val="auto"/>
        </w:rPr>
        <w:t xml:space="preserve"> possess and will continue to develop and acquire valuable Proprietary Information,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which </w:t>
      </w:r>
      <w:r>
        <w:rPr>
          <w:rFonts w:ascii="Times New Roman" w:cs="Times New Roman" w:eastAsia="Times New Roman" w:hAnsi="Times New Roman"/>
          <w:sz w:val="21"/>
          <w:szCs w:val="21"/>
          <w:color w:val="auto"/>
        </w:rPr>
        <w:t>you may</w:t>
      </w:r>
      <w:r>
        <w:rPr>
          <w:rFonts w:ascii="Times New Roman" w:cs="Times New Roman" w:eastAsia="Times New Roman" w:hAnsi="Times New Roman"/>
          <w:sz w:val="20"/>
          <w:szCs w:val="20"/>
          <w:color w:val="auto"/>
        </w:rPr>
        <w:t xml:space="preserve"> become </w:t>
      </w:r>
      <w:r>
        <w:rPr>
          <w:rFonts w:ascii="Times New Roman" w:cs="Times New Roman" w:eastAsia="Times New Roman" w:hAnsi="Times New Roman"/>
          <w:sz w:val="21"/>
          <w:szCs w:val="21"/>
          <w:color w:val="auto"/>
        </w:rPr>
        <w:t>aware during the</w:t>
      </w:r>
      <w:r>
        <w:rPr>
          <w:rFonts w:ascii="Times New Roman" w:cs="Times New Roman" w:eastAsia="Times New Roman" w:hAnsi="Times New Roman"/>
          <w:sz w:val="20"/>
          <w:szCs w:val="20"/>
          <w:color w:val="auto"/>
        </w:rPr>
        <w:t xml:space="preserve"> course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your employment with the </w:t>
      </w:r>
      <w:r>
        <w:rPr>
          <w:rFonts w:ascii="Times New Roman" w:cs="Times New Roman" w:eastAsia="Times New Roman" w:hAnsi="Times New Roman"/>
          <w:sz w:val="21"/>
          <w:szCs w:val="21"/>
          <w:color w:val="auto"/>
        </w:rPr>
        <w:t>Company and its</w:t>
      </w:r>
      <w:r>
        <w:rPr>
          <w:rFonts w:ascii="Times New Roman" w:cs="Times New Roman" w:eastAsia="Times New Roman" w:hAnsi="Times New Roman"/>
          <w:sz w:val="20"/>
          <w:szCs w:val="20"/>
          <w:color w:val="auto"/>
        </w:rPr>
        <w:t xml:space="preserve"> Affiliates or its </w:t>
      </w:r>
      <w:r>
        <w:rPr>
          <w:rFonts w:ascii="Times New Roman" w:cs="Times New Roman" w:eastAsia="Times New Roman" w:hAnsi="Times New Roman"/>
          <w:sz w:val="21"/>
          <w:szCs w:val="21"/>
          <w:color w:val="auto"/>
        </w:rPr>
        <w:t xml:space="preserve">Subsidiaries </w:t>
      </w:r>
      <w:r>
        <w:rPr>
          <w:rFonts w:ascii="Times New Roman" w:cs="Times New Roman" w:eastAsia="Times New Roman" w:hAnsi="Times New Roman"/>
          <w:sz w:val="19"/>
          <w:szCs w:val="19"/>
          <w:color w:val="auto"/>
        </w:rPr>
        <w:t>(collectively, “FactSet”) , that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19"/>
          <w:szCs w:val="19"/>
          <w:color w:val="auto"/>
        </w:rPr>
        <w:t>value of that Proprietary Information depends</w:t>
      </w:r>
      <w:r>
        <w:rPr>
          <w:rFonts w:ascii="Times New Roman" w:cs="Times New Roman" w:eastAsia="Times New Roman" w:hAnsi="Times New Roman"/>
          <w:sz w:val="21"/>
          <w:szCs w:val="21"/>
          <w:color w:val="auto"/>
        </w:rPr>
        <w:t xml:space="preserve"> on it </w:t>
      </w:r>
      <w:r>
        <w:rPr>
          <w:rFonts w:ascii="Times New Roman" w:cs="Times New Roman" w:eastAsia="Times New Roman" w:hAnsi="Times New Roman"/>
          <w:sz w:val="19"/>
          <w:szCs w:val="19"/>
          <w:color w:val="auto"/>
        </w:rPr>
        <w:t>remaining confidential, and that FactSet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depends on you </w:t>
      </w:r>
      <w:r>
        <w:rPr>
          <w:rFonts w:ascii="Times New Roman" w:cs="Times New Roman" w:eastAsia="Times New Roman" w:hAnsi="Times New Roman"/>
          <w:sz w:val="21"/>
          <w:szCs w:val="21"/>
          <w:color w:val="auto"/>
        </w:rPr>
        <w:t>to</w:t>
      </w:r>
      <w:r>
        <w:rPr>
          <w:rFonts w:ascii="Times New Roman" w:cs="Times New Roman" w:eastAsia="Times New Roman" w:hAnsi="Times New Roman"/>
          <w:sz w:val="19"/>
          <w:szCs w:val="19"/>
          <w:color w:val="auto"/>
        </w:rPr>
        <w:t xml:space="preserve"> honor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9"/>
          <w:szCs w:val="19"/>
          <w:color w:val="auto"/>
        </w:rPr>
        <w:t xml:space="preserve"> terms </w:t>
      </w:r>
      <w:r>
        <w:rPr>
          <w:rFonts w:ascii="Times New Roman" w:cs="Times New Roman" w:eastAsia="Times New Roman" w:hAnsi="Times New Roman"/>
          <w:sz w:val="21"/>
          <w:szCs w:val="21"/>
          <w:color w:val="auto"/>
        </w:rPr>
        <w:t>of</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21"/>
          <w:szCs w:val="21"/>
          <w:color w:val="auto"/>
        </w:rPr>
        <w:t>Agreement.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b. As </w:t>
      </w:r>
      <w:r>
        <w:rPr>
          <w:rFonts w:ascii="Times New Roman" w:cs="Times New Roman" w:eastAsia="Times New Roman" w:hAnsi="Times New Roman"/>
          <w:sz w:val="21"/>
          <w:szCs w:val="21"/>
          <w:color w:val="auto"/>
        </w:rPr>
        <w:t>used in this</w:t>
      </w:r>
      <w:r>
        <w:rPr>
          <w:rFonts w:ascii="Times New Roman" w:cs="Times New Roman" w:eastAsia="Times New Roman" w:hAnsi="Times New Roman"/>
          <w:sz w:val="20"/>
          <w:szCs w:val="20"/>
          <w:color w:val="auto"/>
        </w:rPr>
        <w:t xml:space="preserve"> Agreement, “Proprietary </w:t>
      </w:r>
      <w:r>
        <w:rPr>
          <w:rFonts w:ascii="Times New Roman" w:cs="Times New Roman" w:eastAsia="Times New Roman" w:hAnsi="Times New Roman"/>
          <w:sz w:val="21"/>
          <w:szCs w:val="21"/>
          <w:color w:val="auto"/>
        </w:rPr>
        <w:t>Information” means any business</w:t>
      </w:r>
      <w:r>
        <w:rPr>
          <w:rFonts w:ascii="Times New Roman" w:cs="Times New Roman" w:eastAsia="Times New Roman" w:hAnsi="Times New Roman"/>
          <w:sz w:val="20"/>
          <w:szCs w:val="20"/>
          <w:color w:val="auto"/>
        </w:rPr>
        <w:t xml:space="preserve"> information </w:t>
      </w:r>
      <w:r>
        <w:rPr>
          <w:rFonts w:ascii="Times New Roman" w:cs="Times New Roman" w:eastAsia="Times New Roman" w:hAnsi="Times New Roman"/>
          <w:sz w:val="21"/>
          <w:szCs w:val="21"/>
          <w:color w:val="auto"/>
        </w:rPr>
        <w:t>not</w:t>
      </w: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generally </w:t>
      </w:r>
      <w:r>
        <w:rPr>
          <w:rFonts w:ascii="Times New Roman" w:cs="Times New Roman" w:eastAsia="Times New Roman" w:hAnsi="Times New Roman"/>
          <w:sz w:val="21"/>
          <w:szCs w:val="21"/>
          <w:color w:val="auto"/>
        </w:rPr>
        <w:t>known to</w:t>
      </w:r>
      <w:r>
        <w:rPr>
          <w:rFonts w:ascii="Times New Roman" w:cs="Times New Roman" w:eastAsia="Times New Roman" w:hAnsi="Times New Roman"/>
          <w:sz w:val="20"/>
          <w:szCs w:val="20"/>
          <w:color w:val="auto"/>
        </w:rPr>
        <w:t xml:space="preserve"> others </w:t>
      </w:r>
      <w:r>
        <w:rPr>
          <w:rFonts w:ascii="Times New Roman" w:cs="Times New Roman" w:eastAsia="Times New Roman" w:hAnsi="Times New Roman"/>
          <w:sz w:val="21"/>
          <w:szCs w:val="21"/>
          <w:color w:val="auto"/>
        </w:rPr>
        <w:t>in the</w:t>
      </w:r>
      <w:r>
        <w:rPr>
          <w:rFonts w:ascii="Times New Roman" w:cs="Times New Roman" w:eastAsia="Times New Roman" w:hAnsi="Times New Roman"/>
          <w:sz w:val="20"/>
          <w:szCs w:val="20"/>
          <w:color w:val="auto"/>
        </w:rPr>
        <w:t xml:space="preserve"> industry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held in confidence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FactSet, that derives independent economic value, </w:t>
      </w:r>
      <w:r>
        <w:rPr>
          <w:rFonts w:ascii="Times New Roman" w:cs="Times New Roman" w:eastAsia="Times New Roman" w:hAnsi="Times New Roman"/>
          <w:sz w:val="21"/>
          <w:szCs w:val="21"/>
          <w:color w:val="auto"/>
        </w:rPr>
        <w:t>actual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potential, </w:t>
      </w:r>
      <w:r>
        <w:rPr>
          <w:rFonts w:ascii="Times New Roman" w:cs="Times New Roman" w:eastAsia="Times New Roman" w:hAnsi="Times New Roman"/>
          <w:sz w:val="19"/>
          <w:szCs w:val="19"/>
          <w:color w:val="auto"/>
        </w:rPr>
        <w:t>from not being</w:t>
      </w:r>
      <w:r>
        <w:rPr>
          <w:rFonts w:ascii="Times New Roman" w:cs="Times New Roman" w:eastAsia="Times New Roman" w:hAnsi="Times New Roman"/>
          <w:sz w:val="21"/>
          <w:szCs w:val="21"/>
          <w:color w:val="auto"/>
        </w:rPr>
        <w:t xml:space="preserve"> generally known to other </w:t>
      </w:r>
      <w:r>
        <w:rPr>
          <w:rFonts w:ascii="Times New Roman" w:cs="Times New Roman" w:eastAsia="Times New Roman" w:hAnsi="Times New Roman"/>
          <w:sz w:val="19"/>
          <w:szCs w:val="19"/>
          <w:color w:val="auto"/>
        </w:rPr>
        <w:t>persons who can obtain economic value</w:t>
      </w:r>
      <w:r>
        <w:rPr>
          <w:rFonts w:ascii="Times New Roman" w:cs="Times New Roman" w:eastAsia="Times New Roman" w:hAnsi="Times New Roman"/>
          <w:sz w:val="21"/>
          <w:szCs w:val="21"/>
          <w:color w:val="auto"/>
        </w:rPr>
        <w:t xml:space="preserve"> from </w:t>
      </w:r>
      <w:r>
        <w:rPr>
          <w:rFonts w:ascii="Times New Roman" w:cs="Times New Roman" w:eastAsia="Times New Roman" w:hAnsi="Times New Roman"/>
          <w:sz w:val="19"/>
          <w:szCs w:val="19"/>
          <w:color w:val="auto"/>
        </w:rPr>
        <w:t>its disclosure</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9"/>
          <w:szCs w:val="19"/>
          <w:color w:val="auto"/>
        </w:rPr>
        <w:t>use.</w:t>
      </w:r>
      <w:r>
        <w:rPr>
          <w:rFonts w:ascii="Times New Roman" w:cs="Times New Roman" w:eastAsia="Times New Roman" w:hAnsi="Times New Roman"/>
          <w:sz w:val="21"/>
          <w:szCs w:val="21"/>
          <w:color w:val="auto"/>
        </w:rPr>
        <w:t xml:space="preserve"> Proprietary</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Information </w:t>
      </w:r>
      <w:r>
        <w:rPr>
          <w:rFonts w:ascii="Times New Roman" w:cs="Times New Roman" w:eastAsia="Times New Roman" w:hAnsi="Times New Roman"/>
          <w:sz w:val="21"/>
          <w:szCs w:val="21"/>
          <w:color w:val="auto"/>
        </w:rPr>
        <w:t>may</w:t>
      </w:r>
      <w:r>
        <w:rPr>
          <w:rFonts w:ascii="Times New Roman" w:cs="Times New Roman" w:eastAsia="Times New Roman" w:hAnsi="Times New Roman"/>
          <w:sz w:val="20"/>
          <w:szCs w:val="20"/>
          <w:color w:val="auto"/>
        </w:rPr>
        <w:t xml:space="preserve"> include, </w:t>
      </w:r>
      <w:r>
        <w:rPr>
          <w:rFonts w:ascii="Times New Roman" w:cs="Times New Roman" w:eastAsia="Times New Roman" w:hAnsi="Times New Roman"/>
          <w:sz w:val="21"/>
          <w:szCs w:val="21"/>
          <w:color w:val="auto"/>
        </w:rPr>
        <w:t>but is not</w:t>
      </w:r>
      <w:r>
        <w:rPr>
          <w:rFonts w:ascii="Times New Roman" w:cs="Times New Roman" w:eastAsia="Times New Roman" w:hAnsi="Times New Roman"/>
          <w:sz w:val="20"/>
          <w:szCs w:val="20"/>
          <w:color w:val="auto"/>
        </w:rPr>
        <w:t xml:space="preserve"> limited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(1) information received from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relating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customers, suppliers, </w:t>
      </w:r>
      <w:r>
        <w:rPr>
          <w:rFonts w:ascii="Times New Roman" w:cs="Times New Roman" w:eastAsia="Times New Roman" w:hAnsi="Times New Roman"/>
          <w:sz w:val="21"/>
          <w:szCs w:val="21"/>
          <w:color w:val="auto"/>
        </w:rPr>
        <w:t>joint</w:t>
      </w:r>
      <w:r>
        <w:rPr>
          <w:rFonts w:ascii="Times New Roman" w:cs="Times New Roman" w:eastAsia="Times New Roman" w:hAnsi="Times New Roman"/>
          <w:sz w:val="20"/>
          <w:szCs w:val="20"/>
          <w:color w:val="auto"/>
        </w:rPr>
        <w:t xml:space="preserve"> ventures, licensors, licensees, </w:t>
      </w:r>
      <w:r>
        <w:rPr>
          <w:rFonts w:ascii="Times New Roman" w:cs="Times New Roman" w:eastAsia="Times New Roman" w:hAnsi="Times New Roman"/>
          <w:sz w:val="21"/>
          <w:szCs w:val="21"/>
          <w:color w:val="auto"/>
        </w:rPr>
        <w:t>distributors</w:t>
      </w:r>
      <w:r>
        <w:rPr>
          <w:rFonts w:ascii="Times New Roman" w:cs="Times New Roman" w:eastAsia="Times New Roman" w:hAnsi="Times New Roman"/>
          <w:sz w:val="20"/>
          <w:szCs w:val="20"/>
          <w:color w:val="auto"/>
        </w:rPr>
        <w:t xml:space="preserve"> and other persons and entities with whom FactSet does business; (2) trade </w:t>
      </w:r>
      <w:r>
        <w:rPr>
          <w:rFonts w:ascii="Times New Roman" w:cs="Times New Roman" w:eastAsia="Times New Roman" w:hAnsi="Times New Roman"/>
          <w:sz w:val="21"/>
          <w:szCs w:val="21"/>
          <w:color w:val="auto"/>
        </w:rPr>
        <w:t>secrets,</w:t>
      </w:r>
      <w:r>
        <w:rPr>
          <w:rFonts w:ascii="Times New Roman" w:cs="Times New Roman" w:eastAsia="Times New Roman" w:hAnsi="Times New Roman"/>
          <w:sz w:val="20"/>
          <w:szCs w:val="20"/>
          <w:color w:val="auto"/>
        </w:rPr>
        <w:t xml:space="preserve"> financial information, business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plans, methods, and </w:t>
      </w:r>
      <w:r>
        <w:rPr>
          <w:rFonts w:ascii="Times New Roman" w:cs="Times New Roman" w:eastAsia="Times New Roman" w:hAnsi="Times New Roman"/>
          <w:sz w:val="21"/>
          <w:szCs w:val="21"/>
          <w:color w:val="auto"/>
        </w:rPr>
        <w:t>strategies,</w:t>
      </w:r>
      <w:r>
        <w:rPr>
          <w:rFonts w:ascii="Times New Roman" w:cs="Times New Roman" w:eastAsia="Times New Roman" w:hAnsi="Times New Roman"/>
          <w:sz w:val="20"/>
          <w:szCs w:val="20"/>
          <w:color w:val="auto"/>
        </w:rPr>
        <w:t xml:space="preserve"> lists </w:t>
      </w:r>
      <w:r>
        <w:rPr>
          <w:rFonts w:ascii="Times New Roman" w:cs="Times New Roman" w:eastAsia="Times New Roman" w:hAnsi="Times New Roman"/>
          <w:sz w:val="21"/>
          <w:szCs w:val="21"/>
          <w:color w:val="auto"/>
        </w:rPr>
        <w:t>of customers, suppliers</w:t>
      </w:r>
      <w:r>
        <w:rPr>
          <w:rFonts w:ascii="Times New Roman" w:cs="Times New Roman" w:eastAsia="Times New Roman" w:hAnsi="Times New Roman"/>
          <w:sz w:val="20"/>
          <w:szCs w:val="20"/>
          <w:color w:val="auto"/>
        </w:rPr>
        <w:t xml:space="preserve"> or employees, strategies </w:t>
      </w:r>
      <w:r>
        <w:rPr>
          <w:rFonts w:ascii="Times New Roman" w:cs="Times New Roman" w:eastAsia="Times New Roman" w:hAnsi="Times New Roman"/>
          <w:sz w:val="21"/>
          <w:szCs w:val="21"/>
          <w:color w:val="auto"/>
        </w:rPr>
        <w:t>for</w:t>
      </w:r>
      <w:r>
        <w:rPr>
          <w:rFonts w:ascii="Times New Roman" w:cs="Times New Roman" w:eastAsia="Times New Roman" w:hAnsi="Times New Roman"/>
          <w:sz w:val="20"/>
          <w:szCs w:val="20"/>
          <w:color w:val="auto"/>
        </w:rPr>
        <w:t xml:space="preserve"> servicing and attracting customers, cost information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pricing strategies about FactSet </w:t>
      </w:r>
      <w:r>
        <w:rPr>
          <w:rFonts w:ascii="Times New Roman" w:cs="Times New Roman" w:eastAsia="Times New Roman" w:hAnsi="Times New Roman"/>
          <w:sz w:val="21"/>
          <w:szCs w:val="21"/>
          <w:color w:val="auto"/>
        </w:rPr>
        <w:t>products,</w:t>
      </w:r>
      <w:r>
        <w:rPr>
          <w:rFonts w:ascii="Times New Roman" w:cs="Times New Roman" w:eastAsia="Times New Roman" w:hAnsi="Times New Roman"/>
          <w:sz w:val="20"/>
          <w:szCs w:val="20"/>
          <w:color w:val="auto"/>
        </w:rPr>
        <w:t xml:space="preserve"> contracts and cooperative relationships and information about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compensation, evaluations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career </w:t>
      </w:r>
      <w:r>
        <w:rPr>
          <w:rFonts w:ascii="Times New Roman" w:cs="Times New Roman" w:eastAsia="Times New Roman" w:hAnsi="Times New Roman"/>
          <w:sz w:val="21"/>
          <w:szCs w:val="21"/>
          <w:color w:val="auto"/>
        </w:rPr>
        <w:t>paths</w:t>
      </w:r>
      <w:r>
        <w:rPr>
          <w:rFonts w:ascii="Times New Roman" w:cs="Times New Roman" w:eastAsia="Times New Roman" w:hAnsi="Times New Roman"/>
          <w:sz w:val="20"/>
          <w:szCs w:val="20"/>
          <w:color w:val="auto"/>
        </w:rPr>
        <w:t xml:space="preserve"> of employees; and (3)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formula, algorithm, computer program, pattern, compilation, drawing, device,</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method, technique or </w:t>
      </w:r>
      <w:r>
        <w:rPr>
          <w:rFonts w:ascii="Times New Roman" w:cs="Times New Roman" w:eastAsia="Times New Roman" w:hAnsi="Times New Roman"/>
          <w:sz w:val="21"/>
          <w:szCs w:val="21"/>
          <w:color w:val="auto"/>
        </w:rPr>
        <w:t>process</w:t>
      </w:r>
      <w:r>
        <w:rPr>
          <w:rFonts w:ascii="Times New Roman" w:cs="Times New Roman" w:eastAsia="Times New Roman" w:hAnsi="Times New Roman"/>
          <w:sz w:val="20"/>
          <w:szCs w:val="20"/>
          <w:color w:val="auto"/>
        </w:rPr>
        <w:t xml:space="preserve"> developed </w:t>
      </w:r>
      <w:r>
        <w:rPr>
          <w:rFonts w:ascii="Times New Roman" w:cs="Times New Roman" w:eastAsia="Times New Roman" w:hAnsi="Times New Roman"/>
          <w:sz w:val="21"/>
          <w:szCs w:val="21"/>
          <w:color w:val="auto"/>
        </w:rPr>
        <w:t>by or</w:t>
      </w:r>
      <w:r>
        <w:rPr>
          <w:rFonts w:ascii="Times New Roman" w:cs="Times New Roman" w:eastAsia="Times New Roman" w:hAnsi="Times New Roman"/>
          <w:sz w:val="20"/>
          <w:szCs w:val="20"/>
          <w:color w:val="auto"/>
        </w:rPr>
        <w:t xml:space="preserve"> made known as a result of </w:t>
      </w:r>
      <w:r>
        <w:rPr>
          <w:rFonts w:ascii="Times New Roman" w:cs="Times New Roman" w:eastAsia="Times New Roman" w:hAnsi="Times New Roman"/>
          <w:sz w:val="21"/>
          <w:szCs w:val="21"/>
          <w:color w:val="auto"/>
        </w:rPr>
        <w:t>employment</w:t>
      </w:r>
      <w:r>
        <w:rPr>
          <w:rFonts w:ascii="Times New Roman" w:cs="Times New Roman" w:eastAsia="Times New Roman" w:hAnsi="Times New Roman"/>
          <w:sz w:val="20"/>
          <w:szCs w:val="20"/>
          <w:color w:val="auto"/>
        </w:rPr>
        <w:t xml:space="preserve"> with </w:t>
      </w:r>
      <w:r>
        <w:rPr>
          <w:rFonts w:ascii="Times New Roman" w:cs="Times New Roman" w:eastAsia="Times New Roman" w:hAnsi="Times New Roman"/>
          <w:sz w:val="21"/>
          <w:szCs w:val="21"/>
          <w:color w:val="auto"/>
        </w:rPr>
        <w:t>FactSet.</w:t>
      </w:r>
      <w:r>
        <w:rPr>
          <w:rFonts w:ascii="Times New Roman" w:cs="Times New Roman" w:eastAsia="Times New Roman" w:hAnsi="Times New Roman"/>
          <w:sz w:val="20"/>
          <w:szCs w:val="20"/>
          <w:color w:val="auto"/>
        </w:rPr>
        <w:t xml:space="preserve"> Proprietary Information does </w:t>
      </w:r>
      <w:r>
        <w:rPr>
          <w:rFonts w:ascii="Times New Roman" w:cs="Times New Roman" w:eastAsia="Times New Roman" w:hAnsi="Times New Roman"/>
          <w:sz w:val="21"/>
          <w:szCs w:val="21"/>
          <w:color w:val="auto"/>
        </w:rPr>
        <w:t>not</w:t>
      </w:r>
      <w:r>
        <w:rPr>
          <w:rFonts w:ascii="Times New Roman" w:cs="Times New Roman" w:eastAsia="Times New Roman" w:hAnsi="Times New Roman"/>
          <w:sz w:val="20"/>
          <w:szCs w:val="20"/>
          <w:color w:val="auto"/>
        </w:rPr>
        <w:t xml:space="preserve"> include any information of </w:t>
      </w:r>
      <w:r>
        <w:rPr>
          <w:rFonts w:ascii="Times New Roman" w:cs="Times New Roman" w:eastAsia="Times New Roman" w:hAnsi="Times New Roman"/>
          <w:sz w:val="21"/>
          <w:szCs w:val="21"/>
          <w:color w:val="auto"/>
        </w:rPr>
        <w:t>which you</w:t>
      </w:r>
      <w:r>
        <w:rPr>
          <w:rFonts w:ascii="Times New Roman" w:cs="Times New Roman" w:eastAsia="Times New Roman" w:hAnsi="Times New Roman"/>
          <w:sz w:val="20"/>
          <w:szCs w:val="20"/>
          <w:color w:val="auto"/>
        </w:rPr>
        <w:t xml:space="preserve"> had knowledge </w:t>
      </w:r>
      <w:r>
        <w:rPr>
          <w:rFonts w:ascii="Times New Roman" w:cs="Times New Roman" w:eastAsia="Times New Roman" w:hAnsi="Times New Roman"/>
          <w:sz w:val="21"/>
          <w:szCs w:val="21"/>
          <w:color w:val="auto"/>
        </w:rPr>
        <w:t>prior to your</w:t>
      </w:r>
      <w:r>
        <w:rPr>
          <w:rFonts w:ascii="Times New Roman" w:cs="Times New Roman" w:eastAsia="Times New Roman" w:hAnsi="Times New Roman"/>
          <w:sz w:val="20"/>
          <w:szCs w:val="20"/>
          <w:color w:val="auto"/>
        </w:rPr>
        <w:t xml:space="preserve"> employment with FactSet, or information generally </w:t>
      </w:r>
      <w:r>
        <w:rPr>
          <w:rFonts w:ascii="Times New Roman" w:cs="Times New Roman" w:eastAsia="Times New Roman" w:hAnsi="Times New Roman"/>
          <w:sz w:val="21"/>
          <w:szCs w:val="21"/>
          <w:color w:val="auto"/>
        </w:rPr>
        <w:t>known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available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the financial </w:t>
      </w:r>
      <w:r>
        <w:rPr>
          <w:rFonts w:ascii="Times New Roman" w:cs="Times New Roman" w:eastAsia="Times New Roman" w:hAnsi="Times New Roman"/>
          <w:sz w:val="21"/>
          <w:szCs w:val="21"/>
          <w:color w:val="auto"/>
        </w:rPr>
        <w:t>services industry.</w:t>
      </w:r>
    </w:p>
    <w:p>
      <w:pPr>
        <w:sectPr>
          <w:pgSz w:w="11900" w:h="16838" w:orient="portrait"/>
          <w:cols w:equalWidth="0" w:num="1">
            <w:col w:w="11240"/>
          </w:cols>
          <w:pgMar w:left="320" w:top="11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c. You will </w:t>
      </w:r>
      <w:r>
        <w:rPr>
          <w:rFonts w:ascii="Times New Roman" w:cs="Times New Roman" w:eastAsia="Times New Roman" w:hAnsi="Times New Roman"/>
          <w:sz w:val="21"/>
          <w:szCs w:val="21"/>
          <w:color w:val="auto"/>
        </w:rPr>
        <w:t>not</w:t>
      </w:r>
      <w:r>
        <w:rPr>
          <w:rFonts w:ascii="Times New Roman" w:cs="Times New Roman" w:eastAsia="Times New Roman" w:hAnsi="Times New Roman"/>
          <w:sz w:val="20"/>
          <w:szCs w:val="20"/>
          <w:color w:val="auto"/>
        </w:rPr>
        <w:t xml:space="preserve"> use </w:t>
      </w:r>
      <w:r>
        <w:rPr>
          <w:rFonts w:ascii="Times New Roman" w:cs="Times New Roman" w:eastAsia="Times New Roman" w:hAnsi="Times New Roman"/>
          <w:sz w:val="21"/>
          <w:szCs w:val="21"/>
          <w:color w:val="auto"/>
        </w:rPr>
        <w:t>or disclose,</w:t>
      </w:r>
      <w:r>
        <w:rPr>
          <w:rFonts w:ascii="Times New Roman" w:cs="Times New Roman" w:eastAsia="Times New Roman" w:hAnsi="Times New Roman"/>
          <w:sz w:val="20"/>
          <w:szCs w:val="20"/>
          <w:color w:val="auto"/>
        </w:rPr>
        <w:t xml:space="preserve"> either during your employment with FactSet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after</w:t>
      </w:r>
    </w:p>
    <w:p>
      <w:pPr>
        <w:jc w:val="both"/>
        <w:spacing w:after="0"/>
        <w:rPr>
          <w:sz w:val="20"/>
          <w:szCs w:val="20"/>
          <w:color w:val="auto"/>
        </w:rPr>
      </w:pPr>
      <w:r>
        <w:rPr>
          <w:rFonts w:ascii="Times New Roman" w:cs="Times New Roman" w:eastAsia="Times New Roman" w:hAnsi="Times New Roman"/>
          <w:sz w:val="20"/>
          <w:szCs w:val="20"/>
          <w:color w:val="auto"/>
        </w:rPr>
        <w:t xml:space="preserve">termination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your employment with FactSet, any Proprietary Information, except for the exclusive </w:t>
      </w:r>
      <w:r>
        <w:rPr>
          <w:rFonts w:ascii="Times New Roman" w:cs="Times New Roman" w:eastAsia="Times New Roman" w:hAnsi="Times New Roman"/>
          <w:sz w:val="21"/>
          <w:szCs w:val="21"/>
          <w:color w:val="auto"/>
        </w:rPr>
        <w:t>benefit</w:t>
      </w:r>
      <w:r>
        <w:rPr>
          <w:rFonts w:ascii="Times New Roman" w:cs="Times New Roman" w:eastAsia="Times New Roman" w:hAnsi="Times New Roman"/>
          <w:sz w:val="20"/>
          <w:szCs w:val="20"/>
          <w:color w:val="auto"/>
        </w:rPr>
        <w:t xml:space="preserve"> of FactSet and as required by </w:t>
      </w:r>
      <w:r>
        <w:rPr>
          <w:rFonts w:ascii="Times New Roman" w:cs="Times New Roman" w:eastAsia="Times New Roman" w:hAnsi="Times New Roman"/>
          <w:sz w:val="21"/>
          <w:szCs w:val="21"/>
          <w:color w:val="auto"/>
        </w:rPr>
        <w:t xml:space="preserve">your </w:t>
      </w:r>
      <w:r>
        <w:rPr>
          <w:rFonts w:ascii="Times New Roman" w:cs="Times New Roman" w:eastAsia="Times New Roman" w:hAnsi="Times New Roman"/>
          <w:sz w:val="19"/>
          <w:szCs w:val="19"/>
          <w:color w:val="auto"/>
        </w:rPr>
        <w:t>duties for</w:t>
      </w:r>
      <w:r>
        <w:rPr>
          <w:rFonts w:ascii="Times New Roman" w:cs="Times New Roman" w:eastAsia="Times New Roman" w:hAnsi="Times New Roman"/>
          <w:sz w:val="21"/>
          <w:szCs w:val="21"/>
          <w:color w:val="auto"/>
        </w:rPr>
        <w:t xml:space="preserve"> FactSet, or as </w:t>
      </w:r>
      <w:r>
        <w:rPr>
          <w:rFonts w:ascii="Times New Roman" w:cs="Times New Roman" w:eastAsia="Times New Roman" w:hAnsi="Times New Roman"/>
          <w:sz w:val="19"/>
          <w:szCs w:val="19"/>
          <w:color w:val="auto"/>
        </w:rPr>
        <w:t>FactSet expressly may consent to</w:t>
      </w:r>
      <w:r>
        <w:rPr>
          <w:rFonts w:ascii="Times New Roman" w:cs="Times New Roman" w:eastAsia="Times New Roman" w:hAnsi="Times New Roman"/>
          <w:sz w:val="21"/>
          <w:szCs w:val="21"/>
          <w:color w:val="auto"/>
        </w:rPr>
        <w:t xml:space="preserve"> in writing. </w:t>
      </w:r>
      <w:r>
        <w:rPr>
          <w:rFonts w:ascii="Times New Roman" w:cs="Times New Roman" w:eastAsia="Times New Roman" w:hAnsi="Times New Roman"/>
          <w:sz w:val="19"/>
          <w:szCs w:val="19"/>
          <w:color w:val="auto"/>
        </w:rPr>
        <w:t>You will</w:t>
      </w:r>
      <w:r>
        <w:rPr>
          <w:rFonts w:ascii="Times New Roman" w:cs="Times New Roman" w:eastAsia="Times New Roman" w:hAnsi="Times New Roman"/>
          <w:sz w:val="21"/>
          <w:szCs w:val="21"/>
          <w:color w:val="auto"/>
        </w:rPr>
        <w:t xml:space="preserve"> use </w:t>
      </w:r>
      <w:r>
        <w:rPr>
          <w:rFonts w:ascii="Times New Roman" w:cs="Times New Roman" w:eastAsia="Times New Roman" w:hAnsi="Times New Roman"/>
          <w:sz w:val="19"/>
          <w:szCs w:val="19"/>
          <w:color w:val="auto"/>
        </w:rPr>
        <w:t>your</w:t>
      </w:r>
      <w:r>
        <w:rPr>
          <w:rFonts w:ascii="Times New Roman" w:cs="Times New Roman" w:eastAsia="Times New Roman" w:hAnsi="Times New Roman"/>
          <w:sz w:val="21"/>
          <w:szCs w:val="21"/>
          <w:color w:val="auto"/>
        </w:rPr>
        <w:t xml:space="preserve"> best efforts to prevent the </w:t>
      </w:r>
      <w:r>
        <w:rPr>
          <w:rFonts w:ascii="Times New Roman" w:cs="Times New Roman" w:eastAsia="Times New Roman" w:hAnsi="Times New Roman"/>
          <w:sz w:val="19"/>
          <w:szCs w:val="19"/>
          <w:color w:val="auto"/>
        </w:rPr>
        <w:t>unauthorized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disclosure, </w:t>
      </w:r>
      <w:r>
        <w:rPr>
          <w:rFonts w:ascii="Times New Roman" w:cs="Times New Roman" w:eastAsia="Times New Roman" w:hAnsi="Times New Roman"/>
          <w:sz w:val="21"/>
          <w:szCs w:val="21"/>
          <w:color w:val="auto"/>
        </w:rPr>
        <w:t>use, or</w:t>
      </w:r>
      <w:r>
        <w:rPr>
          <w:rFonts w:ascii="Times New Roman" w:cs="Times New Roman" w:eastAsia="Times New Roman" w:hAnsi="Times New Roman"/>
          <w:sz w:val="19"/>
          <w:szCs w:val="19"/>
          <w:color w:val="auto"/>
        </w:rPr>
        <w:t xml:space="preserve"> reproduction of </w:t>
      </w:r>
      <w:r>
        <w:rPr>
          <w:rFonts w:ascii="Times New Roman" w:cs="Times New Roman" w:eastAsia="Times New Roman" w:hAnsi="Times New Roman"/>
          <w:sz w:val="21"/>
          <w:szCs w:val="21"/>
          <w:color w:val="auto"/>
        </w:rPr>
        <w:t>all</w:t>
      </w:r>
      <w:r>
        <w:rPr>
          <w:rFonts w:ascii="Times New Roman" w:cs="Times New Roman" w:eastAsia="Times New Roman" w:hAnsi="Times New Roman"/>
          <w:sz w:val="19"/>
          <w:szCs w:val="19"/>
          <w:color w:val="auto"/>
        </w:rPr>
        <w:t xml:space="preserve"> Proprietary Information and will follow FactSet </w:t>
      </w:r>
      <w:r>
        <w:rPr>
          <w:rFonts w:ascii="Times New Roman" w:cs="Times New Roman" w:eastAsia="Times New Roman" w:hAnsi="Times New Roman"/>
          <w:sz w:val="21"/>
          <w:szCs w:val="21"/>
          <w:color w:val="auto"/>
        </w:rPr>
        <w:t>policies</w:t>
      </w:r>
      <w:r>
        <w:rPr>
          <w:rFonts w:ascii="Times New Roman" w:cs="Times New Roman" w:eastAsia="Times New Roman" w:hAnsi="Times New Roman"/>
          <w:sz w:val="19"/>
          <w:szCs w:val="19"/>
          <w:color w:val="auto"/>
        </w:rPr>
        <w:t xml:space="preserve"> with regard </w:t>
      </w:r>
      <w:r>
        <w:rPr>
          <w:rFonts w:ascii="Times New Roman" w:cs="Times New Roman" w:eastAsia="Times New Roman" w:hAnsi="Times New Roman"/>
          <w:sz w:val="21"/>
          <w:szCs w:val="21"/>
          <w:color w:val="auto"/>
        </w:rPr>
        <w:t>to</w:t>
      </w:r>
      <w:r>
        <w:rPr>
          <w:rFonts w:ascii="Times New Roman" w:cs="Times New Roman" w:eastAsia="Times New Roman" w:hAnsi="Times New Roman"/>
          <w:sz w:val="19"/>
          <w:szCs w:val="19"/>
          <w:color w:val="auto"/>
        </w:rPr>
        <w:t xml:space="preserve"> maintaining such confidentiality.</w:t>
      </w:r>
    </w:p>
    <w:p>
      <w:pPr>
        <w:spacing w:after="0" w:line="3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d. Upon termination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your employment with FactSet for any reason,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immediately will</w:t>
      </w:r>
    </w:p>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deliver to FactSet all tangible, written, graphical, machine readable and other materials (including all copies)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your possession or under your control containing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disclosing Proprietary Information </w:t>
      </w:r>
      <w:r>
        <w:rPr>
          <w:rFonts w:ascii="Times New Roman" w:cs="Times New Roman" w:eastAsia="Times New Roman" w:hAnsi="Times New Roman"/>
          <w:sz w:val="21"/>
          <w:szCs w:val="21"/>
          <w:color w:val="auto"/>
        </w:rPr>
        <w:t>and will delete</w:t>
      </w:r>
      <w:r>
        <w:rPr>
          <w:rFonts w:ascii="Times New Roman" w:cs="Times New Roman" w:eastAsia="Times New Roman" w:hAnsi="Times New Roman"/>
          <w:sz w:val="20"/>
          <w:szCs w:val="20"/>
          <w:color w:val="auto"/>
        </w:rPr>
        <w:t xml:space="preserve"> all such material </w:t>
      </w:r>
      <w:r>
        <w:rPr>
          <w:rFonts w:ascii="Times New Roman" w:cs="Times New Roman" w:eastAsia="Times New Roman" w:hAnsi="Times New Roman"/>
          <w:sz w:val="21"/>
          <w:szCs w:val="21"/>
          <w:color w:val="auto"/>
        </w:rPr>
        <w:t>from</w:t>
      </w:r>
      <w:r>
        <w:rPr>
          <w:rFonts w:ascii="Times New Roman" w:cs="Times New Roman" w:eastAsia="Times New Roman" w:hAnsi="Times New Roman"/>
          <w:sz w:val="20"/>
          <w:szCs w:val="20"/>
          <w:color w:val="auto"/>
        </w:rPr>
        <w:t xml:space="preserve"> the hard drives </w:t>
      </w:r>
      <w:r>
        <w:rPr>
          <w:rFonts w:ascii="Times New Roman" w:cs="Times New Roman" w:eastAsia="Times New Roman" w:hAnsi="Times New Roman"/>
          <w:sz w:val="21"/>
          <w:szCs w:val="21"/>
          <w:color w:val="auto"/>
        </w:rPr>
        <w:t>of any</w:t>
      </w:r>
      <w:r>
        <w:rPr>
          <w:rFonts w:ascii="Times New Roman" w:cs="Times New Roman" w:eastAsia="Times New Roman" w:hAnsi="Times New Roman"/>
          <w:sz w:val="20"/>
          <w:szCs w:val="20"/>
          <w:color w:val="auto"/>
        </w:rPr>
        <w:t xml:space="preserve"> computers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may own </w:t>
      </w:r>
      <w:r>
        <w:rPr>
          <w:rFonts w:ascii="Times New Roman" w:cs="Times New Roman" w:eastAsia="Times New Roman" w:hAnsi="Times New Roman"/>
          <w:sz w:val="19"/>
          <w:szCs w:val="19"/>
          <w:color w:val="auto"/>
        </w:rPr>
        <w:t>or control.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e. You understand that </w:t>
      </w:r>
      <w:r>
        <w:rPr>
          <w:rFonts w:ascii="Times New Roman" w:cs="Times New Roman" w:eastAsia="Times New Roman" w:hAnsi="Times New Roman"/>
          <w:sz w:val="21"/>
          <w:szCs w:val="21"/>
          <w:color w:val="auto"/>
        </w:rPr>
        <w:t>nothing in this Agreement</w:t>
      </w:r>
      <w:r>
        <w:rPr>
          <w:rFonts w:ascii="Times New Roman" w:cs="Times New Roman" w:eastAsia="Times New Roman" w:hAnsi="Times New Roman"/>
          <w:sz w:val="20"/>
          <w:szCs w:val="20"/>
          <w:color w:val="auto"/>
        </w:rPr>
        <w:t xml:space="preserve"> is intended </w:t>
      </w:r>
      <w:r>
        <w:rPr>
          <w:rFonts w:ascii="Times New Roman" w:cs="Times New Roman" w:eastAsia="Times New Roman" w:hAnsi="Times New Roman"/>
          <w:sz w:val="21"/>
          <w:szCs w:val="21"/>
          <w:color w:val="auto"/>
        </w:rPr>
        <w:t>to or shall</w:t>
      </w:r>
      <w:r>
        <w:rPr>
          <w:rFonts w:ascii="Times New Roman" w:cs="Times New Roman" w:eastAsia="Times New Roman" w:hAnsi="Times New Roman"/>
          <w:sz w:val="20"/>
          <w:szCs w:val="20"/>
          <w:color w:val="auto"/>
        </w:rPr>
        <w:t xml:space="preserve"> prevent you from (i) </w:t>
      </w:r>
      <w:r>
        <w:rPr>
          <w:rFonts w:ascii="Times New Roman" w:cs="Times New Roman" w:eastAsia="Times New Roman" w:hAnsi="Times New Roman"/>
          <w:sz w:val="21"/>
          <w:szCs w:val="21"/>
          <w:color w:val="auto"/>
        </w:rPr>
        <w:t>communicating</w:t>
      </w:r>
      <w:r>
        <w:rPr>
          <w:rFonts w:ascii="Times New Roman" w:cs="Times New Roman" w:eastAsia="Times New Roman" w:hAnsi="Times New Roman"/>
          <w:sz w:val="20"/>
          <w:szCs w:val="20"/>
          <w:color w:val="auto"/>
        </w:rPr>
        <w:t xml:space="preserve"> directly with,</w:t>
      </w:r>
    </w:p>
    <w:p>
      <w:pPr>
        <w:spacing w:after="0" w:line="226" w:lineRule="auto"/>
        <w:rPr>
          <w:sz w:val="20"/>
          <w:szCs w:val="20"/>
          <w:color w:val="auto"/>
        </w:rPr>
      </w:pPr>
      <w:r>
        <w:rPr>
          <w:rFonts w:ascii="Times New Roman" w:cs="Times New Roman" w:eastAsia="Times New Roman" w:hAnsi="Times New Roman"/>
          <w:sz w:val="20"/>
          <w:szCs w:val="20"/>
          <w:color w:val="auto"/>
        </w:rPr>
        <w:t xml:space="preserve">cooperating with,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providing information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1"/>
          <w:szCs w:val="21"/>
          <w:color w:val="auto"/>
        </w:rPr>
        <w:t>federal,</w:t>
      </w:r>
      <w:r>
        <w:rPr>
          <w:rFonts w:ascii="Times New Roman" w:cs="Times New Roman" w:eastAsia="Times New Roman" w:hAnsi="Times New Roman"/>
          <w:sz w:val="20"/>
          <w:szCs w:val="20"/>
          <w:color w:val="auto"/>
        </w:rPr>
        <w:t xml:space="preserve"> state </w:t>
      </w:r>
      <w:r>
        <w:rPr>
          <w:rFonts w:ascii="Times New Roman" w:cs="Times New Roman" w:eastAsia="Times New Roman" w:hAnsi="Times New Roman"/>
          <w:sz w:val="21"/>
          <w:szCs w:val="21"/>
          <w:color w:val="auto"/>
        </w:rPr>
        <w:t>or local government</w:t>
      </w:r>
      <w:r>
        <w:rPr>
          <w:rFonts w:ascii="Times New Roman" w:cs="Times New Roman" w:eastAsia="Times New Roman" w:hAnsi="Times New Roman"/>
          <w:sz w:val="20"/>
          <w:szCs w:val="20"/>
          <w:color w:val="auto"/>
        </w:rPr>
        <w:t xml:space="preserve"> regulator, including, </w:t>
      </w:r>
      <w:r>
        <w:rPr>
          <w:rFonts w:ascii="Times New Roman" w:cs="Times New Roman" w:eastAsia="Times New Roman" w:hAnsi="Times New Roman"/>
          <w:sz w:val="21"/>
          <w:szCs w:val="21"/>
          <w:color w:val="auto"/>
        </w:rPr>
        <w:t>but not</w:t>
      </w:r>
      <w:r>
        <w:rPr>
          <w:rFonts w:ascii="Times New Roman" w:cs="Times New Roman" w:eastAsia="Times New Roman" w:hAnsi="Times New Roman"/>
          <w:sz w:val="20"/>
          <w:szCs w:val="20"/>
          <w:color w:val="auto"/>
        </w:rPr>
        <w:t xml:space="preserve"> limited </w:t>
      </w:r>
      <w:r>
        <w:rPr>
          <w:rFonts w:ascii="Times New Roman" w:cs="Times New Roman" w:eastAsia="Times New Roman" w:hAnsi="Times New Roman"/>
          <w:sz w:val="21"/>
          <w:szCs w:val="21"/>
          <w:color w:val="auto"/>
        </w:rPr>
        <w:t>to, the</w:t>
      </w:r>
      <w:r>
        <w:rPr>
          <w:rFonts w:ascii="Times New Roman" w:cs="Times New Roman" w:eastAsia="Times New Roman" w:hAnsi="Times New Roman"/>
          <w:sz w:val="20"/>
          <w:szCs w:val="20"/>
          <w:color w:val="auto"/>
        </w:rPr>
        <w:t xml:space="preserve"> U.S.</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Securities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Exchange Commission,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U.S. </w:t>
      </w:r>
      <w:r>
        <w:rPr>
          <w:rFonts w:ascii="Times New Roman" w:cs="Times New Roman" w:eastAsia="Times New Roman" w:hAnsi="Times New Roman"/>
          <w:sz w:val="21"/>
          <w:szCs w:val="21"/>
          <w:color w:val="auto"/>
        </w:rPr>
        <w:t>Commodity</w:t>
      </w:r>
      <w:r>
        <w:rPr>
          <w:rFonts w:ascii="Times New Roman" w:cs="Times New Roman" w:eastAsia="Times New Roman" w:hAnsi="Times New Roman"/>
          <w:sz w:val="20"/>
          <w:szCs w:val="20"/>
          <w:color w:val="auto"/>
        </w:rPr>
        <w:t xml:space="preserve"> Futures Trading Commission,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U.S. </w:t>
      </w:r>
      <w:r>
        <w:rPr>
          <w:rFonts w:ascii="Times New Roman" w:cs="Times New Roman" w:eastAsia="Times New Roman" w:hAnsi="Times New Roman"/>
          <w:sz w:val="21"/>
          <w:szCs w:val="21"/>
          <w:color w:val="auto"/>
        </w:rPr>
        <w:t>Department</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Justice,</w:t>
      </w:r>
      <w:r>
        <w:rPr>
          <w:rFonts w:ascii="Times New Roman" w:cs="Times New Roman" w:eastAsia="Times New Roman" w:hAnsi="Times New Roman"/>
          <w:sz w:val="20"/>
          <w:szCs w:val="20"/>
          <w:color w:val="auto"/>
        </w:rPr>
        <w:t xml:space="preserve"> the U.S. National Labor Relations </w:t>
      </w:r>
      <w:r>
        <w:rPr>
          <w:rFonts w:ascii="Times New Roman" w:cs="Times New Roman" w:eastAsia="Times New Roman" w:hAnsi="Times New Roman"/>
          <w:sz w:val="21"/>
          <w:szCs w:val="21"/>
          <w:color w:val="auto"/>
        </w:rPr>
        <w:t>Act, or the</w:t>
      </w:r>
      <w:r>
        <w:rPr>
          <w:rFonts w:ascii="Times New Roman" w:cs="Times New Roman" w:eastAsia="Times New Roman" w:hAnsi="Times New Roman"/>
          <w:sz w:val="20"/>
          <w:szCs w:val="20"/>
          <w:color w:val="auto"/>
        </w:rPr>
        <w:t xml:space="preserve"> U.S. Equal </w:t>
      </w:r>
      <w:r>
        <w:rPr>
          <w:rFonts w:ascii="Times New Roman" w:cs="Times New Roman" w:eastAsia="Times New Roman" w:hAnsi="Times New Roman"/>
          <w:sz w:val="21"/>
          <w:szCs w:val="21"/>
          <w:color w:val="auto"/>
        </w:rPr>
        <w:t>Employment</w:t>
      </w:r>
      <w:r>
        <w:rPr>
          <w:rFonts w:ascii="Times New Roman" w:cs="Times New Roman" w:eastAsia="Times New Roman" w:hAnsi="Times New Roman"/>
          <w:sz w:val="20"/>
          <w:szCs w:val="20"/>
          <w:color w:val="auto"/>
        </w:rPr>
        <w:t xml:space="preserve"> Opportunities Commission, (ii) providing truthful statements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response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legal </w:t>
      </w:r>
      <w:r>
        <w:rPr>
          <w:rFonts w:ascii="Times New Roman" w:cs="Times New Roman" w:eastAsia="Times New Roman" w:hAnsi="Times New Roman"/>
          <w:sz w:val="21"/>
          <w:szCs w:val="21"/>
          <w:color w:val="auto"/>
        </w:rPr>
        <w:t>process,</w:t>
      </w:r>
      <w:r>
        <w:rPr>
          <w:rFonts w:ascii="Times New Roman" w:cs="Times New Roman" w:eastAsia="Times New Roman" w:hAnsi="Times New Roman"/>
          <w:sz w:val="20"/>
          <w:szCs w:val="20"/>
          <w:color w:val="auto"/>
        </w:rPr>
        <w:t xml:space="preserve"> required governmental testimony </w:t>
      </w:r>
      <w:r>
        <w:rPr>
          <w:rFonts w:ascii="Times New Roman" w:cs="Times New Roman" w:eastAsia="Times New Roman" w:hAnsi="Times New Roman"/>
          <w:sz w:val="21"/>
          <w:szCs w:val="21"/>
          <w:color w:val="auto"/>
        </w:rPr>
        <w:t>or filings</w:t>
      </w:r>
      <w:r>
        <w:rPr>
          <w:rFonts w:ascii="Times New Roman" w:cs="Times New Roman" w:eastAsia="Times New Roman" w:hAnsi="Times New Roman"/>
          <w:sz w:val="20"/>
          <w:szCs w:val="20"/>
          <w:color w:val="auto"/>
        </w:rPr>
        <w:t xml:space="preserve"> or administrative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arbitral proceedings (including </w:t>
      </w:r>
      <w:r>
        <w:rPr>
          <w:rFonts w:ascii="Times New Roman" w:cs="Times New Roman" w:eastAsia="Times New Roman" w:hAnsi="Times New Roman"/>
          <w:sz w:val="21"/>
          <w:szCs w:val="21"/>
          <w:color w:val="auto"/>
        </w:rPr>
        <w:t>depositions in</w:t>
      </w:r>
      <w:r>
        <w:rPr>
          <w:rFonts w:ascii="Times New Roman" w:cs="Times New Roman" w:eastAsia="Times New Roman" w:hAnsi="Times New Roman"/>
          <w:sz w:val="20"/>
          <w:szCs w:val="20"/>
          <w:color w:val="auto"/>
        </w:rPr>
        <w:t xml:space="preserve"> connection with </w:t>
      </w:r>
      <w:r>
        <w:rPr>
          <w:rFonts w:ascii="Times New Roman" w:cs="Times New Roman" w:eastAsia="Times New Roman" w:hAnsi="Times New Roman"/>
          <w:sz w:val="21"/>
          <w:szCs w:val="21"/>
          <w:color w:val="auto"/>
        </w:rPr>
        <w:t>such proceedings), or (iii)</w:t>
      </w:r>
      <w:r>
        <w:rPr>
          <w:rFonts w:ascii="Times New Roman" w:cs="Times New Roman" w:eastAsia="Times New Roman" w:hAnsi="Times New Roman"/>
          <w:sz w:val="20"/>
          <w:szCs w:val="20"/>
          <w:color w:val="auto"/>
        </w:rPr>
        <w:t xml:space="preserve"> discussing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disclosing information about unlawful acts </w:t>
      </w:r>
      <w:r>
        <w:rPr>
          <w:rFonts w:ascii="Times New Roman" w:cs="Times New Roman" w:eastAsia="Times New Roman" w:hAnsi="Times New Roman"/>
          <w:sz w:val="21"/>
          <w:szCs w:val="21"/>
          <w:color w:val="auto"/>
        </w:rPr>
        <w:t>in the</w:t>
      </w:r>
      <w:r>
        <w:rPr>
          <w:rFonts w:ascii="Times New Roman" w:cs="Times New Roman" w:eastAsia="Times New Roman" w:hAnsi="Times New Roman"/>
          <w:sz w:val="20"/>
          <w:szCs w:val="20"/>
          <w:color w:val="auto"/>
        </w:rPr>
        <w:t xml:space="preserve"> workplace, such as harassment </w:t>
      </w:r>
      <w:r>
        <w:rPr>
          <w:rFonts w:ascii="Times New Roman" w:cs="Times New Roman" w:eastAsia="Times New Roman" w:hAnsi="Times New Roman"/>
          <w:sz w:val="21"/>
          <w:szCs w:val="21"/>
          <w:color w:val="auto"/>
        </w:rPr>
        <w:t>or</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discrimination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1"/>
          <w:szCs w:val="21"/>
          <w:color w:val="auto"/>
        </w:rPr>
        <w:t>other</w:t>
      </w:r>
      <w:r>
        <w:rPr>
          <w:rFonts w:ascii="Times New Roman" w:cs="Times New Roman" w:eastAsia="Times New Roman" w:hAnsi="Times New Roman"/>
          <w:sz w:val="20"/>
          <w:szCs w:val="20"/>
          <w:color w:val="auto"/>
        </w:rPr>
        <w:t xml:space="preserve"> conduct that </w:t>
      </w:r>
      <w:r>
        <w:rPr>
          <w:rFonts w:ascii="Times New Roman" w:cs="Times New Roman" w:eastAsia="Times New Roman" w:hAnsi="Times New Roman"/>
          <w:sz w:val="21"/>
          <w:szCs w:val="21"/>
          <w:color w:val="auto"/>
        </w:rPr>
        <w:t>you reasonably</w:t>
      </w:r>
      <w:r>
        <w:rPr>
          <w:rFonts w:ascii="Times New Roman" w:cs="Times New Roman" w:eastAsia="Times New Roman" w:hAnsi="Times New Roman"/>
          <w:sz w:val="20"/>
          <w:szCs w:val="20"/>
          <w:color w:val="auto"/>
        </w:rPr>
        <w:t xml:space="preserve"> believe </w:t>
      </w:r>
      <w:r>
        <w:rPr>
          <w:rFonts w:ascii="Times New Roman" w:cs="Times New Roman" w:eastAsia="Times New Roman" w:hAnsi="Times New Roman"/>
          <w:sz w:val="21"/>
          <w:szCs w:val="21"/>
          <w:color w:val="auto"/>
        </w:rPr>
        <w:t>to be</w:t>
      </w:r>
      <w:r>
        <w:rPr>
          <w:rFonts w:ascii="Times New Roman" w:cs="Times New Roman" w:eastAsia="Times New Roman" w:hAnsi="Times New Roman"/>
          <w:sz w:val="20"/>
          <w:szCs w:val="20"/>
          <w:color w:val="auto"/>
        </w:rPr>
        <w:t xml:space="preserve"> unlawful. You acknowledge that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FactSet has provided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notice of </w:t>
      </w:r>
      <w:r>
        <w:rPr>
          <w:rFonts w:ascii="Times New Roman" w:cs="Times New Roman" w:eastAsia="Times New Roman" w:hAnsi="Times New Roman"/>
          <w:sz w:val="19"/>
          <w:szCs w:val="19"/>
          <w:color w:val="auto"/>
        </w:rPr>
        <w:t>your</w:t>
      </w:r>
      <w:r>
        <w:rPr>
          <w:rFonts w:ascii="Times New Roman" w:cs="Times New Roman" w:eastAsia="Times New Roman" w:hAnsi="Times New Roman"/>
          <w:sz w:val="21"/>
          <w:szCs w:val="21"/>
          <w:color w:val="auto"/>
        </w:rPr>
        <w:t xml:space="preserve"> immunity </w:t>
      </w:r>
      <w:r>
        <w:rPr>
          <w:rFonts w:ascii="Times New Roman" w:cs="Times New Roman" w:eastAsia="Times New Roman" w:hAnsi="Times New Roman"/>
          <w:sz w:val="19"/>
          <w:szCs w:val="19"/>
          <w:color w:val="auto"/>
        </w:rPr>
        <w:t>rights under</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19"/>
          <w:szCs w:val="19"/>
          <w:color w:val="auto"/>
        </w:rPr>
        <w:t>Defend Trade</w:t>
      </w:r>
      <w:r>
        <w:rPr>
          <w:rFonts w:ascii="Times New Roman" w:cs="Times New Roman" w:eastAsia="Times New Roman" w:hAnsi="Times New Roman"/>
          <w:sz w:val="21"/>
          <w:szCs w:val="21"/>
          <w:color w:val="auto"/>
        </w:rPr>
        <w:t xml:space="preserve"> Secrets </w:t>
      </w:r>
      <w:r>
        <w:rPr>
          <w:rFonts w:ascii="Times New Roman" w:cs="Times New Roman" w:eastAsia="Times New Roman" w:hAnsi="Times New Roman"/>
          <w:sz w:val="19"/>
          <w:szCs w:val="19"/>
          <w:color w:val="auto"/>
        </w:rPr>
        <w:t>Act, which</w:t>
      </w:r>
      <w:r>
        <w:rPr>
          <w:rFonts w:ascii="Times New Roman" w:cs="Times New Roman" w:eastAsia="Times New Roman" w:hAnsi="Times New Roman"/>
          <w:sz w:val="21"/>
          <w:szCs w:val="21"/>
          <w:color w:val="auto"/>
        </w:rPr>
        <w:t xml:space="preserve"> states: “(1) </w:t>
      </w:r>
      <w:r>
        <w:rPr>
          <w:rFonts w:ascii="Times New Roman" w:cs="Times New Roman" w:eastAsia="Times New Roman" w:hAnsi="Times New Roman"/>
          <w:sz w:val="19"/>
          <w:szCs w:val="19"/>
          <w:color w:val="auto"/>
        </w:rPr>
        <w:t>An individual shall not</w:t>
      </w:r>
      <w:r>
        <w:rPr>
          <w:rFonts w:ascii="Times New Roman" w:cs="Times New Roman" w:eastAsia="Times New Roman" w:hAnsi="Times New Roman"/>
          <w:sz w:val="21"/>
          <w:szCs w:val="21"/>
          <w:color w:val="auto"/>
        </w:rPr>
        <w:t xml:space="preserve"> be </w:t>
      </w:r>
      <w:r>
        <w:rPr>
          <w:rFonts w:ascii="Times New Roman" w:cs="Times New Roman" w:eastAsia="Times New Roman" w:hAnsi="Times New Roman"/>
          <w:sz w:val="19"/>
          <w:szCs w:val="19"/>
          <w:color w:val="auto"/>
        </w:rPr>
        <w:t>held criminally or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 xml:space="preserve">civilly </w:t>
      </w:r>
      <w:r>
        <w:rPr>
          <w:rFonts w:ascii="Times New Roman" w:cs="Times New Roman" w:eastAsia="Times New Roman" w:hAnsi="Times New Roman"/>
          <w:sz w:val="19"/>
          <w:szCs w:val="19"/>
          <w:color w:val="auto"/>
        </w:rPr>
        <w:t>liable under</w:t>
      </w:r>
      <w:r>
        <w:rPr>
          <w:rFonts w:ascii="Times New Roman" w:cs="Times New Roman" w:eastAsia="Times New Roman" w:hAnsi="Times New Roman"/>
          <w:sz w:val="22"/>
          <w:szCs w:val="22"/>
          <w:color w:val="auto"/>
        </w:rPr>
        <w:t xml:space="preserve"> any </w:t>
      </w:r>
      <w:r>
        <w:rPr>
          <w:rFonts w:ascii="Times New Roman" w:cs="Times New Roman" w:eastAsia="Times New Roman" w:hAnsi="Times New Roman"/>
          <w:sz w:val="19"/>
          <w:szCs w:val="19"/>
          <w:color w:val="auto"/>
        </w:rPr>
        <w:t>Federal or</w:t>
      </w:r>
      <w:r>
        <w:rPr>
          <w:rFonts w:ascii="Times New Roman" w:cs="Times New Roman" w:eastAsia="Times New Roman" w:hAnsi="Times New Roman"/>
          <w:sz w:val="22"/>
          <w:szCs w:val="22"/>
          <w:color w:val="auto"/>
        </w:rPr>
        <w:t xml:space="preserve"> State trade </w:t>
      </w:r>
      <w:r>
        <w:rPr>
          <w:rFonts w:ascii="Times New Roman" w:cs="Times New Roman" w:eastAsia="Times New Roman" w:hAnsi="Times New Roman"/>
          <w:sz w:val="19"/>
          <w:szCs w:val="19"/>
          <w:color w:val="auto"/>
        </w:rPr>
        <w:t>secret</w:t>
      </w:r>
      <w:r>
        <w:rPr>
          <w:rFonts w:ascii="Times New Roman" w:cs="Times New Roman" w:eastAsia="Times New Roman" w:hAnsi="Times New Roman"/>
          <w:sz w:val="22"/>
          <w:szCs w:val="22"/>
          <w:color w:val="auto"/>
        </w:rPr>
        <w:t xml:space="preserve"> law for </w:t>
      </w:r>
      <w:r>
        <w:rPr>
          <w:rFonts w:ascii="Times New Roman" w:cs="Times New Roman" w:eastAsia="Times New Roman" w:hAnsi="Times New Roman"/>
          <w:sz w:val="19"/>
          <w:szCs w:val="19"/>
          <w:color w:val="auto"/>
        </w:rPr>
        <w:t>the disclosure of a</w:t>
      </w:r>
      <w:r>
        <w:rPr>
          <w:rFonts w:ascii="Times New Roman" w:cs="Times New Roman" w:eastAsia="Times New Roman" w:hAnsi="Times New Roman"/>
          <w:sz w:val="22"/>
          <w:szCs w:val="22"/>
          <w:color w:val="auto"/>
        </w:rPr>
        <w:t xml:space="preserve"> trade </w:t>
      </w:r>
      <w:r>
        <w:rPr>
          <w:rFonts w:ascii="Times New Roman" w:cs="Times New Roman" w:eastAsia="Times New Roman" w:hAnsi="Times New Roman"/>
          <w:sz w:val="19"/>
          <w:szCs w:val="19"/>
          <w:color w:val="auto"/>
        </w:rPr>
        <w:t>secret that (A) is</w:t>
      </w:r>
      <w:r>
        <w:rPr>
          <w:rFonts w:ascii="Times New Roman" w:cs="Times New Roman" w:eastAsia="Times New Roman" w:hAnsi="Times New Roman"/>
          <w:sz w:val="22"/>
          <w:szCs w:val="22"/>
          <w:color w:val="auto"/>
        </w:rPr>
        <w:t xml:space="preserve"> made </w:t>
      </w:r>
      <w:r>
        <w:rPr>
          <w:rFonts w:ascii="Times New Roman" w:cs="Times New Roman" w:eastAsia="Times New Roman" w:hAnsi="Times New Roman"/>
          <w:sz w:val="19"/>
          <w:szCs w:val="19"/>
          <w:color w:val="auto"/>
        </w:rPr>
        <w:t>(i) in confidence</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19"/>
          <w:szCs w:val="19"/>
          <w:color w:val="auto"/>
        </w:rPr>
        <w: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Federal, State, or local government </w:t>
      </w:r>
      <w:r>
        <w:rPr>
          <w:rFonts w:ascii="Times New Roman" w:cs="Times New Roman" w:eastAsia="Times New Roman" w:hAnsi="Times New Roman"/>
          <w:sz w:val="21"/>
          <w:szCs w:val="21"/>
          <w:color w:val="auto"/>
        </w:rPr>
        <w:t>official,</w:t>
      </w:r>
      <w:r>
        <w:rPr>
          <w:rFonts w:ascii="Times New Roman" w:cs="Times New Roman" w:eastAsia="Times New Roman" w:hAnsi="Times New Roman"/>
          <w:sz w:val="19"/>
          <w:szCs w:val="19"/>
          <w:color w:val="auto"/>
        </w:rPr>
        <w:t xml:space="preserve"> either directly or indirectly, </w:t>
      </w:r>
      <w:r>
        <w:rPr>
          <w:rFonts w:ascii="Times New Roman" w:cs="Times New Roman" w:eastAsia="Times New Roman" w:hAnsi="Times New Roman"/>
          <w:sz w:val="21"/>
          <w:szCs w:val="21"/>
          <w:color w:val="auto"/>
        </w:rPr>
        <w:t>or to an</w:t>
      </w:r>
      <w:r>
        <w:rPr>
          <w:rFonts w:ascii="Times New Roman" w:cs="Times New Roman" w:eastAsia="Times New Roman" w:hAnsi="Times New Roman"/>
          <w:sz w:val="19"/>
          <w:szCs w:val="19"/>
          <w:color w:val="auto"/>
        </w:rPr>
        <w:t xml:space="preserve"> attorney; and </w:t>
      </w:r>
      <w:r>
        <w:rPr>
          <w:rFonts w:ascii="Times New Roman" w:cs="Times New Roman" w:eastAsia="Times New Roman" w:hAnsi="Times New Roman"/>
          <w:sz w:val="21"/>
          <w:szCs w:val="21"/>
          <w:color w:val="auto"/>
        </w:rPr>
        <w:t>(ii) solely</w:t>
      </w:r>
      <w:r>
        <w:rPr>
          <w:rFonts w:ascii="Times New Roman" w:cs="Times New Roman" w:eastAsia="Times New Roman" w:hAnsi="Times New Roman"/>
          <w:sz w:val="19"/>
          <w:szCs w:val="19"/>
          <w:color w:val="auto"/>
        </w:rPr>
        <w:t xml:space="preserve"> for the purpose </w:t>
      </w:r>
      <w:r>
        <w:rPr>
          <w:rFonts w:ascii="Times New Roman" w:cs="Times New Roman" w:eastAsia="Times New Roman" w:hAnsi="Times New Roman"/>
          <w:sz w:val="21"/>
          <w:szCs w:val="21"/>
          <w:color w:val="auto"/>
        </w:rPr>
        <w:t>of</w:t>
      </w:r>
      <w:r>
        <w:rPr>
          <w:rFonts w:ascii="Times New Roman" w:cs="Times New Roman" w:eastAsia="Times New Roman" w:hAnsi="Times New Roman"/>
          <w:sz w:val="19"/>
          <w:szCs w:val="19"/>
          <w:color w:val="auto"/>
        </w:rPr>
        <w:t xml:space="preserve"> reporting </w:t>
      </w:r>
      <w:r>
        <w:rPr>
          <w:rFonts w:ascii="Times New Roman" w:cs="Times New Roman" w:eastAsia="Times New Roman" w:hAnsi="Times New Roman"/>
          <w:sz w:val="21"/>
          <w:szCs w:val="21"/>
          <w:color w:val="auto"/>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investigating </w:t>
      </w:r>
      <w:r>
        <w:rPr>
          <w:rFonts w:ascii="Times New Roman" w:cs="Times New Roman" w:eastAsia="Times New Roman" w:hAnsi="Times New Roman"/>
          <w:sz w:val="19"/>
          <w:szCs w:val="19"/>
          <w:color w:val="auto"/>
        </w:rPr>
        <w:t>a suspected</w:t>
      </w:r>
      <w:r>
        <w:rPr>
          <w:rFonts w:ascii="Times New Roman" w:cs="Times New Roman" w:eastAsia="Times New Roman" w:hAnsi="Times New Roman"/>
          <w:sz w:val="21"/>
          <w:szCs w:val="21"/>
          <w:color w:val="auto"/>
        </w:rPr>
        <w:t xml:space="preserve"> violation of </w:t>
      </w:r>
      <w:r>
        <w:rPr>
          <w:rFonts w:ascii="Times New Roman" w:cs="Times New Roman" w:eastAsia="Times New Roman" w:hAnsi="Times New Roman"/>
          <w:sz w:val="19"/>
          <w:szCs w:val="19"/>
          <w:color w:val="auto"/>
        </w:rPr>
        <w:t>law;</w:t>
      </w:r>
      <w:r>
        <w:rPr>
          <w:rFonts w:ascii="Times New Roman" w:cs="Times New Roman" w:eastAsia="Times New Roman" w:hAnsi="Times New Roman"/>
          <w:sz w:val="21"/>
          <w:szCs w:val="21"/>
          <w:color w:val="auto"/>
        </w:rPr>
        <w:t xml:space="preserve"> or (B) </w:t>
      </w:r>
      <w:r>
        <w:rPr>
          <w:rFonts w:ascii="Times New Roman" w:cs="Times New Roman" w:eastAsia="Times New Roman" w:hAnsi="Times New Roman"/>
          <w:sz w:val="19"/>
          <w:szCs w:val="19"/>
          <w:color w:val="auto"/>
        </w:rPr>
        <w:t>is</w:t>
      </w:r>
      <w:r>
        <w:rPr>
          <w:rFonts w:ascii="Times New Roman" w:cs="Times New Roman" w:eastAsia="Times New Roman" w:hAnsi="Times New Roman"/>
          <w:sz w:val="21"/>
          <w:szCs w:val="21"/>
          <w:color w:val="auto"/>
        </w:rPr>
        <w:t xml:space="preserve"> made in </w:t>
      </w:r>
      <w:r>
        <w:rPr>
          <w:rFonts w:ascii="Times New Roman" w:cs="Times New Roman" w:eastAsia="Times New Roman" w:hAnsi="Times New Roman"/>
          <w:sz w:val="19"/>
          <w:szCs w:val="19"/>
          <w:color w:val="auto"/>
        </w:rPr>
        <w:t>a complaint</w:t>
      </w:r>
      <w:r>
        <w:rPr>
          <w:rFonts w:ascii="Times New Roman" w:cs="Times New Roman" w:eastAsia="Times New Roman" w:hAnsi="Times New Roman"/>
          <w:sz w:val="21"/>
          <w:szCs w:val="21"/>
          <w:color w:val="auto"/>
        </w:rPr>
        <w:t xml:space="preserve"> or other </w:t>
      </w:r>
      <w:r>
        <w:rPr>
          <w:rFonts w:ascii="Times New Roman" w:cs="Times New Roman" w:eastAsia="Times New Roman" w:hAnsi="Times New Roman"/>
          <w:sz w:val="19"/>
          <w:szCs w:val="19"/>
          <w:color w:val="auto"/>
        </w:rPr>
        <w:t>document</w:t>
      </w:r>
      <w:r>
        <w:rPr>
          <w:rFonts w:ascii="Times New Roman" w:cs="Times New Roman" w:eastAsia="Times New Roman" w:hAnsi="Times New Roman"/>
          <w:sz w:val="21"/>
          <w:szCs w:val="21"/>
          <w:color w:val="auto"/>
        </w:rPr>
        <w:t xml:space="preserve"> filed in </w:t>
      </w:r>
      <w:r>
        <w:rPr>
          <w:rFonts w:ascii="Times New Roman" w:cs="Times New Roman" w:eastAsia="Times New Roman" w:hAnsi="Times New Roman"/>
          <w:sz w:val="19"/>
          <w:szCs w:val="19"/>
          <w:color w:val="auto"/>
        </w:rPr>
        <w:t>a lawsuit or other proceeding, if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such </w:t>
      </w:r>
      <w:r>
        <w:rPr>
          <w:rFonts w:ascii="Times New Roman" w:cs="Times New Roman" w:eastAsia="Times New Roman" w:hAnsi="Times New Roman"/>
          <w:sz w:val="19"/>
          <w:szCs w:val="19"/>
          <w:color w:val="auto"/>
        </w:rPr>
        <w:t>filing</w:t>
      </w:r>
      <w:r>
        <w:rPr>
          <w:rFonts w:ascii="Times New Roman" w:cs="Times New Roman" w:eastAsia="Times New Roman" w:hAnsi="Times New Roman"/>
          <w:sz w:val="22"/>
          <w:szCs w:val="22"/>
          <w:color w:val="auto"/>
        </w:rPr>
        <w:t xml:space="preserve"> is made </w:t>
      </w:r>
      <w:r>
        <w:rPr>
          <w:rFonts w:ascii="Times New Roman" w:cs="Times New Roman" w:eastAsia="Times New Roman" w:hAnsi="Times New Roman"/>
          <w:sz w:val="19"/>
          <w:szCs w:val="19"/>
          <w:color w:val="auto"/>
        </w:rPr>
        <w:t>under seal; and (2)</w:t>
      </w:r>
      <w:r>
        <w:rPr>
          <w:rFonts w:ascii="Times New Roman" w:cs="Times New Roman" w:eastAsia="Times New Roman" w:hAnsi="Times New Roman"/>
          <w:sz w:val="22"/>
          <w:szCs w:val="22"/>
          <w:color w:val="auto"/>
        </w:rPr>
        <w:t xml:space="preserve"> an </w:t>
      </w:r>
      <w:r>
        <w:rPr>
          <w:rFonts w:ascii="Times New Roman" w:cs="Times New Roman" w:eastAsia="Times New Roman" w:hAnsi="Times New Roman"/>
          <w:sz w:val="19"/>
          <w:szCs w:val="19"/>
          <w:color w:val="auto"/>
        </w:rPr>
        <w:t>individual</w:t>
      </w:r>
      <w:r>
        <w:rPr>
          <w:rFonts w:ascii="Times New Roman" w:cs="Times New Roman" w:eastAsia="Times New Roman" w:hAnsi="Times New Roman"/>
          <w:sz w:val="22"/>
          <w:szCs w:val="22"/>
          <w:color w:val="auto"/>
        </w:rPr>
        <w:t xml:space="preserve"> who </w:t>
      </w:r>
      <w:r>
        <w:rPr>
          <w:rFonts w:ascii="Times New Roman" w:cs="Times New Roman" w:eastAsia="Times New Roman" w:hAnsi="Times New Roman"/>
          <w:sz w:val="19"/>
          <w:szCs w:val="19"/>
          <w:color w:val="auto"/>
        </w:rPr>
        <w:t>files a lawsuit</w:t>
      </w:r>
      <w:r>
        <w:rPr>
          <w:rFonts w:ascii="Times New Roman" w:cs="Times New Roman" w:eastAsia="Times New Roman" w:hAnsi="Times New Roman"/>
          <w:sz w:val="22"/>
          <w:szCs w:val="22"/>
          <w:color w:val="auto"/>
        </w:rPr>
        <w:t xml:space="preserve"> for </w:t>
      </w:r>
      <w:r>
        <w:rPr>
          <w:rFonts w:ascii="Times New Roman" w:cs="Times New Roman" w:eastAsia="Times New Roman" w:hAnsi="Times New Roman"/>
          <w:sz w:val="19"/>
          <w:szCs w:val="19"/>
          <w:color w:val="auto"/>
        </w:rPr>
        <w:t>retaliation</w:t>
      </w:r>
      <w:r>
        <w:rPr>
          <w:rFonts w:ascii="Times New Roman" w:cs="Times New Roman" w:eastAsia="Times New Roman" w:hAnsi="Times New Roman"/>
          <w:sz w:val="22"/>
          <w:szCs w:val="22"/>
          <w:color w:val="auto"/>
        </w:rPr>
        <w:t xml:space="preserve"> by an employer for </w:t>
      </w:r>
      <w:r>
        <w:rPr>
          <w:rFonts w:ascii="Times New Roman" w:cs="Times New Roman" w:eastAsia="Times New Roman" w:hAnsi="Times New Roman"/>
          <w:sz w:val="19"/>
          <w:szCs w:val="19"/>
          <w:color w:val="auto"/>
        </w:rPr>
        <w:t>reporting</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19"/>
          <w:szCs w:val="19"/>
          <w:color w:val="auto"/>
        </w:rPr>
        <w:t>suspected violation</w:t>
      </w:r>
      <w:r>
        <w:rPr>
          <w:rFonts w:ascii="Times New Roman" w:cs="Times New Roman" w:eastAsia="Times New Roman" w:hAnsi="Times New Roman"/>
          <w:sz w:val="22"/>
          <w:szCs w:val="22"/>
          <w:color w:val="auto"/>
        </w:rPr>
        <w:t xml:space="preserve"> of law may </w:t>
      </w:r>
      <w:r>
        <w:rPr>
          <w:rFonts w:ascii="Times New Roman" w:cs="Times New Roman" w:eastAsia="Times New Roman" w:hAnsi="Times New Roman"/>
          <w:sz w:val="19"/>
          <w:szCs w:val="19"/>
          <w:color w:val="auto"/>
        </w:rPr>
        <w:t>disclose</w:t>
      </w:r>
      <w:r>
        <w:rPr>
          <w:rFonts w:ascii="Times New Roman" w:cs="Times New Roman" w:eastAsia="Times New Roman" w:hAnsi="Times New Roman"/>
          <w:sz w:val="22"/>
          <w:szCs w:val="22"/>
          <w:color w:val="auto"/>
        </w:rPr>
        <w:t xml:space="preserve"> a trade </w:t>
      </w:r>
      <w:r>
        <w:rPr>
          <w:rFonts w:ascii="Times New Roman" w:cs="Times New Roman" w:eastAsia="Times New Roman" w:hAnsi="Times New Roman"/>
          <w:sz w:val="19"/>
          <w:szCs w:val="19"/>
          <w:color w:val="auto"/>
        </w:rPr>
        <w:t>secret</w:t>
      </w:r>
      <w:r>
        <w:rPr>
          <w:rFonts w:ascii="Times New Roman" w:cs="Times New Roman" w:eastAsia="Times New Roman" w:hAnsi="Times New Roman"/>
          <w:sz w:val="22"/>
          <w:szCs w:val="22"/>
          <w:color w:val="auto"/>
        </w:rPr>
        <w:t xml:space="preserve"> to the </w:t>
      </w:r>
      <w:r>
        <w:rPr>
          <w:rFonts w:ascii="Times New Roman" w:cs="Times New Roman" w:eastAsia="Times New Roman" w:hAnsi="Times New Roman"/>
          <w:sz w:val="19"/>
          <w:szCs w:val="19"/>
          <w:color w:val="auto"/>
        </w:rPr>
        <w:t>attorney</w:t>
      </w:r>
      <w:r>
        <w:rPr>
          <w:rFonts w:ascii="Times New Roman" w:cs="Times New Roman" w:eastAsia="Times New Roman" w:hAnsi="Times New Roman"/>
          <w:sz w:val="22"/>
          <w:szCs w:val="22"/>
          <w:color w:val="auto"/>
        </w:rPr>
        <w:t xml:space="preserve"> of the </w:t>
      </w:r>
      <w:r>
        <w:rPr>
          <w:rFonts w:ascii="Times New Roman" w:cs="Times New Roman" w:eastAsia="Times New Roman" w:hAnsi="Times New Roman"/>
          <w:sz w:val="19"/>
          <w:szCs w:val="19"/>
          <w:color w:val="auto"/>
        </w:rPr>
        <w:t>individual and use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19"/>
          <w:szCs w:val="19"/>
          <w:color w:val="auto"/>
        </w:rPr>
        <w:t>trade secret information</w:t>
      </w:r>
      <w:r>
        <w:rPr>
          <w:rFonts w:ascii="Times New Roman" w:cs="Times New Roman" w:eastAsia="Times New Roman" w:hAnsi="Times New Roman"/>
          <w:sz w:val="22"/>
          <w:szCs w:val="22"/>
          <w:color w:val="auto"/>
        </w:rPr>
        <w:t xml:space="preserve"> in the court </w:t>
      </w:r>
      <w:r>
        <w:rPr>
          <w:rFonts w:ascii="Times New Roman" w:cs="Times New Roman" w:eastAsia="Times New Roman" w:hAnsi="Times New Roman"/>
          <w:sz w:val="19"/>
          <w:szCs w:val="19"/>
          <w:color w:val="auto"/>
        </w:rPr>
        <w:t>proceeding,</w:t>
      </w:r>
      <w:r>
        <w:rPr>
          <w:rFonts w:ascii="Times New Roman" w:cs="Times New Roman" w:eastAsia="Times New Roman" w:hAnsi="Times New Roman"/>
          <w:sz w:val="22"/>
          <w:szCs w:val="22"/>
          <w:color w:val="auto"/>
        </w:rPr>
        <w:t xml:space="preserve"> if the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individual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files any </w:t>
      </w:r>
      <w:r>
        <w:rPr>
          <w:rFonts w:ascii="Times New Roman" w:cs="Times New Roman" w:eastAsia="Times New Roman" w:hAnsi="Times New Roman"/>
          <w:sz w:val="21"/>
          <w:szCs w:val="21"/>
          <w:color w:val="auto"/>
        </w:rPr>
        <w:t>document</w:t>
      </w:r>
      <w:r>
        <w:rPr>
          <w:rFonts w:ascii="Times New Roman" w:cs="Times New Roman" w:eastAsia="Times New Roman" w:hAnsi="Times New Roman"/>
          <w:sz w:val="20"/>
          <w:szCs w:val="20"/>
          <w:color w:val="auto"/>
        </w:rPr>
        <w:t xml:space="preserve"> containing </w:t>
      </w:r>
      <w:r>
        <w:rPr>
          <w:rFonts w:ascii="Times New Roman" w:cs="Times New Roman" w:eastAsia="Times New Roman" w:hAnsi="Times New Roman"/>
          <w:sz w:val="21"/>
          <w:szCs w:val="21"/>
          <w:color w:val="auto"/>
        </w:rPr>
        <w:t>the trade secret</w:t>
      </w:r>
      <w:r>
        <w:rPr>
          <w:rFonts w:ascii="Times New Roman" w:cs="Times New Roman" w:eastAsia="Times New Roman" w:hAnsi="Times New Roman"/>
          <w:sz w:val="20"/>
          <w:szCs w:val="20"/>
          <w:color w:val="auto"/>
        </w:rPr>
        <w:t xml:space="preserve"> under seal, and (B) does </w:t>
      </w:r>
      <w:r>
        <w:rPr>
          <w:rFonts w:ascii="Times New Roman" w:cs="Times New Roman" w:eastAsia="Times New Roman" w:hAnsi="Times New Roman"/>
          <w:sz w:val="21"/>
          <w:szCs w:val="21"/>
          <w:color w:val="auto"/>
        </w:rPr>
        <w:t>not</w:t>
      </w:r>
      <w:r>
        <w:rPr>
          <w:rFonts w:ascii="Times New Roman" w:cs="Times New Roman" w:eastAsia="Times New Roman" w:hAnsi="Times New Roman"/>
          <w:sz w:val="20"/>
          <w:szCs w:val="20"/>
          <w:color w:val="auto"/>
        </w:rPr>
        <w:t xml:space="preserve"> disclose a trade secret, except pursuant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court </w:t>
      </w:r>
      <w:r>
        <w:rPr>
          <w:rFonts w:ascii="Times New Roman" w:cs="Times New Roman" w:eastAsia="Times New Roman" w:hAnsi="Times New Roman"/>
          <w:sz w:val="21"/>
          <w:szCs w:val="21"/>
          <w:color w:val="auto"/>
        </w:rPr>
        <w:t>order.</w:t>
      </w:r>
      <w:r>
        <w:rPr>
          <w:rFonts w:ascii="Times New Roman" w:cs="Times New Roman" w:eastAsia="Times New Roman" w:hAnsi="Times New Roman"/>
          <w:sz w:val="19"/>
          <w:szCs w:val="19"/>
          <w:color w:val="auto"/>
        </w:rPr>
        <w:t>”</w:t>
      </w:r>
    </w:p>
    <w:p>
      <w:pPr>
        <w:spacing w:after="0" w:line="192" w:lineRule="exact"/>
        <w:rPr>
          <w:sz w:val="20"/>
          <w:szCs w:val="20"/>
          <w:color w:val="auto"/>
        </w:rPr>
      </w:pPr>
    </w:p>
    <w:p>
      <w:pPr>
        <w:ind w:left="300" w:hanging="292"/>
        <w:spacing w:after="0"/>
        <w:tabs>
          <w:tab w:leader="none" w:pos="30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 and Non-Solicitation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As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condition to,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in consideration </w:t>
      </w:r>
      <w:r>
        <w:rPr>
          <w:rFonts w:ascii="Times New Roman" w:cs="Times New Roman" w:eastAsia="Times New Roman" w:hAnsi="Times New Roman"/>
          <w:sz w:val="21"/>
          <w:szCs w:val="21"/>
          <w:color w:val="auto"/>
        </w:rPr>
        <w:t>of, the grant</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1"/>
          <w:szCs w:val="21"/>
          <w:color w:val="auto"/>
        </w:rPr>
        <w:t>Award,</w:t>
      </w:r>
      <w:r>
        <w:rPr>
          <w:rFonts w:ascii="Times New Roman" w:cs="Times New Roman" w:eastAsia="Times New Roman" w:hAnsi="Times New Roman"/>
          <w:sz w:val="20"/>
          <w:szCs w:val="20"/>
          <w:color w:val="auto"/>
        </w:rPr>
        <w:t xml:space="preserve"> you agree to </w:t>
      </w:r>
      <w:r>
        <w:rPr>
          <w:rFonts w:ascii="Times New Roman" w:cs="Times New Roman" w:eastAsia="Times New Roman" w:hAnsi="Times New Roman"/>
          <w:sz w:val="21"/>
          <w:szCs w:val="21"/>
          <w:color w:val="auto"/>
        </w:rPr>
        <w:t>be bound by</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covenants,</w:t>
      </w:r>
      <w:r>
        <w:rPr>
          <w:rFonts w:ascii="Times New Roman" w:cs="Times New Roman" w:eastAsia="Times New Roman" w:hAnsi="Times New Roman"/>
          <w:sz w:val="20"/>
          <w:szCs w:val="20"/>
          <w:color w:val="auto"/>
        </w:rPr>
        <w:t xml:space="preserve"> restrictions and other</w:t>
      </w:r>
    </w:p>
    <w:p>
      <w:pPr>
        <w:spacing w:after="0" w:line="1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obligations </w:t>
      </w:r>
      <w:r>
        <w:rPr>
          <w:rFonts w:ascii="Times New Roman" w:cs="Times New Roman" w:eastAsia="Times New Roman" w:hAnsi="Times New Roman"/>
          <w:sz w:val="19"/>
          <w:szCs w:val="19"/>
          <w:color w:val="auto"/>
        </w:rPr>
        <w:t>set</w:t>
      </w:r>
      <w:r>
        <w:rPr>
          <w:rFonts w:ascii="Times New Roman" w:cs="Times New Roman" w:eastAsia="Times New Roman" w:hAnsi="Times New Roman"/>
          <w:sz w:val="22"/>
          <w:szCs w:val="22"/>
          <w:color w:val="auto"/>
        </w:rPr>
        <w:t xml:space="preserve"> forth </w:t>
      </w:r>
      <w:r>
        <w:rPr>
          <w:rFonts w:ascii="Times New Roman" w:cs="Times New Roman" w:eastAsia="Times New Roman" w:hAnsi="Times New Roman"/>
          <w:sz w:val="19"/>
          <w:szCs w:val="19"/>
          <w:color w:val="auto"/>
        </w:rPr>
        <w:t>in this Section</w:t>
      </w:r>
      <w:r>
        <w:rPr>
          <w:rFonts w:ascii="Times New Roman" w:cs="Times New Roman" w:eastAsia="Times New Roman" w:hAnsi="Times New Roman"/>
          <w:sz w:val="22"/>
          <w:szCs w:val="22"/>
          <w:color w:val="auto"/>
        </w:rPr>
        <w:t xml:space="preserve"> 10. </w:t>
      </w:r>
      <w:r>
        <w:rPr>
          <w:rFonts w:ascii="Times New Roman" w:cs="Times New Roman" w:eastAsia="Times New Roman" w:hAnsi="Times New Roman"/>
          <w:sz w:val="19"/>
          <w:szCs w:val="19"/>
          <w:color w:val="auto"/>
        </w:rPr>
        <w:t>These restrictive covenants</w:t>
      </w:r>
      <w:r>
        <w:rPr>
          <w:rFonts w:ascii="Times New Roman" w:cs="Times New Roman" w:eastAsia="Times New Roman" w:hAnsi="Times New Roman"/>
          <w:sz w:val="22"/>
          <w:szCs w:val="22"/>
          <w:color w:val="auto"/>
        </w:rPr>
        <w:t xml:space="preserve"> are in </w:t>
      </w:r>
      <w:r>
        <w:rPr>
          <w:rFonts w:ascii="Times New Roman" w:cs="Times New Roman" w:eastAsia="Times New Roman" w:hAnsi="Times New Roman"/>
          <w:sz w:val="19"/>
          <w:szCs w:val="19"/>
          <w:color w:val="auto"/>
        </w:rPr>
        <w:t>addition to, and not</w:t>
      </w:r>
      <w:r>
        <w:rPr>
          <w:rFonts w:ascii="Times New Roman" w:cs="Times New Roman" w:eastAsia="Times New Roman" w:hAnsi="Times New Roman"/>
          <w:sz w:val="22"/>
          <w:szCs w:val="22"/>
          <w:color w:val="auto"/>
        </w:rPr>
        <w:t xml:space="preserve"> in lieu </w:t>
      </w:r>
      <w:r>
        <w:rPr>
          <w:rFonts w:ascii="Times New Roman" w:cs="Times New Roman" w:eastAsia="Times New Roman" w:hAnsi="Times New Roman"/>
          <w:sz w:val="19"/>
          <w:szCs w:val="19"/>
          <w:color w:val="auto"/>
        </w:rPr>
        <w:t>of, any</w:t>
      </w:r>
      <w:r>
        <w:rPr>
          <w:rFonts w:ascii="Times New Roman" w:cs="Times New Roman" w:eastAsia="Times New Roman" w:hAnsi="Times New Roman"/>
          <w:sz w:val="22"/>
          <w:szCs w:val="22"/>
          <w:color w:val="auto"/>
        </w:rPr>
        <w:t xml:space="preserve"> similar </w:t>
      </w:r>
      <w:r>
        <w:rPr>
          <w:rFonts w:ascii="Times New Roman" w:cs="Times New Roman" w:eastAsia="Times New Roman" w:hAnsi="Times New Roman"/>
          <w:sz w:val="19"/>
          <w:szCs w:val="19"/>
          <w:color w:val="auto"/>
        </w:rPr>
        <w:t>covenant</w:t>
      </w:r>
      <w:r>
        <w:rPr>
          <w:rFonts w:ascii="Times New Roman" w:cs="Times New Roman" w:eastAsia="Times New Roman" w:hAnsi="Times New Roman"/>
          <w:sz w:val="22"/>
          <w:szCs w:val="22"/>
          <w:color w:val="auto"/>
        </w:rPr>
        <w:t xml:space="preserve"> or restriction that you </w:t>
      </w:r>
      <w:r>
        <w:rPr>
          <w:rFonts w:ascii="Times New Roman" w:cs="Times New Roman" w:eastAsia="Times New Roman" w:hAnsi="Times New Roman"/>
          <w:sz w:val="19"/>
          <w:szCs w:val="19"/>
          <w:color w:val="auto"/>
        </w:rPr>
        <w:t>may otherwise be bound.</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During the period of your employment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for two </w:t>
      </w:r>
      <w:r>
        <w:rPr>
          <w:rFonts w:ascii="Times New Roman" w:cs="Times New Roman" w:eastAsia="Times New Roman" w:hAnsi="Times New Roman"/>
          <w:sz w:val="21"/>
          <w:szCs w:val="21"/>
          <w:color w:val="auto"/>
        </w:rPr>
        <w:t>years</w:t>
      </w:r>
      <w:r>
        <w:rPr>
          <w:rFonts w:ascii="Times New Roman" w:cs="Times New Roman" w:eastAsia="Times New Roman" w:hAnsi="Times New Roman"/>
          <w:sz w:val="20"/>
          <w:szCs w:val="20"/>
          <w:color w:val="auto"/>
        </w:rPr>
        <w:t xml:space="preserve"> thereafter, you shall </w:t>
      </w:r>
      <w:r>
        <w:rPr>
          <w:rFonts w:ascii="Times New Roman" w:cs="Times New Roman" w:eastAsia="Times New Roman" w:hAnsi="Times New Roman"/>
          <w:sz w:val="21"/>
          <w:szCs w:val="21"/>
          <w:color w:val="auto"/>
        </w:rPr>
        <w:t>not, directly or indirectly, (a)</w:t>
      </w:r>
      <w:r>
        <w:rPr>
          <w:rFonts w:ascii="Times New Roman" w:cs="Times New Roman" w:eastAsia="Times New Roman" w:hAnsi="Times New Roman"/>
          <w:sz w:val="20"/>
          <w:szCs w:val="20"/>
          <w:color w:val="auto"/>
        </w:rPr>
        <w:t xml:space="preserve"> own, manage, operate, </w:t>
      </w:r>
      <w:r>
        <w:rPr>
          <w:rFonts w:ascii="Times New Roman" w:cs="Times New Roman" w:eastAsia="Times New Roman" w:hAnsi="Times New Roman"/>
          <w:sz w:val="21"/>
          <w:szCs w:val="21"/>
          <w:color w:val="auto"/>
        </w:rPr>
        <w:t>join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or control, </w:t>
      </w:r>
      <w:r>
        <w:rPr>
          <w:rFonts w:ascii="Times New Roman" w:cs="Times New Roman" w:eastAsia="Times New Roman" w:hAnsi="Times New Roman"/>
          <w:sz w:val="19"/>
          <w:szCs w:val="19"/>
          <w:color w:val="auto"/>
        </w:rPr>
        <w:t>be employed</w:t>
      </w:r>
      <w:r>
        <w:rPr>
          <w:rFonts w:ascii="Times New Roman" w:cs="Times New Roman" w:eastAsia="Times New Roman" w:hAnsi="Times New Roman"/>
          <w:sz w:val="21"/>
          <w:szCs w:val="21"/>
          <w:color w:val="auto"/>
        </w:rPr>
        <w:t xml:space="preserve"> by or participate in </w:t>
      </w:r>
      <w:r>
        <w:rPr>
          <w:rFonts w:ascii="Times New Roman" w:cs="Times New Roman" w:eastAsia="Times New Roman" w:hAnsi="Times New Roman"/>
          <w:sz w:val="19"/>
          <w:szCs w:val="19"/>
          <w:color w:val="auto"/>
        </w:rPr>
        <w:t>the ownership, management, operation</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9"/>
          <w:szCs w:val="19"/>
          <w:color w:val="auto"/>
        </w:rPr>
        <w:t>control of,</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9"/>
          <w:szCs w:val="19"/>
          <w:color w:val="auto"/>
        </w:rPr>
        <w:t>be</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19"/>
          <w:szCs w:val="19"/>
          <w:color w:val="auto"/>
        </w:rPr>
        <w:t>consultant</w:t>
      </w:r>
      <w:r>
        <w:rPr>
          <w:rFonts w:ascii="Times New Roman" w:cs="Times New Roman" w:eastAsia="Times New Roman" w:hAnsi="Times New Roman"/>
          <w:sz w:val="21"/>
          <w:szCs w:val="21"/>
          <w:color w:val="auto"/>
        </w:rPr>
        <w:t xml:space="preserve"> to or </w:t>
      </w:r>
      <w:r>
        <w:rPr>
          <w:rFonts w:ascii="Times New Roman" w:cs="Times New Roman" w:eastAsia="Times New Roman" w:hAnsi="Times New Roman"/>
          <w:sz w:val="19"/>
          <w:szCs w:val="19"/>
          <w:color w:val="auto"/>
        </w:rPr>
        <w:t>connected</w:t>
      </w:r>
      <w:r>
        <w:rPr>
          <w:rFonts w:ascii="Times New Roman" w:cs="Times New Roman" w:eastAsia="Times New Roman" w:hAnsi="Times New Roman"/>
          <w:sz w:val="21"/>
          <w:szCs w:val="21"/>
          <w:color w:val="auto"/>
        </w:rPr>
        <w:t xml:space="preserve"> in</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any </w:t>
      </w:r>
      <w:r>
        <w:rPr>
          <w:rFonts w:ascii="Times New Roman" w:cs="Times New Roman" w:eastAsia="Times New Roman" w:hAnsi="Times New Roman"/>
          <w:sz w:val="21"/>
          <w:szCs w:val="21"/>
          <w:color w:val="auto"/>
        </w:rPr>
        <w:t>other manner</w:t>
      </w:r>
      <w:r>
        <w:rPr>
          <w:rFonts w:ascii="Times New Roman" w:cs="Times New Roman" w:eastAsia="Times New Roman" w:hAnsi="Times New Roman"/>
          <w:sz w:val="20"/>
          <w:szCs w:val="20"/>
          <w:color w:val="auto"/>
        </w:rPr>
        <w:t xml:space="preserve"> with,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business, firm or corporation which </w:t>
      </w:r>
      <w:r>
        <w:rPr>
          <w:rFonts w:ascii="Times New Roman" w:cs="Times New Roman" w:eastAsia="Times New Roman" w:hAnsi="Times New Roman"/>
          <w:sz w:val="21"/>
          <w:szCs w:val="21"/>
          <w:color w:val="auto"/>
        </w:rPr>
        <w:t>is similar to</w:t>
      </w:r>
      <w:r>
        <w:rPr>
          <w:rFonts w:ascii="Times New Roman" w:cs="Times New Roman" w:eastAsia="Times New Roman" w:hAnsi="Times New Roman"/>
          <w:sz w:val="20"/>
          <w:szCs w:val="20"/>
          <w:color w:val="auto"/>
        </w:rPr>
        <w:t xml:space="preserve"> or competes with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principal business of FactSet </w:t>
      </w:r>
      <w:r>
        <w:rPr>
          <w:rFonts w:ascii="Times New Roman" w:cs="Times New Roman" w:eastAsia="Times New Roman" w:hAnsi="Times New Roman"/>
          <w:sz w:val="21"/>
          <w:szCs w:val="21"/>
          <w:color w:val="auto"/>
        </w:rPr>
        <w:t>(a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 xml:space="preserve">Competitive Activity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for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person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business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entity,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induce or attempt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induce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any employee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FactSet to</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terminate employment with FactSet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solicit, </w:t>
      </w:r>
      <w:r>
        <w:rPr>
          <w:rFonts w:ascii="Times New Roman" w:cs="Times New Roman" w:eastAsia="Times New Roman" w:hAnsi="Times New Roman"/>
          <w:sz w:val="21"/>
          <w:szCs w:val="21"/>
          <w:color w:val="auto"/>
        </w:rPr>
        <w:t>entice,</w:t>
      </w:r>
      <w:r>
        <w:rPr>
          <w:rFonts w:ascii="Times New Roman" w:cs="Times New Roman" w:eastAsia="Times New Roman" w:hAnsi="Times New Roman"/>
          <w:sz w:val="20"/>
          <w:szCs w:val="20"/>
          <w:color w:val="auto"/>
        </w:rPr>
        <w:t xml:space="preserve"> take </w:t>
      </w:r>
      <w:r>
        <w:rPr>
          <w:rFonts w:ascii="Times New Roman" w:cs="Times New Roman" w:eastAsia="Times New Roman" w:hAnsi="Times New Roman"/>
          <w:sz w:val="21"/>
          <w:szCs w:val="21"/>
          <w:color w:val="auto"/>
        </w:rPr>
        <w:t>away or</w:t>
      </w:r>
      <w:r>
        <w:rPr>
          <w:rFonts w:ascii="Times New Roman" w:cs="Times New Roman" w:eastAsia="Times New Roman" w:hAnsi="Times New Roman"/>
          <w:sz w:val="20"/>
          <w:szCs w:val="20"/>
          <w:color w:val="auto"/>
        </w:rPr>
        <w:t xml:space="preserve"> employ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person </w:t>
      </w:r>
      <w:r>
        <w:rPr>
          <w:rFonts w:ascii="Times New Roman" w:cs="Times New Roman" w:eastAsia="Times New Roman" w:hAnsi="Times New Roman"/>
          <w:sz w:val="21"/>
          <w:szCs w:val="21"/>
          <w:color w:val="auto"/>
        </w:rPr>
        <w:t>employed</w:t>
      </w:r>
      <w:r>
        <w:rPr>
          <w:rFonts w:ascii="Times New Roman" w:cs="Times New Roman" w:eastAsia="Times New Roman" w:hAnsi="Times New Roman"/>
          <w:sz w:val="20"/>
          <w:szCs w:val="20"/>
          <w:color w:val="auto"/>
        </w:rPr>
        <w:t xml:space="preserve"> by FactSet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Solicitation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For</w:t>
      </w:r>
      <w:r>
        <w:rPr>
          <w:rFonts w:ascii="Times New Roman" w:cs="Times New Roman" w:eastAsia="Times New Roman" w:hAnsi="Times New Roman"/>
          <w:sz w:val="20"/>
          <w:szCs w:val="20"/>
          <w:color w:val="auto"/>
        </w:rPr>
        <w:t xml:space="preserve"> these purposes, your ownership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securities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1"/>
          <w:szCs w:val="21"/>
          <w:color w:val="auto"/>
        </w:rPr>
        <w:t>public</w:t>
      </w:r>
      <w:r>
        <w:rPr>
          <w:rFonts w:ascii="Times New Roman" w:cs="Times New Roman" w:eastAsia="Times New Roman" w:hAnsi="Times New Roman"/>
          <w:sz w:val="20"/>
          <w:szCs w:val="20"/>
          <w:color w:val="auto"/>
        </w:rPr>
        <w:t xml:space="preserve"> company </w:t>
      </w:r>
      <w:r>
        <w:rPr>
          <w:rFonts w:ascii="Times New Roman" w:cs="Times New Roman" w:eastAsia="Times New Roman" w:hAnsi="Times New Roman"/>
          <w:sz w:val="21"/>
          <w:szCs w:val="21"/>
          <w:color w:val="auto"/>
        </w:rPr>
        <w:t>not</w:t>
      </w:r>
      <w:r>
        <w:rPr>
          <w:rFonts w:ascii="Times New Roman" w:cs="Times New Roman" w:eastAsia="Times New Roman" w:hAnsi="Times New Roman"/>
          <w:sz w:val="20"/>
          <w:szCs w:val="20"/>
          <w:color w:val="auto"/>
        </w:rPr>
        <w:t xml:space="preserve"> in excess </w:t>
      </w:r>
      <w:r>
        <w:rPr>
          <w:rFonts w:ascii="Times New Roman" w:cs="Times New Roman" w:eastAsia="Times New Roman" w:hAnsi="Times New Roman"/>
          <w:sz w:val="21"/>
          <w:szCs w:val="21"/>
          <w:color w:val="auto"/>
        </w:rPr>
        <w:t>of one</w:t>
      </w:r>
      <w:r>
        <w:rPr>
          <w:rFonts w:ascii="Times New Roman" w:cs="Times New Roman" w:eastAsia="Times New Roman" w:hAnsi="Times New Roman"/>
          <w:sz w:val="20"/>
          <w:szCs w:val="20"/>
          <w:color w:val="auto"/>
        </w:rPr>
        <w:t xml:space="preserve"> percent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1"/>
          <w:szCs w:val="21"/>
          <w:color w:val="auto"/>
        </w:rPr>
        <w:t>class</w:t>
      </w:r>
      <w:r>
        <w:rPr>
          <w:rFonts w:ascii="Times New Roman" w:cs="Times New Roman" w:eastAsia="Times New Roman" w:hAnsi="Times New Roman"/>
          <w:sz w:val="20"/>
          <w:szCs w:val="20"/>
          <w:color w:val="auto"/>
        </w:rPr>
        <w:t xml:space="preserve"> of such securities </w:t>
      </w:r>
      <w:r>
        <w:rPr>
          <w:rFonts w:ascii="Times New Roman" w:cs="Times New Roman" w:eastAsia="Times New Roman" w:hAnsi="Times New Roman"/>
          <w:sz w:val="21"/>
          <w:szCs w:val="21"/>
          <w:color w:val="auto"/>
        </w:rPr>
        <w:t>shall not</w:t>
      </w:r>
      <w:r>
        <w:rPr>
          <w:rFonts w:ascii="Times New Roman" w:cs="Times New Roman" w:eastAsia="Times New Roman" w:hAnsi="Times New Roman"/>
          <w:sz w:val="20"/>
          <w:szCs w:val="20"/>
          <w:color w:val="auto"/>
        </w:rPr>
        <w:t xml:space="preserve"> be considered to </w:t>
      </w:r>
      <w:r>
        <w:rPr>
          <w:rFonts w:ascii="Times New Roman" w:cs="Times New Roman" w:eastAsia="Times New Roman" w:hAnsi="Times New Roman"/>
          <w:sz w:val="21"/>
          <w:szCs w:val="21"/>
          <w:color w:val="auto"/>
        </w:rPr>
        <w:t>be</w:t>
      </w:r>
      <w:r>
        <w:rPr>
          <w:rFonts w:ascii="Times New Roman" w:cs="Times New Roman" w:eastAsia="Times New Roman" w:hAnsi="Times New Roman"/>
          <w:sz w:val="20"/>
          <w:szCs w:val="20"/>
          <w:color w:val="auto"/>
        </w:rPr>
        <w:t xml:space="preserve"> competition with FactSet.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If you engage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a Competitive Activity </w:t>
      </w:r>
      <w:r>
        <w:rPr>
          <w:rFonts w:ascii="Times New Roman" w:cs="Times New Roman" w:eastAsia="Times New Roman" w:hAnsi="Times New Roman"/>
          <w:sz w:val="21"/>
          <w:szCs w:val="21"/>
          <w:color w:val="auto"/>
        </w:rPr>
        <w:t>or Solicitation, as</w:t>
      </w:r>
      <w:r>
        <w:rPr>
          <w:rFonts w:ascii="Times New Roman" w:cs="Times New Roman" w:eastAsia="Times New Roman" w:hAnsi="Times New Roman"/>
          <w:sz w:val="20"/>
          <w:szCs w:val="20"/>
          <w:color w:val="auto"/>
        </w:rPr>
        <w:t xml:space="preserve"> determined by </w:t>
      </w:r>
      <w:r>
        <w:rPr>
          <w:rFonts w:ascii="Times New Roman" w:cs="Times New Roman" w:eastAsia="Times New Roman" w:hAnsi="Times New Roman"/>
          <w:sz w:val="21"/>
          <w:szCs w:val="21"/>
          <w:color w:val="auto"/>
        </w:rPr>
        <w:t>the Committee in</w:t>
      </w:r>
      <w:r>
        <w:rPr>
          <w:rFonts w:ascii="Times New Roman" w:cs="Times New Roman" w:eastAsia="Times New Roman" w:hAnsi="Times New Roman"/>
          <w:sz w:val="20"/>
          <w:szCs w:val="20"/>
          <w:color w:val="auto"/>
        </w:rPr>
        <w:t xml:space="preserve"> good faith, </w:t>
      </w:r>
      <w:r>
        <w:rPr>
          <w:rFonts w:ascii="Times New Roman" w:cs="Times New Roman" w:eastAsia="Times New Roman" w:hAnsi="Times New Roman"/>
          <w:sz w:val="21"/>
          <w:szCs w:val="21"/>
          <w:color w:val="auto"/>
        </w:rPr>
        <w:t>(i) all</w:t>
      </w:r>
      <w:r>
        <w:rPr>
          <w:rFonts w:ascii="Times New Roman" w:cs="Times New Roman" w:eastAsia="Times New Roman" w:hAnsi="Times New Roman"/>
          <w:sz w:val="20"/>
          <w:szCs w:val="20"/>
          <w:color w:val="auto"/>
        </w:rPr>
        <w:t xml:space="preserve"> PSUs (whether vested or unvested, earned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unearned) then outstanding and held by </w:t>
      </w:r>
      <w:r>
        <w:rPr>
          <w:rFonts w:ascii="Times New Roman" w:cs="Times New Roman" w:eastAsia="Times New Roman" w:hAnsi="Times New Roman"/>
          <w:sz w:val="21"/>
          <w:szCs w:val="21"/>
          <w:color w:val="auto"/>
        </w:rPr>
        <w:t>you</w:t>
      </w:r>
    </w:p>
    <w:p>
      <w:pPr>
        <w:sectPr>
          <w:pgSz w:w="11900" w:h="16838" w:orient="portrait"/>
          <w:cols w:equalWidth="0" w:num="1">
            <w:col w:w="11240"/>
          </w:cols>
          <w:pgMar w:left="320" w:top="11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 xml:space="preserve">shall </w:t>
      </w:r>
      <w:r>
        <w:rPr>
          <w:rFonts w:ascii="Times New Roman" w:cs="Times New Roman" w:eastAsia="Times New Roman" w:hAnsi="Times New Roman"/>
          <w:sz w:val="19"/>
          <w:szCs w:val="19"/>
          <w:color w:val="auto"/>
        </w:rPr>
        <w:t>be cancelled and forfeited</w:t>
      </w:r>
      <w:r>
        <w:rPr>
          <w:rFonts w:ascii="Times New Roman" w:cs="Times New Roman" w:eastAsia="Times New Roman" w:hAnsi="Times New Roman"/>
          <w:sz w:val="22"/>
          <w:szCs w:val="22"/>
          <w:color w:val="auto"/>
        </w:rPr>
        <w:t xml:space="preserve"> as </w:t>
      </w:r>
      <w:r>
        <w:rPr>
          <w:rFonts w:ascii="Times New Roman" w:cs="Times New Roman" w:eastAsia="Times New Roman" w:hAnsi="Times New Roman"/>
          <w:sz w:val="19"/>
          <w:szCs w:val="19"/>
          <w:color w:val="auto"/>
        </w:rPr>
        <w:t>of the date that</w:t>
      </w:r>
      <w:r>
        <w:rPr>
          <w:rFonts w:ascii="Times New Roman" w:cs="Times New Roman" w:eastAsia="Times New Roman" w:hAnsi="Times New Roman"/>
          <w:sz w:val="22"/>
          <w:szCs w:val="22"/>
          <w:color w:val="auto"/>
        </w:rPr>
        <w:t xml:space="preserve"> you </w:t>
      </w:r>
      <w:r>
        <w:rPr>
          <w:rFonts w:ascii="Times New Roman" w:cs="Times New Roman" w:eastAsia="Times New Roman" w:hAnsi="Times New Roman"/>
          <w:sz w:val="19"/>
          <w:szCs w:val="19"/>
          <w:color w:val="auto"/>
        </w:rPr>
        <w:t>first</w:t>
      </w:r>
      <w:r>
        <w:rPr>
          <w:rFonts w:ascii="Times New Roman" w:cs="Times New Roman" w:eastAsia="Times New Roman" w:hAnsi="Times New Roman"/>
          <w:sz w:val="22"/>
          <w:szCs w:val="22"/>
          <w:color w:val="auto"/>
        </w:rPr>
        <w:t xml:space="preserve"> engaged in </w:t>
      </w:r>
      <w:r>
        <w:rPr>
          <w:rFonts w:ascii="Times New Roman" w:cs="Times New Roman" w:eastAsia="Times New Roman" w:hAnsi="Times New Roman"/>
          <w:sz w:val="19"/>
          <w:szCs w:val="19"/>
          <w:color w:val="auto"/>
        </w:rPr>
        <w:t>such Competitive Activity</w:t>
      </w:r>
      <w:r>
        <w:rPr>
          <w:rFonts w:ascii="Times New Roman" w:cs="Times New Roman" w:eastAsia="Times New Roman" w:hAnsi="Times New Roman"/>
          <w:sz w:val="22"/>
          <w:szCs w:val="22"/>
          <w:color w:val="auto"/>
        </w:rPr>
        <w:t xml:space="preserve"> or Solicitation, (ii)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2"/>
          <w:szCs w:val="22"/>
          <w:color w:val="auto"/>
        </w:rPr>
        <w:t xml:space="preserve"> Company shall have the right to acquire </w:t>
      </w:r>
      <w:r>
        <w:rPr>
          <w:rFonts w:ascii="Times New Roman" w:cs="Times New Roman" w:eastAsia="Times New Roman" w:hAnsi="Times New Roman"/>
          <w:sz w:val="19"/>
          <w:szCs w:val="19"/>
          <w:color w:val="auto"/>
        </w:rPr>
        <w:t>any</w:t>
      </w:r>
      <w:r>
        <w:rPr>
          <w:rFonts w:ascii="Times New Roman" w:cs="Times New Roman" w:eastAsia="Times New Roman" w:hAnsi="Times New Roman"/>
          <w:sz w:val="22"/>
          <w:szCs w:val="22"/>
          <w:color w:val="auto"/>
        </w:rPr>
        <w:t xml:space="preserve"> Shares </w:t>
      </w:r>
      <w:r>
        <w:rPr>
          <w:rFonts w:ascii="Times New Roman" w:cs="Times New Roman" w:eastAsia="Times New Roman" w:hAnsi="Times New Roman"/>
          <w:sz w:val="19"/>
          <w:szCs w:val="19"/>
          <w:color w:val="auto"/>
        </w:rPr>
        <w:t>then owned by</w:t>
      </w:r>
      <w:r>
        <w:rPr>
          <w:rFonts w:ascii="Times New Roman" w:cs="Times New Roman" w:eastAsia="Times New Roman" w:hAnsi="Times New Roman"/>
          <w:sz w:val="22"/>
          <w:szCs w:val="22"/>
          <w:color w:val="auto"/>
        </w:rPr>
        <w:t xml:space="preserve"> you </w:t>
      </w:r>
      <w:r>
        <w:rPr>
          <w:rFonts w:ascii="Times New Roman" w:cs="Times New Roman" w:eastAsia="Times New Roman" w:hAnsi="Times New Roman"/>
          <w:sz w:val="19"/>
          <w:szCs w:val="19"/>
          <w:color w:val="auto"/>
        </w:rPr>
        <w:t>as</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19"/>
          <w:szCs w:val="19"/>
          <w:color w:val="auto"/>
        </w:rPr>
        <w:t>result of</w:t>
      </w:r>
      <w:r>
        <w:rPr>
          <w:rFonts w:ascii="Times New Roman" w:cs="Times New Roman" w:eastAsia="Times New Roman" w:hAnsi="Times New Roman"/>
          <w:sz w:val="22"/>
          <w:szCs w:val="22"/>
          <w:color w:val="auto"/>
        </w:rPr>
        <w:t xml:space="preserve"> the settlement </w:t>
      </w:r>
      <w:r>
        <w:rPr>
          <w:rFonts w:ascii="Times New Roman" w:cs="Times New Roman" w:eastAsia="Times New Roman" w:hAnsi="Times New Roman"/>
          <w:sz w:val="19"/>
          <w:szCs w:val="19"/>
          <w:color w:val="auto"/>
        </w:rPr>
        <w:t>of the PSUs for</w:t>
      </w:r>
      <w:r>
        <w:rPr>
          <w:rFonts w:ascii="Times New Roman" w:cs="Times New Roman" w:eastAsia="Times New Roman" w:hAnsi="Times New Roman"/>
          <w:sz w:val="22"/>
          <w:szCs w:val="22"/>
          <w:color w:val="auto"/>
        </w:rPr>
        <w:t xml:space="preserve"> no </w:t>
      </w:r>
      <w:r>
        <w:rPr>
          <w:rFonts w:ascii="Times New Roman" w:cs="Times New Roman" w:eastAsia="Times New Roman" w:hAnsi="Times New Roman"/>
          <w:sz w:val="19"/>
          <w:szCs w:val="19"/>
          <w:color w:val="auto"/>
        </w:rPr>
        <w:t>consideration,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19"/>
          <w:szCs w:val="19"/>
          <w:color w:val="auto"/>
        </w:rPr>
        <w:t>(iii) the</w:t>
      </w: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Company </w:t>
      </w:r>
      <w:r>
        <w:rPr>
          <w:rFonts w:ascii="Times New Roman" w:cs="Times New Roman" w:eastAsia="Times New Roman" w:hAnsi="Times New Roman"/>
          <w:sz w:val="21"/>
          <w:szCs w:val="21"/>
          <w:color w:val="auto"/>
        </w:rPr>
        <w:t>shall</w:t>
      </w:r>
      <w:r>
        <w:rPr>
          <w:rFonts w:ascii="Times New Roman" w:cs="Times New Roman" w:eastAsia="Times New Roman" w:hAnsi="Times New Roman"/>
          <w:sz w:val="20"/>
          <w:szCs w:val="20"/>
          <w:color w:val="auto"/>
        </w:rPr>
        <w:t xml:space="preserve"> have the </w:t>
      </w:r>
      <w:r>
        <w:rPr>
          <w:rFonts w:ascii="Times New Roman" w:cs="Times New Roman" w:eastAsia="Times New Roman" w:hAnsi="Times New Roman"/>
          <w:sz w:val="21"/>
          <w:szCs w:val="21"/>
          <w:color w:val="auto"/>
        </w:rPr>
        <w:t>right to require you</w:t>
      </w:r>
      <w:r>
        <w:rPr>
          <w:rFonts w:ascii="Times New Roman" w:cs="Times New Roman" w:eastAsia="Times New Roman" w:hAnsi="Times New Roman"/>
          <w:sz w:val="20"/>
          <w:szCs w:val="20"/>
          <w:color w:val="auto"/>
        </w:rPr>
        <w:t xml:space="preserve"> to return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Company</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1"/>
          <w:szCs w:val="21"/>
          <w:color w:val="auto"/>
        </w:rPr>
        <w:t>other</w:t>
      </w:r>
      <w:r>
        <w:rPr>
          <w:rFonts w:ascii="Times New Roman" w:cs="Times New Roman" w:eastAsia="Times New Roman" w:hAnsi="Times New Roman"/>
          <w:sz w:val="20"/>
          <w:szCs w:val="20"/>
          <w:color w:val="auto"/>
        </w:rPr>
        <w:t xml:space="preserve"> gain, whether or </w:t>
      </w:r>
      <w:r>
        <w:rPr>
          <w:rFonts w:ascii="Times New Roman" w:cs="Times New Roman" w:eastAsia="Times New Roman" w:hAnsi="Times New Roman"/>
          <w:sz w:val="21"/>
          <w:szCs w:val="21"/>
          <w:color w:val="auto"/>
        </w:rPr>
        <w:t>not</w:t>
      </w:r>
      <w:r>
        <w:rPr>
          <w:rFonts w:ascii="Times New Roman" w:cs="Times New Roman" w:eastAsia="Times New Roman" w:hAnsi="Times New Roman"/>
          <w:sz w:val="20"/>
          <w:szCs w:val="20"/>
          <w:color w:val="auto"/>
        </w:rPr>
        <w:t xml:space="preserve"> realized, on </w:t>
      </w:r>
      <w:r>
        <w:rPr>
          <w:rFonts w:ascii="Times New Roman" w:cs="Times New Roman" w:eastAsia="Times New Roman" w:hAnsi="Times New Roman"/>
          <w:sz w:val="21"/>
          <w:szCs w:val="21"/>
          <w:color w:val="auto"/>
        </w:rPr>
        <w:t>a gross basis, that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you </w:t>
      </w:r>
      <w:r>
        <w:rPr>
          <w:rFonts w:ascii="Times New Roman" w:cs="Times New Roman" w:eastAsia="Times New Roman" w:hAnsi="Times New Roman"/>
          <w:sz w:val="19"/>
          <w:szCs w:val="19"/>
          <w:color w:val="auto"/>
        </w:rPr>
        <w:t>had</w:t>
      </w:r>
      <w:r>
        <w:rPr>
          <w:rFonts w:ascii="Times New Roman" w:cs="Times New Roman" w:eastAsia="Times New Roman" w:hAnsi="Times New Roman"/>
          <w:sz w:val="21"/>
          <w:szCs w:val="21"/>
          <w:color w:val="auto"/>
        </w:rPr>
        <w:t xml:space="preserve"> upon </w:t>
      </w:r>
      <w:r>
        <w:rPr>
          <w:rFonts w:ascii="Times New Roman" w:cs="Times New Roman" w:eastAsia="Times New Roman" w:hAnsi="Times New Roman"/>
          <w:sz w:val="19"/>
          <w:szCs w:val="19"/>
          <w:color w:val="auto"/>
        </w:rPr>
        <w:t>the sale of</w:t>
      </w:r>
      <w:r>
        <w:rPr>
          <w:rFonts w:ascii="Times New Roman" w:cs="Times New Roman" w:eastAsia="Times New Roman" w:hAnsi="Times New Roman"/>
          <w:sz w:val="21"/>
          <w:szCs w:val="21"/>
          <w:color w:val="auto"/>
        </w:rPr>
        <w:t xml:space="preserve"> any </w:t>
      </w:r>
      <w:r>
        <w:rPr>
          <w:rFonts w:ascii="Times New Roman" w:cs="Times New Roman" w:eastAsia="Times New Roman" w:hAnsi="Times New Roman"/>
          <w:sz w:val="19"/>
          <w:szCs w:val="19"/>
          <w:color w:val="auto"/>
        </w:rPr>
        <w:t>Shares obtained pursuant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the PSUs.</w:t>
      </w:r>
    </w:p>
    <w:p>
      <w:pPr>
        <w:spacing w:after="0" w:line="196" w:lineRule="exact"/>
        <w:rPr>
          <w:sz w:val="20"/>
          <w:szCs w:val="20"/>
          <w:color w:val="auto"/>
        </w:rPr>
      </w:pPr>
    </w:p>
    <w:p>
      <w:pPr>
        <w:ind w:left="300" w:hanging="292"/>
        <w:spacing w:after="0"/>
        <w:tabs>
          <w:tab w:leader="none" w:pos="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p>
    <w:p>
      <w:pPr>
        <w:spacing w:after="0" w:line="21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color w:val="auto"/>
        </w:rPr>
        <w:t xml:space="preserve">No provisions </w:t>
      </w:r>
      <w:r>
        <w:rPr>
          <w:rFonts w:ascii="Times New Roman" w:cs="Times New Roman" w:eastAsia="Times New Roman" w:hAnsi="Times New Roman"/>
          <w:sz w:val="21"/>
          <w:szCs w:val="21"/>
          <w:color w:val="auto"/>
        </w:rPr>
        <w:t>of this</w:t>
      </w:r>
      <w:r>
        <w:rPr>
          <w:rFonts w:ascii="Times New Roman" w:cs="Times New Roman" w:eastAsia="Times New Roman" w:hAnsi="Times New Roman"/>
          <w:sz w:val="20"/>
          <w:szCs w:val="20"/>
          <w:color w:val="auto"/>
        </w:rPr>
        <w:t xml:space="preserve"> Agreement </w:t>
      </w:r>
      <w:r>
        <w:rPr>
          <w:rFonts w:ascii="Times New Roman" w:cs="Times New Roman" w:eastAsia="Times New Roman" w:hAnsi="Times New Roman"/>
          <w:sz w:val="21"/>
          <w:szCs w:val="21"/>
          <w:color w:val="auto"/>
        </w:rPr>
        <w:t>may be amended or</w:t>
      </w:r>
      <w:r>
        <w:rPr>
          <w:rFonts w:ascii="Times New Roman" w:cs="Times New Roman" w:eastAsia="Times New Roman" w:hAnsi="Times New Roman"/>
          <w:sz w:val="20"/>
          <w:szCs w:val="20"/>
          <w:color w:val="auto"/>
        </w:rPr>
        <w:t xml:space="preserve"> modified unless such amendment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modification is agreed to </w:t>
      </w:r>
      <w:r>
        <w:rPr>
          <w:rFonts w:ascii="Times New Roman" w:cs="Times New Roman" w:eastAsia="Times New Roman" w:hAnsi="Times New Roman"/>
          <w:sz w:val="21"/>
          <w:szCs w:val="21"/>
          <w:color w:val="auto"/>
        </w:rPr>
        <w:t>in writing</w:t>
      </w:r>
      <w:r>
        <w:rPr>
          <w:rFonts w:ascii="Times New Roman" w:cs="Times New Roman" w:eastAsia="Times New Roman" w:hAnsi="Times New Roman"/>
          <w:sz w:val="20"/>
          <w:szCs w:val="20"/>
          <w:color w:val="auto"/>
        </w:rPr>
        <w:t xml:space="preserve"> signed by you and </w:t>
      </w:r>
      <w:r>
        <w:rPr>
          <w:rFonts w:ascii="Times New Roman" w:cs="Times New Roman" w:eastAsia="Times New Roman" w:hAnsi="Times New Roman"/>
          <w:sz w:val="21"/>
          <w:szCs w:val="21"/>
          <w:color w:val="auto"/>
        </w:rPr>
        <w:t>an officer of</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Company</w:t>
      </w:r>
      <w:r>
        <w:rPr>
          <w:rFonts w:ascii="Times New Roman" w:cs="Times New Roman" w:eastAsia="Times New Roman" w:hAnsi="Times New Roman"/>
          <w:sz w:val="20"/>
          <w:szCs w:val="20"/>
          <w:color w:val="auto"/>
        </w:rPr>
        <w:t xml:space="preserve"> with the </w:t>
      </w:r>
      <w:r>
        <w:rPr>
          <w:rFonts w:ascii="Times New Roman" w:cs="Times New Roman" w:eastAsia="Times New Roman" w:hAnsi="Times New Roman"/>
          <w:sz w:val="21"/>
          <w:szCs w:val="21"/>
          <w:color w:val="auto"/>
        </w:rPr>
        <w:t>authority to</w:t>
      </w:r>
      <w:r>
        <w:rPr>
          <w:rFonts w:ascii="Times New Roman" w:cs="Times New Roman" w:eastAsia="Times New Roman" w:hAnsi="Times New Roman"/>
          <w:sz w:val="20"/>
          <w:szCs w:val="20"/>
          <w:color w:val="auto"/>
        </w:rPr>
        <w:t xml:space="preserve"> bind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Company.</w:t>
      </w:r>
    </w:p>
    <w:p>
      <w:pPr>
        <w:spacing w:after="0" w:line="154" w:lineRule="exact"/>
        <w:rPr>
          <w:sz w:val="20"/>
          <w:szCs w:val="20"/>
          <w:color w:val="auto"/>
        </w:rPr>
      </w:pPr>
    </w:p>
    <w:p>
      <w:pPr>
        <w:ind w:left="300" w:hanging="292"/>
        <w:spacing w:after="0"/>
        <w:tabs>
          <w:tab w:leader="none" w:pos="3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Responsibility</w:t>
      </w:r>
    </w:p>
    <w:p>
      <w:pPr>
        <w:spacing w:after="0" w:line="2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 xml:space="preserve">a. You </w:t>
      </w:r>
      <w:r>
        <w:rPr>
          <w:rFonts w:ascii="Times New Roman" w:cs="Times New Roman" w:eastAsia="Times New Roman" w:hAnsi="Times New Roman"/>
          <w:sz w:val="21"/>
          <w:szCs w:val="21"/>
          <w:color w:val="auto"/>
        </w:rPr>
        <w:t>acknowledge</w:t>
      </w:r>
      <w:r>
        <w:rPr>
          <w:rFonts w:ascii="Times New Roman" w:cs="Times New Roman" w:eastAsia="Times New Roman" w:hAnsi="Times New Roman"/>
          <w:sz w:val="20"/>
          <w:szCs w:val="20"/>
          <w:color w:val="auto"/>
        </w:rPr>
        <w:t xml:space="preserve"> that, regardless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1"/>
          <w:szCs w:val="21"/>
          <w:color w:val="auto"/>
        </w:rPr>
        <w:t>action</w:t>
      </w:r>
      <w:r>
        <w:rPr>
          <w:rFonts w:ascii="Times New Roman" w:cs="Times New Roman" w:eastAsia="Times New Roman" w:hAnsi="Times New Roman"/>
          <w:sz w:val="20"/>
          <w:szCs w:val="20"/>
          <w:color w:val="auto"/>
        </w:rPr>
        <w:t xml:space="preserve"> taken by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Company or your employer</w:t>
      </w:r>
    </w:p>
    <w:p>
      <w:pPr>
        <w:spacing w:after="0" w:line="1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or any Subsidiary or </w:t>
      </w:r>
      <w:r>
        <w:rPr>
          <w:rFonts w:ascii="Times New Roman" w:cs="Times New Roman" w:eastAsia="Times New Roman" w:hAnsi="Times New Roman"/>
          <w:sz w:val="21"/>
          <w:szCs w:val="21"/>
          <w:color w:val="auto"/>
        </w:rPr>
        <w:t>Affiliate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the Company to</w:t>
      </w:r>
      <w:r>
        <w:rPr>
          <w:rFonts w:ascii="Times New Roman" w:cs="Times New Roman" w:eastAsia="Times New Roman" w:hAnsi="Times New Roman"/>
          <w:sz w:val="20"/>
          <w:szCs w:val="20"/>
          <w:color w:val="auto"/>
        </w:rPr>
        <w:t xml:space="preserve"> which you </w:t>
      </w:r>
      <w:r>
        <w:rPr>
          <w:rFonts w:ascii="Times New Roman" w:cs="Times New Roman" w:eastAsia="Times New Roman" w:hAnsi="Times New Roman"/>
          <w:sz w:val="21"/>
          <w:szCs w:val="21"/>
          <w:color w:val="auto"/>
        </w:rPr>
        <w:t>provide</w:t>
      </w:r>
      <w:r>
        <w:rPr>
          <w:rFonts w:ascii="Times New Roman" w:cs="Times New Roman" w:eastAsia="Times New Roman" w:hAnsi="Times New Roman"/>
          <w:sz w:val="20"/>
          <w:szCs w:val="20"/>
          <w:color w:val="auto"/>
        </w:rPr>
        <w:t xml:space="preserve"> service (the “ </w:t>
      </w:r>
      <w:r>
        <w:rPr>
          <w:rFonts w:ascii="Times New Roman" w:cs="Times New Roman" w:eastAsia="Times New Roman" w:hAnsi="Times New Roman"/>
          <w:sz w:val="21"/>
          <w:szCs w:val="21"/>
          <w:b w:val="1"/>
          <w:bCs w:val="1"/>
          <w:i w:val="1"/>
          <w:iCs w:val="1"/>
          <w:color w:val="auto"/>
        </w:rPr>
        <w:t>Employer</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0"/>
          <w:szCs w:val="20"/>
          <w:color w:val="auto"/>
        </w:rPr>
        <w:t xml:space="preserve"> ultimate </w:t>
      </w:r>
      <w:r>
        <w:rPr>
          <w:rFonts w:ascii="Times New Roman" w:cs="Times New Roman" w:eastAsia="Times New Roman" w:hAnsi="Times New Roman"/>
          <w:sz w:val="21"/>
          <w:szCs w:val="21"/>
          <w:color w:val="auto"/>
        </w:rPr>
        <w:t>liability</w:t>
      </w:r>
      <w:r>
        <w:rPr>
          <w:rFonts w:ascii="Times New Roman" w:cs="Times New Roman" w:eastAsia="Times New Roman" w:hAnsi="Times New Roman"/>
          <w:sz w:val="20"/>
          <w:szCs w:val="20"/>
          <w:color w:val="auto"/>
        </w:rPr>
        <w:t xml:space="preserve"> for all income </w:t>
      </w:r>
      <w:r>
        <w:rPr>
          <w:rFonts w:ascii="Times New Roman" w:cs="Times New Roman" w:eastAsia="Times New Roman" w:hAnsi="Times New Roman"/>
          <w:sz w:val="21"/>
          <w:szCs w:val="21"/>
          <w:color w:val="auto"/>
        </w:rPr>
        <w:t>tax</w:t>
      </w:r>
      <w:r>
        <w:rPr>
          <w:rFonts w:ascii="Times New Roman" w:cs="Times New Roman" w:eastAsia="Times New Roman" w:hAnsi="Times New Roman"/>
          <w:sz w:val="20"/>
          <w:szCs w:val="20"/>
          <w:color w:val="auto"/>
        </w:rPr>
        <w:t xml:space="preserve"> (including U.S. </w:t>
      </w:r>
      <w:r>
        <w:rPr>
          <w:rFonts w:ascii="Times New Roman" w:cs="Times New Roman" w:eastAsia="Times New Roman" w:hAnsi="Times New Roman"/>
          <w:sz w:val="21"/>
          <w:szCs w:val="21"/>
          <w:color w:val="auto"/>
        </w:rPr>
        <w:t>federal, state, and</w:t>
      </w:r>
      <w:r>
        <w:rPr>
          <w:rFonts w:ascii="Times New Roman" w:cs="Times New Roman" w:eastAsia="Times New Roman" w:hAnsi="Times New Roman"/>
          <w:sz w:val="20"/>
          <w:szCs w:val="20"/>
          <w:color w:val="auto"/>
        </w:rPr>
        <w:t xml:space="preserve"> local </w:t>
      </w:r>
      <w:r>
        <w:rPr>
          <w:rFonts w:ascii="Times New Roman" w:cs="Times New Roman" w:eastAsia="Times New Roman" w:hAnsi="Times New Roman"/>
          <w:sz w:val="21"/>
          <w:szCs w:val="21"/>
          <w:color w:val="auto"/>
        </w:rPr>
        <w:t>taxes</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1"/>
          <w:szCs w:val="21"/>
          <w:color w:val="auto"/>
        </w:rPr>
        <w:t>non-U.S.</w:t>
      </w:r>
      <w:r>
        <w:rPr>
          <w:rFonts w:ascii="Times New Roman" w:cs="Times New Roman" w:eastAsia="Times New Roman" w:hAnsi="Times New Roman"/>
          <w:sz w:val="20"/>
          <w:szCs w:val="20"/>
          <w:color w:val="auto"/>
        </w:rPr>
        <w:t xml:space="preserve"> taxes), </w:t>
      </w:r>
      <w:r>
        <w:rPr>
          <w:rFonts w:ascii="Times New Roman" w:cs="Times New Roman" w:eastAsia="Times New Roman" w:hAnsi="Times New Roman"/>
          <w:sz w:val="21"/>
          <w:szCs w:val="21"/>
          <w:color w:val="auto"/>
        </w:rPr>
        <w:t>social</w:t>
      </w:r>
      <w:r>
        <w:rPr>
          <w:rFonts w:ascii="Times New Roman" w:cs="Times New Roman" w:eastAsia="Times New Roman" w:hAnsi="Times New Roman"/>
          <w:sz w:val="20"/>
          <w:szCs w:val="20"/>
          <w:color w:val="auto"/>
        </w:rPr>
        <w:t xml:space="preserve"> insurance, payroll </w:t>
      </w:r>
      <w:r>
        <w:rPr>
          <w:rFonts w:ascii="Times New Roman" w:cs="Times New Roman" w:eastAsia="Times New Roman" w:hAnsi="Times New Roman"/>
          <w:sz w:val="21"/>
          <w:szCs w:val="21"/>
          <w:color w:val="auto"/>
        </w:rPr>
        <w:t>tax, fringe benefits tax,</w:t>
      </w:r>
      <w:r>
        <w:rPr>
          <w:rFonts w:ascii="Times New Roman" w:cs="Times New Roman" w:eastAsia="Times New Roman" w:hAnsi="Times New Roman"/>
          <w:sz w:val="20"/>
          <w:szCs w:val="20"/>
          <w:color w:val="auto"/>
        </w:rPr>
        <w:t xml:space="preserve"> payment </w:t>
      </w:r>
      <w:r>
        <w:rPr>
          <w:rFonts w:ascii="Times New Roman" w:cs="Times New Roman" w:eastAsia="Times New Roman" w:hAnsi="Times New Roman"/>
          <w:sz w:val="21"/>
          <w:szCs w:val="21"/>
          <w:color w:val="auto"/>
        </w:rPr>
        <w:t>on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account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other </w:t>
      </w:r>
      <w:r>
        <w:rPr>
          <w:rFonts w:ascii="Times New Roman" w:cs="Times New Roman" w:eastAsia="Times New Roman" w:hAnsi="Times New Roman"/>
          <w:sz w:val="21"/>
          <w:szCs w:val="21"/>
          <w:color w:val="auto"/>
        </w:rPr>
        <w:t>tax-related</w:t>
      </w:r>
      <w:r>
        <w:rPr>
          <w:rFonts w:ascii="Times New Roman" w:cs="Times New Roman" w:eastAsia="Times New Roman" w:hAnsi="Times New Roman"/>
          <w:sz w:val="20"/>
          <w:szCs w:val="20"/>
          <w:color w:val="auto"/>
        </w:rPr>
        <w:t xml:space="preserve"> items </w:t>
      </w:r>
      <w:r>
        <w:rPr>
          <w:rFonts w:ascii="Times New Roman" w:cs="Times New Roman" w:eastAsia="Times New Roman" w:hAnsi="Times New Roman"/>
          <w:sz w:val="21"/>
          <w:szCs w:val="21"/>
          <w:color w:val="auto"/>
        </w:rPr>
        <w:t>related to</w:t>
      </w:r>
      <w:r>
        <w:rPr>
          <w:rFonts w:ascii="Times New Roman" w:cs="Times New Roman" w:eastAsia="Times New Roman" w:hAnsi="Times New Roman"/>
          <w:sz w:val="20"/>
          <w:szCs w:val="20"/>
          <w:color w:val="auto"/>
        </w:rPr>
        <w:t xml:space="preserve"> your participation </w:t>
      </w:r>
      <w:r>
        <w:rPr>
          <w:rFonts w:ascii="Times New Roman" w:cs="Times New Roman" w:eastAsia="Times New Roman" w:hAnsi="Times New Roman"/>
          <w:sz w:val="21"/>
          <w:szCs w:val="21"/>
          <w:color w:val="auto"/>
        </w:rPr>
        <w:t>in the</w:t>
      </w:r>
      <w:r>
        <w:rPr>
          <w:rFonts w:ascii="Times New Roman" w:cs="Times New Roman" w:eastAsia="Times New Roman" w:hAnsi="Times New Roman"/>
          <w:sz w:val="20"/>
          <w:szCs w:val="20"/>
          <w:color w:val="auto"/>
        </w:rPr>
        <w:t xml:space="preserve"> Plan </w:t>
      </w:r>
      <w:r>
        <w:rPr>
          <w:rFonts w:ascii="Times New Roman" w:cs="Times New Roman" w:eastAsia="Times New Roman" w:hAnsi="Times New Roman"/>
          <w:sz w:val="21"/>
          <w:szCs w:val="21"/>
          <w:color w:val="auto"/>
        </w:rPr>
        <w:t>and legally</w:t>
      </w:r>
      <w:r>
        <w:rPr>
          <w:rFonts w:ascii="Times New Roman" w:cs="Times New Roman" w:eastAsia="Times New Roman" w:hAnsi="Times New Roman"/>
          <w:sz w:val="20"/>
          <w:szCs w:val="20"/>
          <w:color w:val="auto"/>
        </w:rPr>
        <w:t xml:space="preserve"> applicable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you (“Tax </w:t>
      </w:r>
      <w:r>
        <w:rPr>
          <w:rFonts w:ascii="Times New Roman" w:cs="Times New Roman" w:eastAsia="Times New Roman" w:hAnsi="Times New Roman"/>
          <w:sz w:val="21"/>
          <w:szCs w:val="21"/>
          <w:color w:val="auto"/>
        </w:rPr>
        <w:t>-Related Items”) is</w:t>
      </w:r>
      <w:r>
        <w:rPr>
          <w:rFonts w:ascii="Times New Roman" w:cs="Times New Roman" w:eastAsia="Times New Roman" w:hAnsi="Times New Roman"/>
          <w:sz w:val="20"/>
          <w:szCs w:val="20"/>
          <w:color w:val="auto"/>
        </w:rPr>
        <w:t xml:space="preserve"> and remains your responsibility and </w:t>
      </w:r>
      <w:r>
        <w:rPr>
          <w:rFonts w:ascii="Times New Roman" w:cs="Times New Roman" w:eastAsia="Times New Roman" w:hAnsi="Times New Roman"/>
          <w:sz w:val="21"/>
          <w:szCs w:val="21"/>
          <w:color w:val="auto"/>
        </w:rPr>
        <w:t>may</w:t>
      </w:r>
      <w:r>
        <w:rPr>
          <w:rFonts w:ascii="Times New Roman" w:cs="Times New Roman" w:eastAsia="Times New Roman" w:hAnsi="Times New Roman"/>
          <w:sz w:val="20"/>
          <w:szCs w:val="20"/>
          <w:color w:val="auto"/>
        </w:rPr>
        <w:t xml:space="preserve"> exceed the </w:t>
      </w:r>
      <w:r>
        <w:rPr>
          <w:rFonts w:ascii="Times New Roman" w:cs="Times New Roman" w:eastAsia="Times New Roman" w:hAnsi="Times New Roman"/>
          <w:sz w:val="21"/>
          <w:szCs w:val="21"/>
          <w:color w:val="auto"/>
        </w:rPr>
        <w:t>amount actually</w:t>
      </w:r>
      <w:r>
        <w:rPr>
          <w:rFonts w:ascii="Times New Roman" w:cs="Times New Roman" w:eastAsia="Times New Roman" w:hAnsi="Times New Roman"/>
          <w:sz w:val="20"/>
          <w:szCs w:val="20"/>
          <w:color w:val="auto"/>
        </w:rPr>
        <w:t xml:space="preserve"> withheld (if any) by </w:t>
      </w:r>
      <w:r>
        <w:rPr>
          <w:rFonts w:ascii="Times New Roman" w:cs="Times New Roman" w:eastAsia="Times New Roman" w:hAnsi="Times New Roman"/>
          <w:sz w:val="21"/>
          <w:szCs w:val="21"/>
          <w:color w:val="auto"/>
        </w:rPr>
        <w:t>the Company</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Employer. You </w:t>
      </w:r>
      <w:r>
        <w:rPr>
          <w:rFonts w:ascii="Times New Roman" w:cs="Times New Roman" w:eastAsia="Times New Roman" w:hAnsi="Times New Roman"/>
          <w:sz w:val="21"/>
          <w:szCs w:val="21"/>
          <w:color w:val="auto"/>
        </w:rPr>
        <w:t>acknowledge</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1"/>
          <w:szCs w:val="21"/>
          <w:color w:val="auto"/>
        </w:rPr>
        <w:t>the Company is not making</w:t>
      </w:r>
      <w:r>
        <w:rPr>
          <w:rFonts w:ascii="Times New Roman" w:cs="Times New Roman" w:eastAsia="Times New Roman" w:hAnsi="Times New Roman"/>
          <w:sz w:val="20"/>
          <w:szCs w:val="20"/>
          <w:color w:val="auto"/>
        </w:rPr>
        <w:t xml:space="preserve"> representations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undertakings regarding the treatment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any Tax-Related Items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connection with </w:t>
      </w:r>
      <w:r>
        <w:rPr>
          <w:rFonts w:ascii="Times New Roman" w:cs="Times New Roman" w:eastAsia="Times New Roman" w:hAnsi="Times New Roman"/>
          <w:sz w:val="21"/>
          <w:szCs w:val="21"/>
          <w:color w:val="auto"/>
        </w:rPr>
        <w:t>any</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aspect of </w:t>
      </w:r>
      <w:r>
        <w:rPr>
          <w:rFonts w:ascii="Times New Roman" w:cs="Times New Roman" w:eastAsia="Times New Roman" w:hAnsi="Times New Roman"/>
          <w:sz w:val="21"/>
          <w:szCs w:val="21"/>
          <w:color w:val="auto"/>
        </w:rPr>
        <w:t>the PSUs,</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1"/>
          <w:szCs w:val="21"/>
          <w:color w:val="auto"/>
        </w:rPr>
        <w:t>but not</w:t>
      </w:r>
      <w:r>
        <w:rPr>
          <w:rFonts w:ascii="Times New Roman" w:cs="Times New Roman" w:eastAsia="Times New Roman" w:hAnsi="Times New Roman"/>
          <w:sz w:val="20"/>
          <w:szCs w:val="20"/>
          <w:color w:val="auto"/>
        </w:rPr>
        <w:t xml:space="preserve"> limited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the grant, </w:t>
      </w:r>
      <w:r>
        <w:rPr>
          <w:rFonts w:ascii="Times New Roman" w:cs="Times New Roman" w:eastAsia="Times New Roman" w:hAnsi="Times New Roman"/>
          <w:sz w:val="21"/>
          <w:szCs w:val="21"/>
          <w:color w:val="auto"/>
        </w:rPr>
        <w:t>vesting or</w:t>
      </w:r>
      <w:r>
        <w:rPr>
          <w:rFonts w:ascii="Times New Roman" w:cs="Times New Roman" w:eastAsia="Times New Roman" w:hAnsi="Times New Roman"/>
          <w:sz w:val="20"/>
          <w:szCs w:val="20"/>
          <w:color w:val="auto"/>
        </w:rPr>
        <w:t xml:space="preserve"> settlement </w:t>
      </w:r>
      <w:r>
        <w:rPr>
          <w:rFonts w:ascii="Times New Roman" w:cs="Times New Roman" w:eastAsia="Times New Roman" w:hAnsi="Times New Roman"/>
          <w:sz w:val="21"/>
          <w:szCs w:val="21"/>
          <w:color w:val="auto"/>
        </w:rPr>
        <w:t>of the</w:t>
      </w:r>
      <w:r>
        <w:rPr>
          <w:rFonts w:ascii="Times New Roman" w:cs="Times New Roman" w:eastAsia="Times New Roman" w:hAnsi="Times New Roman"/>
          <w:sz w:val="20"/>
          <w:szCs w:val="20"/>
          <w:color w:val="auto"/>
        </w:rPr>
        <w:t xml:space="preserve"> PSUs,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subsequent sale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Shares acquired </w:t>
      </w: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19"/>
          <w:szCs w:val="19"/>
          <w:color w:val="auto"/>
        </w:rPr>
        <w:t>such settlement and</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19"/>
          <w:szCs w:val="19"/>
          <w:color w:val="auto"/>
        </w:rPr>
        <w:t>receipt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19"/>
          <w:szCs w:val="19"/>
          <w:color w:val="auto"/>
        </w:rPr>
        <w:t>any</w:t>
      </w:r>
      <w:r>
        <w:rPr>
          <w:rFonts w:ascii="Times New Roman" w:cs="Times New Roman" w:eastAsia="Times New Roman" w:hAnsi="Times New Roman"/>
          <w:sz w:val="21"/>
          <w:szCs w:val="21"/>
          <w:color w:val="auto"/>
        </w:rPr>
        <w:t xml:space="preserve"> dividends. </w:t>
      </w:r>
      <w:r>
        <w:rPr>
          <w:rFonts w:ascii="Times New Roman" w:cs="Times New Roman" w:eastAsia="Times New Roman" w:hAnsi="Times New Roman"/>
          <w:sz w:val="19"/>
          <w:szCs w:val="19"/>
          <w:color w:val="auto"/>
        </w:rPr>
        <w:t>Further,</w:t>
      </w:r>
      <w:r>
        <w:rPr>
          <w:rFonts w:ascii="Times New Roman" w:cs="Times New Roman" w:eastAsia="Times New Roman" w:hAnsi="Times New Roman"/>
          <w:sz w:val="21"/>
          <w:szCs w:val="21"/>
          <w:color w:val="auto"/>
        </w:rPr>
        <w:t xml:space="preserve"> you </w:t>
      </w:r>
      <w:r>
        <w:rPr>
          <w:rFonts w:ascii="Times New Roman" w:cs="Times New Roman" w:eastAsia="Times New Roman" w:hAnsi="Times New Roman"/>
          <w:sz w:val="19"/>
          <w:szCs w:val="19"/>
          <w:color w:val="auto"/>
        </w:rPr>
        <w:t>acknowledge that</w:t>
      </w:r>
      <w:r>
        <w:rPr>
          <w:rFonts w:ascii="Times New Roman" w:cs="Times New Roman" w:eastAsia="Times New Roman" w:hAnsi="Times New Roman"/>
          <w:sz w:val="21"/>
          <w:szCs w:val="21"/>
          <w:color w:val="auto"/>
        </w:rPr>
        <w:t xml:space="preserve"> the Company </w:t>
      </w:r>
      <w:r>
        <w:rPr>
          <w:rFonts w:ascii="Times New Roman" w:cs="Times New Roman" w:eastAsia="Times New Roman" w:hAnsi="Times New Roman"/>
          <w:sz w:val="19"/>
          <w:szCs w:val="19"/>
          <w:color w:val="auto"/>
        </w:rPr>
        <w:t>does not have</w:t>
      </w:r>
      <w:r>
        <w:rPr>
          <w:rFonts w:ascii="Times New Roman" w:cs="Times New Roman" w:eastAsia="Times New Roman" w:hAnsi="Times New Roman"/>
          <w:sz w:val="21"/>
          <w:szCs w:val="21"/>
          <w:color w:val="auto"/>
        </w:rPr>
        <w:t xml:space="preserve"> any </w:t>
      </w:r>
      <w:r>
        <w:rPr>
          <w:rFonts w:ascii="Times New Roman" w:cs="Times New Roman" w:eastAsia="Times New Roman" w:hAnsi="Times New Roman"/>
          <w:sz w:val="19"/>
          <w:szCs w:val="19"/>
          <w:color w:val="auto"/>
        </w:rPr>
        <w:t>duty</w:t>
      </w:r>
      <w:r>
        <w:rPr>
          <w:rFonts w:ascii="Times New Roman" w:cs="Times New Roman" w:eastAsia="Times New Roman" w:hAnsi="Times New Roman"/>
          <w:sz w:val="21"/>
          <w:szCs w:val="21"/>
          <w:color w:val="auto"/>
        </w:rPr>
        <w:t xml:space="preserve"> or</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obligation to minimize your </w:t>
      </w:r>
      <w:r>
        <w:rPr>
          <w:rFonts w:ascii="Times New Roman" w:cs="Times New Roman" w:eastAsia="Times New Roman" w:hAnsi="Times New Roman"/>
          <w:sz w:val="21"/>
          <w:szCs w:val="21"/>
          <w:color w:val="auto"/>
        </w:rPr>
        <w:t>liability</w:t>
      </w:r>
      <w:r>
        <w:rPr>
          <w:rFonts w:ascii="Times New Roman" w:cs="Times New Roman" w:eastAsia="Times New Roman" w:hAnsi="Times New Roman"/>
          <w:sz w:val="20"/>
          <w:szCs w:val="20"/>
          <w:color w:val="auto"/>
        </w:rPr>
        <w:t xml:space="preserve"> for Tax-Related </w:t>
      </w:r>
      <w:r>
        <w:rPr>
          <w:rFonts w:ascii="Times New Roman" w:cs="Times New Roman" w:eastAsia="Times New Roman" w:hAnsi="Times New Roman"/>
          <w:sz w:val="21"/>
          <w:szCs w:val="21"/>
          <w:color w:val="auto"/>
        </w:rPr>
        <w:t>Items</w:t>
      </w:r>
      <w:r>
        <w:rPr>
          <w:rFonts w:ascii="Times New Roman" w:cs="Times New Roman" w:eastAsia="Times New Roman" w:hAnsi="Times New Roman"/>
          <w:sz w:val="20"/>
          <w:szCs w:val="20"/>
          <w:color w:val="auto"/>
        </w:rPr>
        <w:t xml:space="preserve"> arising </w:t>
      </w:r>
      <w:r>
        <w:rPr>
          <w:rFonts w:ascii="Times New Roman" w:cs="Times New Roman" w:eastAsia="Times New Roman" w:hAnsi="Times New Roman"/>
          <w:sz w:val="21"/>
          <w:szCs w:val="21"/>
          <w:color w:val="auto"/>
        </w:rPr>
        <w:t>from the PSUs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achieve any particular tax result </w:t>
      </w:r>
      <w:r>
        <w:rPr>
          <w:rFonts w:ascii="Times New Roman" w:cs="Times New Roman" w:eastAsia="Times New Roman" w:hAnsi="Times New Roman"/>
          <w:sz w:val="21"/>
          <w:szCs w:val="21"/>
          <w:color w:val="auto"/>
        </w:rPr>
        <w:t>and will not</w:t>
      </w:r>
      <w:r>
        <w:rPr>
          <w:rFonts w:ascii="Times New Roman" w:cs="Times New Roman" w:eastAsia="Times New Roman" w:hAnsi="Times New Roman"/>
          <w:sz w:val="20"/>
          <w:szCs w:val="20"/>
          <w:color w:val="auto"/>
        </w:rPr>
        <w:t xml:space="preserve"> be </w:t>
      </w:r>
      <w:r>
        <w:rPr>
          <w:rFonts w:ascii="Times New Roman" w:cs="Times New Roman" w:eastAsia="Times New Roman" w:hAnsi="Times New Roman"/>
          <w:sz w:val="21"/>
          <w:szCs w:val="21"/>
          <w:color w:val="auto"/>
        </w:rPr>
        <w:t xml:space="preserve">liable to </w:t>
      </w:r>
      <w:r>
        <w:rPr>
          <w:rFonts w:ascii="Times New Roman" w:cs="Times New Roman" w:eastAsia="Times New Roman" w:hAnsi="Times New Roman"/>
          <w:sz w:val="19"/>
          <w:szCs w:val="19"/>
          <w:color w:val="auto"/>
        </w:rPr>
        <w:t>you for</w:t>
      </w:r>
      <w:r>
        <w:rPr>
          <w:rFonts w:ascii="Times New Roman" w:cs="Times New Roman" w:eastAsia="Times New Roman" w:hAnsi="Times New Roman"/>
          <w:sz w:val="21"/>
          <w:szCs w:val="21"/>
          <w:color w:val="auto"/>
        </w:rPr>
        <w:t xml:space="preserve"> any Tax-Related Items arising in </w:t>
      </w:r>
      <w:r>
        <w:rPr>
          <w:rFonts w:ascii="Times New Roman" w:cs="Times New Roman" w:eastAsia="Times New Roman" w:hAnsi="Times New Roman"/>
          <w:sz w:val="19"/>
          <w:szCs w:val="19"/>
          <w:color w:val="auto"/>
        </w:rPr>
        <w:t>connection with</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19"/>
          <w:szCs w:val="19"/>
          <w:color w:val="auto"/>
        </w:rPr>
        <w:t>PSUs. If</w:t>
      </w:r>
      <w:r>
        <w:rPr>
          <w:rFonts w:ascii="Times New Roman" w:cs="Times New Roman" w:eastAsia="Times New Roman" w:hAnsi="Times New Roman"/>
          <w:sz w:val="21"/>
          <w:szCs w:val="21"/>
          <w:color w:val="auto"/>
        </w:rPr>
        <w:t xml:space="preserve"> you become </w:t>
      </w:r>
      <w:r>
        <w:rPr>
          <w:rFonts w:ascii="Times New Roman" w:cs="Times New Roman" w:eastAsia="Times New Roman" w:hAnsi="Times New Roman"/>
          <w:sz w:val="19"/>
          <w:szCs w:val="19"/>
          <w:color w:val="auto"/>
        </w:rPr>
        <w:t>subject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taxation in more than</w:t>
      </w:r>
      <w:r>
        <w:rPr>
          <w:rFonts w:ascii="Times New Roman" w:cs="Times New Roman" w:eastAsia="Times New Roman" w:hAnsi="Times New Roman"/>
          <w:sz w:val="21"/>
          <w:szCs w:val="21"/>
          <w:color w:val="auto"/>
        </w:rPr>
        <w:t xml:space="preserve"> one </w:t>
      </w:r>
      <w:r>
        <w:rPr>
          <w:rFonts w:ascii="Times New Roman" w:cs="Times New Roman" w:eastAsia="Times New Roman" w:hAnsi="Times New Roman"/>
          <w:sz w:val="19"/>
          <w:szCs w:val="19"/>
          <w:color w:val="auto"/>
        </w:rPr>
        <w:t xml:space="preserve">jurisdiction,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9"/>
          <w:szCs w:val="19"/>
          <w:color w:val="auto"/>
        </w:rPr>
        <w:t xml:space="preserve"> Company and/or </w:t>
      </w:r>
      <w:r>
        <w:rPr>
          <w:rFonts w:ascii="Times New Roman" w:cs="Times New Roman" w:eastAsia="Times New Roman" w:hAnsi="Times New Roman"/>
          <w:sz w:val="21"/>
          <w:szCs w:val="21"/>
          <w:color w:val="auto"/>
        </w:rPr>
        <w:t>the Employer (or</w:t>
      </w:r>
      <w:r>
        <w:rPr>
          <w:rFonts w:ascii="Times New Roman" w:cs="Times New Roman" w:eastAsia="Times New Roman" w:hAnsi="Times New Roman"/>
          <w:sz w:val="19"/>
          <w:szCs w:val="19"/>
          <w:color w:val="auto"/>
        </w:rPr>
        <w:t xml:space="preserve"> former employer, </w:t>
      </w:r>
      <w:r>
        <w:rPr>
          <w:rFonts w:ascii="Times New Roman" w:cs="Times New Roman" w:eastAsia="Times New Roman" w:hAnsi="Times New Roman"/>
          <w:sz w:val="21"/>
          <w:szCs w:val="21"/>
          <w:color w:val="auto"/>
        </w:rPr>
        <w:t>as</w:t>
      </w:r>
      <w:r>
        <w:rPr>
          <w:rFonts w:ascii="Times New Roman" w:cs="Times New Roman" w:eastAsia="Times New Roman" w:hAnsi="Times New Roman"/>
          <w:sz w:val="19"/>
          <w:szCs w:val="19"/>
          <w:color w:val="auto"/>
        </w:rPr>
        <w:t xml:space="preserve"> applicable) </w:t>
      </w:r>
      <w:r>
        <w:rPr>
          <w:rFonts w:ascii="Times New Roman" w:cs="Times New Roman" w:eastAsia="Times New Roman" w:hAnsi="Times New Roman"/>
          <w:sz w:val="21"/>
          <w:szCs w:val="21"/>
          <w:color w:val="auto"/>
        </w:rPr>
        <w:t>may be</w:t>
      </w:r>
      <w:r>
        <w:rPr>
          <w:rFonts w:ascii="Times New Roman" w:cs="Times New Roman" w:eastAsia="Times New Roman" w:hAnsi="Times New Roman"/>
          <w:sz w:val="19"/>
          <w:szCs w:val="19"/>
          <w:color w:val="auto"/>
        </w:rPr>
        <w:t xml:space="preserve"> required </w:t>
      </w:r>
      <w:r>
        <w:rPr>
          <w:rFonts w:ascii="Times New Roman" w:cs="Times New Roman" w:eastAsia="Times New Roman" w:hAnsi="Times New Roman"/>
          <w:sz w:val="21"/>
          <w:szCs w:val="21"/>
          <w:color w:val="auto"/>
        </w:rPr>
        <w:t>to</w:t>
      </w:r>
      <w:r>
        <w:rPr>
          <w:rFonts w:ascii="Times New Roman" w:cs="Times New Roman" w:eastAsia="Times New Roman" w:hAnsi="Times New Roman"/>
          <w:sz w:val="19"/>
          <w:szCs w:val="19"/>
          <w:color w:val="auto"/>
        </w:rPr>
        <w:t xml:space="preserve"> withhold </w:t>
      </w:r>
      <w:r>
        <w:rPr>
          <w:rFonts w:ascii="Times New Roman" w:cs="Times New Roman" w:eastAsia="Times New Roman" w:hAnsi="Times New Roman"/>
          <w:sz w:val="21"/>
          <w:szCs w:val="21"/>
          <w:color w:val="auto"/>
        </w:rPr>
        <w:t>or</w:t>
      </w:r>
      <w:r>
        <w:rPr>
          <w:rFonts w:ascii="Times New Roman" w:cs="Times New Roman" w:eastAsia="Times New Roman" w:hAnsi="Times New Roman"/>
          <w:sz w:val="19"/>
          <w:szCs w:val="19"/>
          <w:color w:val="auto"/>
        </w:rPr>
        <w:t xml:space="preserve"> account for Tax-Related Items in more </w:t>
      </w:r>
      <w:r>
        <w:rPr>
          <w:rFonts w:ascii="Times New Roman" w:cs="Times New Roman" w:eastAsia="Times New Roman" w:hAnsi="Times New Roman"/>
          <w:sz w:val="21"/>
          <w:szCs w:val="21"/>
          <w:color w:val="auto"/>
        </w:rPr>
        <w:t>than one</w:t>
      </w:r>
      <w:r>
        <w:rPr>
          <w:rFonts w:ascii="Times New Roman" w:cs="Times New Roman" w:eastAsia="Times New Roman" w:hAnsi="Times New Roman"/>
          <w:sz w:val="19"/>
          <w:szCs w:val="19"/>
          <w:color w:val="auto"/>
        </w:rPr>
        <w:t xml:space="preserve"> jurisdiction.</w:t>
      </w:r>
    </w:p>
    <w:p>
      <w:pPr>
        <w:spacing w:after="0" w:line="1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 xml:space="preserve">b. Prior to any relevant taxable or tax withholding event, as applicable, you agree </w:t>
      </w:r>
      <w:r>
        <w:rPr>
          <w:rFonts w:ascii="Times New Roman" w:cs="Times New Roman" w:eastAsia="Times New Roman" w:hAnsi="Times New Roman"/>
          <w:sz w:val="21"/>
          <w:szCs w:val="21"/>
          <w:color w:val="auto"/>
        </w:rPr>
        <w:t>to make</w:t>
      </w:r>
    </w:p>
    <w:p>
      <w:pPr>
        <w:spacing w:after="0"/>
        <w:rPr>
          <w:sz w:val="20"/>
          <w:szCs w:val="20"/>
          <w:color w:val="auto"/>
        </w:rPr>
      </w:pPr>
      <w:r>
        <w:rPr>
          <w:rFonts w:ascii="Times New Roman" w:cs="Times New Roman" w:eastAsia="Times New Roman" w:hAnsi="Times New Roman"/>
          <w:sz w:val="20"/>
          <w:szCs w:val="20"/>
          <w:color w:val="auto"/>
        </w:rPr>
        <w:t xml:space="preserve">adequate arrangements satisfactory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Company</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Employer to satisfy </w:t>
      </w:r>
      <w:r>
        <w:rPr>
          <w:rFonts w:ascii="Times New Roman" w:cs="Times New Roman" w:eastAsia="Times New Roman" w:hAnsi="Times New Roman"/>
          <w:sz w:val="21"/>
          <w:szCs w:val="21"/>
          <w:color w:val="auto"/>
        </w:rPr>
        <w:t>all Tax-Related</w:t>
      </w:r>
      <w:r>
        <w:rPr>
          <w:rFonts w:ascii="Times New Roman" w:cs="Times New Roman" w:eastAsia="Times New Roman" w:hAnsi="Times New Roman"/>
          <w:sz w:val="20"/>
          <w:szCs w:val="20"/>
          <w:color w:val="auto"/>
        </w:rPr>
        <w:t xml:space="preserve"> Items. In </w:t>
      </w:r>
      <w:r>
        <w:rPr>
          <w:rFonts w:ascii="Times New Roman" w:cs="Times New Roman" w:eastAsia="Times New Roman" w:hAnsi="Times New Roman"/>
          <w:sz w:val="21"/>
          <w:szCs w:val="21"/>
          <w:color w:val="auto"/>
        </w:rPr>
        <w:t>this regard,</w:t>
      </w:r>
      <w:r>
        <w:rPr>
          <w:rFonts w:ascii="Times New Roman" w:cs="Times New Roman" w:eastAsia="Times New Roman" w:hAnsi="Times New Roman"/>
          <w:sz w:val="20"/>
          <w:szCs w:val="20"/>
          <w:color w:val="auto"/>
        </w:rPr>
        <w:t xml:space="preserve"> you </w:t>
      </w:r>
      <w:r>
        <w:rPr>
          <w:rFonts w:ascii="Times New Roman" w:cs="Times New Roman" w:eastAsia="Times New Roman" w:hAnsi="Times New Roman"/>
          <w:sz w:val="21"/>
          <w:szCs w:val="21"/>
          <w:color w:val="auto"/>
        </w:rPr>
        <w:t>authorize</w:t>
      </w:r>
    </w:p>
    <w:p>
      <w:pPr>
        <w:jc w:val="both"/>
        <w:spacing w:after="0" w:line="216" w:lineRule="auto"/>
        <w:rPr>
          <w:sz w:val="20"/>
          <w:szCs w:val="20"/>
          <w:color w:val="auto"/>
        </w:rPr>
      </w:pPr>
      <w:r>
        <w:rPr>
          <w:rFonts w:ascii="Times New Roman" w:cs="Times New Roman" w:eastAsia="Times New Roman" w:hAnsi="Times New Roman"/>
          <w:sz w:val="22"/>
          <w:szCs w:val="22"/>
          <w:color w:val="auto"/>
        </w:rPr>
        <w:t xml:space="preserve">the Company and </w:t>
      </w:r>
      <w:r>
        <w:rPr>
          <w:rFonts w:ascii="Times New Roman" w:cs="Times New Roman" w:eastAsia="Times New Roman" w:hAnsi="Times New Roman"/>
          <w:sz w:val="19"/>
          <w:szCs w:val="19"/>
          <w:color w:val="auto"/>
        </w:rPr>
        <w:t>the Employer, or their respective agents,</w:t>
      </w:r>
      <w:r>
        <w:rPr>
          <w:rFonts w:ascii="Times New Roman" w:cs="Times New Roman" w:eastAsia="Times New Roman" w:hAnsi="Times New Roman"/>
          <w:sz w:val="22"/>
          <w:szCs w:val="22"/>
          <w:color w:val="auto"/>
        </w:rPr>
        <w:t xml:space="preserve"> at their discretion, to satisfy </w:t>
      </w:r>
      <w:r>
        <w:rPr>
          <w:rFonts w:ascii="Times New Roman" w:cs="Times New Roman" w:eastAsia="Times New Roman" w:hAnsi="Times New Roman"/>
          <w:sz w:val="19"/>
          <w:szCs w:val="19"/>
          <w:color w:val="auto"/>
        </w:rPr>
        <w:t>any applicable withholding obligations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regard </w:t>
      </w:r>
      <w:r>
        <w:rPr>
          <w:rFonts w:ascii="Times New Roman" w:cs="Times New Roman" w:eastAsia="Times New Roman" w:hAnsi="Times New Roman"/>
          <w:sz w:val="21"/>
          <w:szCs w:val="21"/>
          <w:color w:val="auto"/>
        </w:rPr>
        <w:t>to</w:t>
      </w:r>
      <w:r>
        <w:rPr>
          <w:rFonts w:ascii="Times New Roman" w:cs="Times New Roman" w:eastAsia="Times New Roman" w:hAnsi="Times New Roman"/>
          <w:sz w:val="19"/>
          <w:szCs w:val="19"/>
          <w:color w:val="auto"/>
        </w:rPr>
        <w:t xml:space="preserve"> all Tax-Related Items, </w:t>
      </w:r>
      <w:r>
        <w:rPr>
          <w:rFonts w:ascii="Times New Roman" w:cs="Times New Roman" w:eastAsia="Times New Roman" w:hAnsi="Times New Roman"/>
          <w:sz w:val="21"/>
          <w:szCs w:val="21"/>
          <w:color w:val="auto"/>
        </w:rPr>
        <w:t>if</w:t>
      </w:r>
      <w:r>
        <w:rPr>
          <w:rFonts w:ascii="Times New Roman" w:cs="Times New Roman" w:eastAsia="Times New Roman" w:hAnsi="Times New Roman"/>
          <w:sz w:val="19"/>
          <w:szCs w:val="19"/>
          <w:color w:val="auto"/>
        </w:rPr>
        <w:t xml:space="preserve"> any, </w:t>
      </w:r>
      <w:r>
        <w:rPr>
          <w:rFonts w:ascii="Times New Roman" w:cs="Times New Roman" w:eastAsia="Times New Roman" w:hAnsi="Times New Roman"/>
          <w:sz w:val="21"/>
          <w:szCs w:val="21"/>
          <w:color w:val="auto"/>
        </w:rPr>
        <w:t>by</w:t>
      </w:r>
      <w:r>
        <w:rPr>
          <w:rFonts w:ascii="Times New Roman" w:cs="Times New Roman" w:eastAsia="Times New Roman" w:hAnsi="Times New Roman"/>
          <w:sz w:val="19"/>
          <w:szCs w:val="19"/>
          <w:color w:val="auto"/>
        </w:rPr>
        <w:t xml:space="preserve"> any </w:t>
      </w:r>
      <w:r>
        <w:rPr>
          <w:rFonts w:ascii="Times New Roman" w:cs="Times New Roman" w:eastAsia="Times New Roman" w:hAnsi="Times New Roman"/>
          <w:sz w:val="21"/>
          <w:szCs w:val="21"/>
          <w:color w:val="auto"/>
        </w:rPr>
        <w:t>of the</w:t>
      </w:r>
      <w:r>
        <w:rPr>
          <w:rFonts w:ascii="Times New Roman" w:cs="Times New Roman" w:eastAsia="Times New Roman" w:hAnsi="Times New Roman"/>
          <w:sz w:val="19"/>
          <w:szCs w:val="19"/>
          <w:color w:val="auto"/>
        </w:rPr>
        <w:t xml:space="preserve"> following </w:t>
      </w:r>
      <w:r>
        <w:rPr>
          <w:rFonts w:ascii="Times New Roman" w:cs="Times New Roman" w:eastAsia="Times New Roman" w:hAnsi="Times New Roman"/>
          <w:sz w:val="21"/>
          <w:szCs w:val="21"/>
          <w:color w:val="auto"/>
        </w:rPr>
        <w:t>means or</w:t>
      </w:r>
      <w:r>
        <w:rPr>
          <w:rFonts w:ascii="Times New Roman" w:cs="Times New Roman" w:eastAsia="Times New Roman" w:hAnsi="Times New Roman"/>
          <w:sz w:val="19"/>
          <w:szCs w:val="19"/>
          <w:color w:val="auto"/>
        </w:rPr>
        <w:t xml:space="preserve"> by a combination of such means: (1) withholding from any</w:t>
      </w: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compensation otherwise payable </w:t>
      </w:r>
      <w:r>
        <w:rPr>
          <w:rFonts w:ascii="Times New Roman" w:cs="Times New Roman" w:eastAsia="Times New Roman" w:hAnsi="Times New Roman"/>
          <w:sz w:val="21"/>
          <w:szCs w:val="21"/>
          <w:color w:val="auto"/>
        </w:rPr>
        <w:t>to you</w:t>
      </w:r>
      <w:r>
        <w:rPr>
          <w:rFonts w:ascii="Times New Roman" w:cs="Times New Roman" w:eastAsia="Times New Roman" w:hAnsi="Times New Roman"/>
          <w:sz w:val="20"/>
          <w:szCs w:val="20"/>
          <w:color w:val="auto"/>
        </w:rPr>
        <w:t xml:space="preserve"> by </w:t>
      </w:r>
      <w:r>
        <w:rPr>
          <w:rFonts w:ascii="Times New Roman" w:cs="Times New Roman" w:eastAsia="Times New Roman" w:hAnsi="Times New Roman"/>
          <w:sz w:val="21"/>
          <w:szCs w:val="21"/>
          <w:color w:val="auto"/>
        </w:rPr>
        <w:t>the Company or the Employer;</w:t>
      </w:r>
      <w:r>
        <w:rPr>
          <w:rFonts w:ascii="Times New Roman" w:cs="Times New Roman" w:eastAsia="Times New Roman" w:hAnsi="Times New Roman"/>
          <w:sz w:val="20"/>
          <w:szCs w:val="20"/>
          <w:color w:val="auto"/>
        </w:rPr>
        <w:t xml:space="preserve"> (2) causing </w:t>
      </w:r>
      <w:r>
        <w:rPr>
          <w:rFonts w:ascii="Times New Roman" w:cs="Times New Roman" w:eastAsia="Times New Roman" w:hAnsi="Times New Roman"/>
          <w:sz w:val="21"/>
          <w:szCs w:val="21"/>
          <w:color w:val="auto"/>
        </w:rPr>
        <w:t>you to</w:t>
      </w:r>
      <w:r>
        <w:rPr>
          <w:rFonts w:ascii="Times New Roman" w:cs="Times New Roman" w:eastAsia="Times New Roman" w:hAnsi="Times New Roman"/>
          <w:sz w:val="20"/>
          <w:szCs w:val="20"/>
          <w:color w:val="auto"/>
        </w:rPr>
        <w:t xml:space="preserve"> tender a cash </w:t>
      </w:r>
      <w:r>
        <w:rPr>
          <w:rFonts w:ascii="Times New Roman" w:cs="Times New Roman" w:eastAsia="Times New Roman" w:hAnsi="Times New Roman"/>
          <w:sz w:val="21"/>
          <w:szCs w:val="21"/>
          <w:color w:val="auto"/>
        </w:rPr>
        <w:t>payment;</w:t>
      </w:r>
      <w:r>
        <w:rPr>
          <w:rFonts w:ascii="Times New Roman" w:cs="Times New Roman" w:eastAsia="Times New Roman" w:hAnsi="Times New Roman"/>
          <w:sz w:val="20"/>
          <w:szCs w:val="20"/>
          <w:color w:val="auto"/>
        </w:rPr>
        <w:t xml:space="preserve"> (3) withholding from proceeds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sale</w:t>
      </w:r>
      <w:r>
        <w:rPr>
          <w:rFonts w:ascii="Times New Roman" w:cs="Times New Roman" w:eastAsia="Times New Roman" w:hAnsi="Times New Roman"/>
          <w:sz w:val="20"/>
          <w:szCs w:val="20"/>
          <w:color w:val="auto"/>
        </w:rPr>
        <w:t xml:space="preserve"> of Shares acquired </w:t>
      </w:r>
      <w:r>
        <w:rPr>
          <w:rFonts w:ascii="Times New Roman" w:cs="Times New Roman" w:eastAsia="Times New Roman" w:hAnsi="Times New Roman"/>
          <w:sz w:val="21"/>
          <w:szCs w:val="21"/>
          <w:color w:val="auto"/>
        </w:rPr>
        <w:t>upon</w:t>
      </w:r>
      <w:r>
        <w:rPr>
          <w:rFonts w:ascii="Times New Roman" w:cs="Times New Roman" w:eastAsia="Times New Roman" w:hAnsi="Times New Roman"/>
          <w:sz w:val="20"/>
          <w:szCs w:val="20"/>
          <w:color w:val="auto"/>
        </w:rPr>
        <w:t xml:space="preserve"> settlement </w:t>
      </w:r>
      <w:r>
        <w:rPr>
          <w:rFonts w:ascii="Times New Roman" w:cs="Times New Roman" w:eastAsia="Times New Roman" w:hAnsi="Times New Roman"/>
          <w:sz w:val="21"/>
          <w:szCs w:val="21"/>
          <w:color w:val="auto"/>
        </w:rPr>
        <w:t>of the PSUs</w:t>
      </w:r>
      <w:r>
        <w:rPr>
          <w:rFonts w:ascii="Times New Roman" w:cs="Times New Roman" w:eastAsia="Times New Roman" w:hAnsi="Times New Roman"/>
          <w:sz w:val="20"/>
          <w:szCs w:val="20"/>
          <w:color w:val="auto"/>
        </w:rPr>
        <w:t xml:space="preserve"> either through a voluntary </w:t>
      </w:r>
      <w:r>
        <w:rPr>
          <w:rFonts w:ascii="Times New Roman" w:cs="Times New Roman" w:eastAsia="Times New Roman" w:hAnsi="Times New Roman"/>
          <w:sz w:val="21"/>
          <w:szCs w:val="21"/>
          <w:color w:val="auto"/>
        </w:rPr>
        <w:t>sale</w:t>
      </w:r>
      <w:r>
        <w:rPr>
          <w:rFonts w:ascii="Times New Roman" w:cs="Times New Roman" w:eastAsia="Times New Roman" w:hAnsi="Times New Roman"/>
          <w:sz w:val="20"/>
          <w:szCs w:val="20"/>
          <w:color w:val="auto"/>
        </w:rPr>
        <w:t xml:space="preserve"> or through a </w:t>
      </w:r>
      <w:r>
        <w:rPr>
          <w:rFonts w:ascii="Times New Roman" w:cs="Times New Roman" w:eastAsia="Times New Roman" w:hAnsi="Times New Roman"/>
          <w:sz w:val="21"/>
          <w:szCs w:val="21"/>
          <w:color w:val="auto"/>
        </w:rPr>
        <w:t>mandatory</w:t>
      </w:r>
      <w:r>
        <w:rPr>
          <w:rFonts w:ascii="Times New Roman" w:cs="Times New Roman" w:eastAsia="Times New Roman" w:hAnsi="Times New Roman"/>
          <w:sz w:val="20"/>
          <w:szCs w:val="20"/>
          <w:color w:val="auto"/>
        </w:rPr>
        <w:t xml:space="preserve"> sale arranged by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Company (on your behalf pursuant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this authorization </w:t>
      </w:r>
      <w:r>
        <w:rPr>
          <w:rFonts w:ascii="Times New Roman" w:cs="Times New Roman" w:eastAsia="Times New Roman" w:hAnsi="Times New Roman"/>
          <w:sz w:val="21"/>
          <w:szCs w:val="21"/>
          <w:color w:val="auto"/>
        </w:rPr>
        <w:t>without</w:t>
      </w:r>
      <w:r>
        <w:rPr>
          <w:rFonts w:ascii="Times New Roman" w:cs="Times New Roman" w:eastAsia="Times New Roman" w:hAnsi="Times New Roman"/>
          <w:sz w:val="20"/>
          <w:szCs w:val="20"/>
          <w:color w:val="auto"/>
        </w:rPr>
        <w:t xml:space="preserve"> further consent); (4) withholding a </w:t>
      </w:r>
      <w:r>
        <w:rPr>
          <w:rFonts w:ascii="Times New Roman" w:cs="Times New Roman" w:eastAsia="Times New Roman" w:hAnsi="Times New Roman"/>
          <w:sz w:val="21"/>
          <w:szCs w:val="21"/>
          <w:color w:val="auto"/>
        </w:rPr>
        <w:t>number of</w:t>
      </w:r>
      <w:r>
        <w:rPr>
          <w:rFonts w:ascii="Times New Roman" w:cs="Times New Roman" w:eastAsia="Times New Roman" w:hAnsi="Times New Roman"/>
          <w:sz w:val="20"/>
          <w:szCs w:val="20"/>
          <w:color w:val="auto"/>
        </w:rPr>
        <w:t xml:space="preserve"> Shares</w:t>
      </w: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otherwise </w:t>
      </w:r>
      <w:r>
        <w:rPr>
          <w:rFonts w:ascii="Times New Roman" w:cs="Times New Roman" w:eastAsia="Times New Roman" w:hAnsi="Times New Roman"/>
          <w:sz w:val="19"/>
          <w:szCs w:val="19"/>
          <w:color w:val="auto"/>
        </w:rPr>
        <w:t>issuable</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19"/>
          <w:szCs w:val="19"/>
          <w:color w:val="auto"/>
        </w:rPr>
        <w:t>you upon settlement</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19"/>
          <w:szCs w:val="19"/>
          <w:color w:val="auto"/>
        </w:rPr>
        <w:t>the Performance Share Units;</w:t>
      </w:r>
      <w:r>
        <w:rPr>
          <w:rFonts w:ascii="Times New Roman" w:cs="Times New Roman" w:eastAsia="Times New Roman" w:hAnsi="Times New Roman"/>
          <w:sz w:val="22"/>
          <w:szCs w:val="22"/>
          <w:color w:val="auto"/>
        </w:rPr>
        <w:t xml:space="preserve"> or (5) </w:t>
      </w:r>
      <w:r>
        <w:rPr>
          <w:rFonts w:ascii="Times New Roman" w:cs="Times New Roman" w:eastAsia="Times New Roman" w:hAnsi="Times New Roman"/>
          <w:sz w:val="19"/>
          <w:szCs w:val="19"/>
          <w:color w:val="auto"/>
        </w:rPr>
        <w:t>any other method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19"/>
          <w:szCs w:val="19"/>
          <w:color w:val="auto"/>
        </w:rPr>
        <w:t>withholding determined</w:t>
      </w:r>
      <w:r>
        <w:rPr>
          <w:rFonts w:ascii="Times New Roman" w:cs="Times New Roman" w:eastAsia="Times New Roman" w:hAnsi="Times New Roman"/>
          <w:sz w:val="22"/>
          <w:szCs w:val="22"/>
          <w:color w:val="auto"/>
        </w:rPr>
        <w:t xml:space="preserve"> by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2"/>
          <w:szCs w:val="22"/>
          <w:color w:val="auto"/>
        </w:rPr>
        <w:t xml:space="preserve"> Company and, to the </w:t>
      </w:r>
      <w:r>
        <w:rPr>
          <w:rFonts w:ascii="Times New Roman" w:cs="Times New Roman" w:eastAsia="Times New Roman" w:hAnsi="Times New Roman"/>
          <w:sz w:val="19"/>
          <w:szCs w:val="19"/>
          <w:color w:val="auto"/>
        </w:rPr>
        <w:t>extent required</w:t>
      </w:r>
      <w:r>
        <w:rPr>
          <w:rFonts w:ascii="Times New Roman" w:cs="Times New Roman" w:eastAsia="Times New Roman" w:hAnsi="Times New Roman"/>
          <w:sz w:val="22"/>
          <w:szCs w:val="22"/>
          <w:color w:val="auto"/>
        </w:rPr>
        <w:t xml:space="preserve"> by applicable </w:t>
      </w:r>
      <w:r>
        <w:rPr>
          <w:rFonts w:ascii="Times New Roman" w:cs="Times New Roman" w:eastAsia="Times New Roman" w:hAnsi="Times New Roman"/>
          <w:sz w:val="19"/>
          <w:szCs w:val="19"/>
          <w:color w:val="auto"/>
        </w:rPr>
        <w:t>law, approved</w:t>
      </w:r>
      <w:r>
        <w:rPr>
          <w:rFonts w:ascii="Times New Roman" w:cs="Times New Roman" w:eastAsia="Times New Roman" w:hAnsi="Times New Roman"/>
          <w:sz w:val="22"/>
          <w:szCs w:val="22"/>
          <w:color w:val="auto"/>
        </w:rPr>
        <w:t xml:space="preserve"> by the Committee.</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1"/>
          <w:szCs w:val="21"/>
          <w:color w:val="auto"/>
        </w:rPr>
        <w:t>The Company may</w:t>
      </w:r>
      <w:r>
        <w:rPr>
          <w:rFonts w:ascii="Times New Roman" w:cs="Times New Roman" w:eastAsia="Times New Roman" w:hAnsi="Times New Roman"/>
          <w:sz w:val="20"/>
          <w:szCs w:val="20"/>
          <w:color w:val="auto"/>
        </w:rPr>
        <w:t xml:space="preserve"> withhold or account </w:t>
      </w:r>
      <w:r>
        <w:rPr>
          <w:rFonts w:ascii="Times New Roman" w:cs="Times New Roman" w:eastAsia="Times New Roman" w:hAnsi="Times New Roman"/>
          <w:sz w:val="21"/>
          <w:szCs w:val="21"/>
          <w:color w:val="auto"/>
        </w:rPr>
        <w:t>for</w:t>
      </w:r>
      <w:r>
        <w:rPr>
          <w:rFonts w:ascii="Times New Roman" w:cs="Times New Roman" w:eastAsia="Times New Roman" w:hAnsi="Times New Roman"/>
          <w:sz w:val="20"/>
          <w:szCs w:val="20"/>
          <w:color w:val="auto"/>
        </w:rPr>
        <w:t xml:space="preserve"> Tax-Related Items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considering </w:t>
      </w:r>
      <w:r>
        <w:rPr>
          <w:rFonts w:ascii="Times New Roman" w:cs="Times New Roman" w:eastAsia="Times New Roman" w:hAnsi="Times New Roman"/>
          <w:sz w:val="21"/>
          <w:szCs w:val="21"/>
          <w:color w:val="auto"/>
        </w:rPr>
        <w:t>statutory</w:t>
      </w: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1"/>
          <w:szCs w:val="21"/>
          <w:color w:val="auto"/>
        </w:rPr>
        <w:t>other</w:t>
      </w:r>
      <w:r>
        <w:rPr>
          <w:rFonts w:ascii="Times New Roman" w:cs="Times New Roman" w:eastAsia="Times New Roman" w:hAnsi="Times New Roman"/>
          <w:sz w:val="20"/>
          <w:szCs w:val="20"/>
          <w:color w:val="auto"/>
        </w:rPr>
        <w:t xml:space="preserve"> withholding </w:t>
      </w:r>
      <w:r>
        <w:rPr>
          <w:rFonts w:ascii="Times New Roman" w:cs="Times New Roman" w:eastAsia="Times New Roman" w:hAnsi="Times New Roman"/>
          <w:sz w:val="21"/>
          <w:szCs w:val="21"/>
          <w:color w:val="auto"/>
        </w:rPr>
        <w:t>rates,</w:t>
      </w:r>
      <w:r>
        <w:rPr>
          <w:rFonts w:ascii="Times New Roman" w:cs="Times New Roman" w:eastAsia="Times New Roman" w:hAnsi="Times New Roman"/>
          <w:sz w:val="20"/>
          <w:szCs w:val="20"/>
          <w:color w:val="auto"/>
        </w:rPr>
        <w:t xml:space="preserve"> including minimum </w:t>
      </w:r>
      <w:r>
        <w:rPr>
          <w:rFonts w:ascii="Times New Roman" w:cs="Times New Roman" w:eastAsia="Times New Roman" w:hAnsi="Times New Roman"/>
          <w:sz w:val="21"/>
          <w:szCs w:val="21"/>
          <w:color w:val="auto"/>
        </w:rPr>
        <w:t>or maximum rates</w:t>
      </w:r>
      <w:r>
        <w:rPr>
          <w:rFonts w:ascii="Times New Roman" w:cs="Times New Roman" w:eastAsia="Times New Roman" w:hAnsi="Times New Roman"/>
          <w:sz w:val="20"/>
          <w:szCs w:val="20"/>
          <w:color w:val="auto"/>
        </w:rPr>
        <w:t xml:space="preserve"> applicable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your jurisdiction(s). In </w:t>
      </w:r>
      <w:r>
        <w:rPr>
          <w:rFonts w:ascii="Times New Roman" w:cs="Times New Roman" w:eastAsia="Times New Roman" w:hAnsi="Times New Roman"/>
          <w:sz w:val="21"/>
          <w:szCs w:val="21"/>
          <w:color w:val="auto"/>
        </w:rPr>
        <w:t>the event of</w:t>
      </w:r>
      <w:r>
        <w:rPr>
          <w:rFonts w:ascii="Times New Roman" w:cs="Times New Roman" w:eastAsia="Times New Roman" w:hAnsi="Times New Roman"/>
          <w:sz w:val="20"/>
          <w:szCs w:val="20"/>
          <w:color w:val="auto"/>
        </w:rPr>
        <w:t xml:space="preserve"> over-withholding, </w:t>
      </w:r>
      <w:r>
        <w:rPr>
          <w:rFonts w:ascii="Times New Roman" w:cs="Times New Roman" w:eastAsia="Times New Roman" w:hAnsi="Times New Roman"/>
          <w:sz w:val="21"/>
          <w:szCs w:val="21"/>
          <w:color w:val="auto"/>
        </w:rPr>
        <w:t xml:space="preserve">you may </w:t>
      </w:r>
      <w:r>
        <w:rPr>
          <w:rFonts w:ascii="Times New Roman" w:cs="Times New Roman" w:eastAsia="Times New Roman" w:hAnsi="Times New Roman"/>
          <w:sz w:val="19"/>
          <w:szCs w:val="19"/>
          <w:color w:val="auto"/>
        </w:rPr>
        <w:t>receive a refund of any</w:t>
      </w:r>
      <w:r>
        <w:rPr>
          <w:rFonts w:ascii="Times New Roman" w:cs="Times New Roman" w:eastAsia="Times New Roman" w:hAnsi="Times New Roman"/>
          <w:sz w:val="21"/>
          <w:szCs w:val="21"/>
          <w:color w:val="auto"/>
        </w:rPr>
        <w:t xml:space="preserve"> over-withheld </w:t>
      </w:r>
      <w:r>
        <w:rPr>
          <w:rFonts w:ascii="Times New Roman" w:cs="Times New Roman" w:eastAsia="Times New Roman" w:hAnsi="Times New Roman"/>
          <w:sz w:val="19"/>
          <w:szCs w:val="19"/>
          <w:color w:val="auto"/>
        </w:rPr>
        <w:t>amount</w:t>
      </w:r>
      <w:r>
        <w:rPr>
          <w:rFonts w:ascii="Times New Roman" w:cs="Times New Roman" w:eastAsia="Times New Roman" w:hAnsi="Times New Roman"/>
          <w:sz w:val="21"/>
          <w:szCs w:val="21"/>
          <w:color w:val="auto"/>
        </w:rPr>
        <w:t xml:space="preserve"> in cash </w:t>
      </w:r>
      <w:r>
        <w:rPr>
          <w:rFonts w:ascii="Times New Roman" w:cs="Times New Roman" w:eastAsia="Times New Roman" w:hAnsi="Times New Roman"/>
          <w:sz w:val="19"/>
          <w:szCs w:val="19"/>
          <w:color w:val="auto"/>
        </w:rPr>
        <w:t>(with</w:t>
      </w:r>
      <w:r>
        <w:rPr>
          <w:rFonts w:ascii="Times New Roman" w:cs="Times New Roman" w:eastAsia="Times New Roman" w:hAnsi="Times New Roman"/>
          <w:sz w:val="21"/>
          <w:szCs w:val="21"/>
          <w:color w:val="auto"/>
        </w:rPr>
        <w:t xml:space="preserve"> no </w:t>
      </w:r>
      <w:r>
        <w:rPr>
          <w:rFonts w:ascii="Times New Roman" w:cs="Times New Roman" w:eastAsia="Times New Roman" w:hAnsi="Times New Roman"/>
          <w:sz w:val="19"/>
          <w:szCs w:val="19"/>
          <w:color w:val="auto"/>
        </w:rPr>
        <w:t>entitlement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the equivalent</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19"/>
          <w:szCs w:val="19"/>
          <w:color w:val="auto"/>
        </w:rPr>
        <w:t>Shares), or if</w:t>
      </w:r>
      <w:r>
        <w:rPr>
          <w:rFonts w:ascii="Times New Roman" w:cs="Times New Roman" w:eastAsia="Times New Roman" w:hAnsi="Times New Roman"/>
          <w:sz w:val="21"/>
          <w:szCs w:val="21"/>
          <w:color w:val="auto"/>
        </w:rPr>
        <w:t xml:space="preserve"> not </w:t>
      </w:r>
      <w:r>
        <w:rPr>
          <w:rFonts w:ascii="Times New Roman" w:cs="Times New Roman" w:eastAsia="Times New Roman" w:hAnsi="Times New Roman"/>
          <w:sz w:val="19"/>
          <w:szCs w:val="19"/>
          <w:color w:val="auto"/>
        </w:rPr>
        <w:t>refunded,</w:t>
      </w:r>
      <w:r>
        <w:rPr>
          <w:rFonts w:ascii="Times New Roman" w:cs="Times New Roman" w:eastAsia="Times New Roman" w:hAnsi="Times New Roman"/>
          <w:sz w:val="21"/>
          <w:szCs w:val="21"/>
          <w:color w:val="auto"/>
        </w:rPr>
        <w:t xml:space="preserve"> you </w:t>
      </w:r>
      <w:r>
        <w:rPr>
          <w:rFonts w:ascii="Times New Roman" w:cs="Times New Roman" w:eastAsia="Times New Roman" w:hAnsi="Times New Roman"/>
          <w:sz w:val="19"/>
          <w:szCs w:val="19"/>
          <w:color w:val="auto"/>
        </w:rPr>
        <w:t xml:space="preserve">may seek a refund from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9"/>
          <w:szCs w:val="19"/>
          <w:color w:val="auto"/>
        </w:rPr>
        <w:t xml:space="preserve"> local </w:t>
      </w:r>
      <w:r>
        <w:rPr>
          <w:rFonts w:ascii="Times New Roman" w:cs="Times New Roman" w:eastAsia="Times New Roman" w:hAnsi="Times New Roman"/>
          <w:sz w:val="21"/>
          <w:szCs w:val="21"/>
          <w:color w:val="auto"/>
        </w:rPr>
        <w:t>tax</w:t>
      </w:r>
      <w:r>
        <w:rPr>
          <w:rFonts w:ascii="Times New Roman" w:cs="Times New Roman" w:eastAsia="Times New Roman" w:hAnsi="Times New Roman"/>
          <w:sz w:val="19"/>
          <w:szCs w:val="19"/>
          <w:color w:val="auto"/>
        </w:rPr>
        <w:t xml:space="preserve"> authorities </w:t>
      </w:r>
      <w:r>
        <w:rPr>
          <w:rFonts w:ascii="Times New Roman" w:cs="Times New Roman" w:eastAsia="Times New Roman" w:hAnsi="Times New Roman"/>
          <w:sz w:val="21"/>
          <w:szCs w:val="21"/>
          <w:color w:val="auto"/>
        </w:rPr>
        <w:t>to the</w:t>
      </w:r>
      <w:r>
        <w:rPr>
          <w:rFonts w:ascii="Times New Roman" w:cs="Times New Roman" w:eastAsia="Times New Roman" w:hAnsi="Times New Roman"/>
          <w:sz w:val="19"/>
          <w:szCs w:val="19"/>
          <w:color w:val="auto"/>
        </w:rPr>
        <w:t xml:space="preserve"> extent </w:t>
      </w:r>
      <w:r>
        <w:rPr>
          <w:rFonts w:ascii="Times New Roman" w:cs="Times New Roman" w:eastAsia="Times New Roman" w:hAnsi="Times New Roman"/>
          <w:sz w:val="21"/>
          <w:szCs w:val="21"/>
          <w:color w:val="auto"/>
        </w:rPr>
        <w:t>you</w:t>
      </w:r>
      <w:r>
        <w:rPr>
          <w:rFonts w:ascii="Times New Roman" w:cs="Times New Roman" w:eastAsia="Times New Roman" w:hAnsi="Times New Roman"/>
          <w:sz w:val="19"/>
          <w:szCs w:val="19"/>
          <w:color w:val="auto"/>
        </w:rPr>
        <w:t xml:space="preserve"> wish </w:t>
      </w:r>
      <w:r>
        <w:rPr>
          <w:rFonts w:ascii="Times New Roman" w:cs="Times New Roman" w:eastAsia="Times New Roman" w:hAnsi="Times New Roman"/>
          <w:sz w:val="21"/>
          <w:szCs w:val="21"/>
          <w:color w:val="auto"/>
        </w:rPr>
        <w:t>to</w:t>
      </w:r>
      <w:r>
        <w:rPr>
          <w:rFonts w:ascii="Times New Roman" w:cs="Times New Roman" w:eastAsia="Times New Roman" w:hAnsi="Times New Roman"/>
          <w:sz w:val="19"/>
          <w:szCs w:val="19"/>
          <w:color w:val="auto"/>
        </w:rPr>
        <w:t xml:space="preserve"> recover any </w:t>
      </w:r>
      <w:r>
        <w:rPr>
          <w:rFonts w:ascii="Times New Roman" w:cs="Times New Roman" w:eastAsia="Times New Roman" w:hAnsi="Times New Roman"/>
          <w:sz w:val="21"/>
          <w:szCs w:val="21"/>
          <w:color w:val="auto"/>
        </w:rPr>
        <w:t>over-withheld</w:t>
      </w:r>
      <w:r>
        <w:rPr>
          <w:rFonts w:ascii="Times New Roman" w:cs="Times New Roman" w:eastAsia="Times New Roman" w:hAnsi="Times New Roman"/>
          <w:sz w:val="19"/>
          <w:szCs w:val="19"/>
          <w:color w:val="auto"/>
        </w:rPr>
        <w:t xml:space="preserve"> amounts </w:t>
      </w:r>
      <w:r>
        <w:rPr>
          <w:rFonts w:ascii="Times New Roman" w:cs="Times New Roman" w:eastAsia="Times New Roman" w:hAnsi="Times New Roman"/>
          <w:sz w:val="21"/>
          <w:szCs w:val="21"/>
          <w:color w:val="auto"/>
        </w:rPr>
        <w:t>in</w:t>
      </w:r>
      <w:r>
        <w:rPr>
          <w:rFonts w:ascii="Times New Roman" w:cs="Times New Roman" w:eastAsia="Times New Roman" w:hAnsi="Times New Roman"/>
          <w:sz w:val="19"/>
          <w:szCs w:val="19"/>
          <w:color w:val="auto"/>
        </w:rPr>
        <w:t xml:space="preserve"> the form of a </w:t>
      </w:r>
      <w:r>
        <w:rPr>
          <w:rFonts w:ascii="Times New Roman" w:cs="Times New Roman" w:eastAsia="Times New Roman" w:hAnsi="Times New Roman"/>
          <w:sz w:val="21"/>
          <w:szCs w:val="21"/>
          <w:color w:val="auto"/>
        </w:rPr>
        <w:t>refund.</w:t>
      </w:r>
      <w:r>
        <w:rPr>
          <w:rFonts w:ascii="Times New Roman" w:cs="Times New Roman" w:eastAsia="Times New Roman" w:hAnsi="Times New Roman"/>
          <w:sz w:val="19"/>
          <w:szCs w:val="19"/>
          <w:color w:val="auto"/>
        </w:rPr>
        <w:t xml:space="preserve"> In </w:t>
      </w:r>
      <w:r>
        <w:rPr>
          <w:rFonts w:ascii="Times New Roman" w:cs="Times New Roman" w:eastAsia="Times New Roman" w:hAnsi="Times New Roman"/>
          <w:sz w:val="21"/>
          <w:szCs w:val="21"/>
          <w:color w:val="auto"/>
        </w:rPr>
        <w:t xml:space="preserve">the event of </w:t>
      </w:r>
      <w:r>
        <w:rPr>
          <w:rFonts w:ascii="Times New Roman" w:cs="Times New Roman" w:eastAsia="Times New Roman" w:hAnsi="Times New Roman"/>
          <w:sz w:val="19"/>
          <w:szCs w:val="19"/>
          <w:color w:val="auto"/>
        </w:rPr>
        <w:t>under-withholding,</w:t>
      </w:r>
      <w:r>
        <w:rPr>
          <w:rFonts w:ascii="Times New Roman" w:cs="Times New Roman" w:eastAsia="Times New Roman" w:hAnsi="Times New Roman"/>
          <w:sz w:val="21"/>
          <w:szCs w:val="21"/>
          <w:color w:val="auto"/>
        </w:rPr>
        <w:t xml:space="preserve"> you may be </w:t>
      </w:r>
      <w:r>
        <w:rPr>
          <w:rFonts w:ascii="Times New Roman" w:cs="Times New Roman" w:eastAsia="Times New Roman" w:hAnsi="Times New Roman"/>
          <w:sz w:val="19"/>
          <w:szCs w:val="19"/>
          <w:color w:val="auto"/>
        </w:rPr>
        <w:t>required</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pay</w:t>
      </w:r>
      <w:r>
        <w:rPr>
          <w:rFonts w:ascii="Times New Roman" w:cs="Times New Roman" w:eastAsia="Times New Roman" w:hAnsi="Times New Roman"/>
          <w:sz w:val="21"/>
          <w:szCs w:val="21"/>
          <w:color w:val="auto"/>
        </w:rPr>
        <w:t xml:space="preserve"> any </w:t>
      </w:r>
      <w:r>
        <w:rPr>
          <w:rFonts w:ascii="Times New Roman" w:cs="Times New Roman" w:eastAsia="Times New Roman" w:hAnsi="Times New Roman"/>
          <w:sz w:val="19"/>
          <w:szCs w:val="19"/>
          <w:color w:val="auto"/>
        </w:rPr>
        <w:t>additional</w:t>
      </w:r>
      <w:r>
        <w:rPr>
          <w:rFonts w:ascii="Times New Roman" w:cs="Times New Roman" w:eastAsia="Times New Roman" w:hAnsi="Times New Roman"/>
          <w:sz w:val="21"/>
          <w:szCs w:val="21"/>
          <w:color w:val="auto"/>
        </w:rPr>
        <w:t xml:space="preserve"> Tax-Related </w:t>
      </w:r>
      <w:r>
        <w:rPr>
          <w:rFonts w:ascii="Times New Roman" w:cs="Times New Roman" w:eastAsia="Times New Roman" w:hAnsi="Times New Roman"/>
          <w:sz w:val="19"/>
          <w:szCs w:val="19"/>
          <w:color w:val="auto"/>
        </w:rPr>
        <w:t>Items directly</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the applicable</w:t>
      </w:r>
      <w:r>
        <w:rPr>
          <w:rFonts w:ascii="Times New Roman" w:cs="Times New Roman" w:eastAsia="Times New Roman" w:hAnsi="Times New Roman"/>
          <w:sz w:val="21"/>
          <w:szCs w:val="21"/>
          <w:color w:val="auto"/>
        </w:rPr>
        <w:t xml:space="preserve"> tax authority or</w:t>
      </w:r>
    </w:p>
    <w:p>
      <w:pPr>
        <w:jc w:val="both"/>
        <w:ind w:right="20"/>
        <w:spacing w:after="0" w:line="235" w:lineRule="auto"/>
        <w:rPr>
          <w:sz w:val="20"/>
          <w:szCs w:val="20"/>
          <w:color w:val="auto"/>
        </w:rPr>
      </w:pPr>
      <w:r>
        <w:rPr>
          <w:rFonts w:ascii="Times New Roman" w:cs="Times New Roman" w:eastAsia="Times New Roman" w:hAnsi="Times New Roman"/>
          <w:sz w:val="20"/>
          <w:szCs w:val="20"/>
          <w:color w:val="auto"/>
        </w:rPr>
        <w:t xml:space="preserve">to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Company and/or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Employer. If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obligation </w:t>
      </w:r>
      <w:r>
        <w:rPr>
          <w:rFonts w:ascii="Times New Roman" w:cs="Times New Roman" w:eastAsia="Times New Roman" w:hAnsi="Times New Roman"/>
          <w:sz w:val="21"/>
          <w:szCs w:val="21"/>
          <w:color w:val="auto"/>
        </w:rPr>
        <w:t>for Tax-Related</w:t>
      </w:r>
      <w:r>
        <w:rPr>
          <w:rFonts w:ascii="Times New Roman" w:cs="Times New Roman" w:eastAsia="Times New Roman" w:hAnsi="Times New Roman"/>
          <w:sz w:val="20"/>
          <w:szCs w:val="20"/>
          <w:color w:val="auto"/>
        </w:rPr>
        <w:t xml:space="preserve"> Items </w:t>
      </w:r>
      <w:r>
        <w:rPr>
          <w:rFonts w:ascii="Times New Roman" w:cs="Times New Roman" w:eastAsia="Times New Roman" w:hAnsi="Times New Roman"/>
          <w:sz w:val="21"/>
          <w:szCs w:val="21"/>
          <w:color w:val="auto"/>
        </w:rPr>
        <w:t>is</w:t>
      </w:r>
      <w:r>
        <w:rPr>
          <w:rFonts w:ascii="Times New Roman" w:cs="Times New Roman" w:eastAsia="Times New Roman" w:hAnsi="Times New Roman"/>
          <w:sz w:val="20"/>
          <w:szCs w:val="20"/>
          <w:color w:val="auto"/>
        </w:rPr>
        <w:t xml:space="preserve"> satisfied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withholding a </w:t>
      </w:r>
      <w:r>
        <w:rPr>
          <w:rFonts w:ascii="Times New Roman" w:cs="Times New Roman" w:eastAsia="Times New Roman" w:hAnsi="Times New Roman"/>
          <w:sz w:val="21"/>
          <w:szCs w:val="21"/>
          <w:color w:val="auto"/>
        </w:rPr>
        <w:t>number of</w:t>
      </w:r>
      <w:r>
        <w:rPr>
          <w:rFonts w:ascii="Times New Roman" w:cs="Times New Roman" w:eastAsia="Times New Roman" w:hAnsi="Times New Roman"/>
          <w:sz w:val="20"/>
          <w:szCs w:val="20"/>
          <w:color w:val="auto"/>
        </w:rPr>
        <w:t xml:space="preserve"> Shares, for tax </w:t>
      </w:r>
      <w:r>
        <w:rPr>
          <w:rFonts w:ascii="Times New Roman" w:cs="Times New Roman" w:eastAsia="Times New Roman" w:hAnsi="Times New Roman"/>
          <w:sz w:val="21"/>
          <w:szCs w:val="21"/>
          <w:color w:val="auto"/>
        </w:rPr>
        <w:t xml:space="preserve">purposes, you </w:t>
      </w:r>
      <w:r>
        <w:rPr>
          <w:rFonts w:ascii="Times New Roman" w:cs="Times New Roman" w:eastAsia="Times New Roman" w:hAnsi="Times New Roman"/>
          <w:sz w:val="19"/>
          <w:szCs w:val="19"/>
          <w:color w:val="auto"/>
        </w:rPr>
        <w:t>will be</w:t>
      </w:r>
      <w:r>
        <w:rPr>
          <w:rFonts w:ascii="Times New Roman" w:cs="Times New Roman" w:eastAsia="Times New Roman" w:hAnsi="Times New Roman"/>
          <w:sz w:val="21"/>
          <w:szCs w:val="21"/>
          <w:color w:val="auto"/>
        </w:rPr>
        <w:t xml:space="preserve"> deemed</w:t>
      </w:r>
    </w:p>
    <w:p>
      <w:pPr>
        <w:sectPr>
          <w:pgSz w:w="11900" w:h="16838" w:orient="portrait"/>
          <w:cols w:equalWidth="0" w:num="1">
            <w:col w:w="11240"/>
          </w:cols>
          <w:pgMar w:left="320" w:top="11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19"/>
          <w:szCs w:val="19"/>
          <w:color w:val="auto"/>
        </w:rPr>
        <w:t>have been issued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19"/>
          <w:szCs w:val="19"/>
          <w:color w:val="auto"/>
        </w:rPr>
        <w:t>full number of Shares subject</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2"/>
          <w:szCs w:val="22"/>
          <w:color w:val="auto"/>
        </w:rPr>
        <w:t xml:space="preserve"> settled PSUs, </w:t>
      </w:r>
      <w:r>
        <w:rPr>
          <w:rFonts w:ascii="Times New Roman" w:cs="Times New Roman" w:eastAsia="Times New Roman" w:hAnsi="Times New Roman"/>
          <w:sz w:val="19"/>
          <w:szCs w:val="19"/>
          <w:color w:val="auto"/>
        </w:rPr>
        <w:t>notwithstanding</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19"/>
          <w:szCs w:val="19"/>
          <w:color w:val="auto"/>
        </w:rPr>
        <w:t>a number</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19"/>
          <w:szCs w:val="19"/>
          <w:color w:val="auto"/>
        </w:rPr>
        <w:t>the Shares</w:t>
      </w:r>
      <w:r>
        <w:rPr>
          <w:rFonts w:ascii="Times New Roman" w:cs="Times New Roman" w:eastAsia="Times New Roman" w:hAnsi="Times New Roman"/>
          <w:sz w:val="22"/>
          <w:szCs w:val="22"/>
          <w:color w:val="auto"/>
        </w:rPr>
        <w:t xml:space="preserve"> is </w:t>
      </w:r>
      <w:r>
        <w:rPr>
          <w:rFonts w:ascii="Times New Roman" w:cs="Times New Roman" w:eastAsia="Times New Roman" w:hAnsi="Times New Roman"/>
          <w:sz w:val="19"/>
          <w:szCs w:val="19"/>
          <w:color w:val="auto"/>
        </w:rPr>
        <w:t>held back solely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for the purpose of paying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9"/>
          <w:szCs w:val="19"/>
          <w:color w:val="auto"/>
        </w:rPr>
        <w:t xml:space="preserve"> Tax-Related Items.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9"/>
          <w:szCs w:val="19"/>
          <w:color w:val="auto"/>
        </w:rPr>
        <w:t xml:space="preserve"> Company may refuse </w:t>
      </w:r>
      <w:r>
        <w:rPr>
          <w:rFonts w:ascii="Times New Roman" w:cs="Times New Roman" w:eastAsia="Times New Roman" w:hAnsi="Times New Roman"/>
          <w:sz w:val="21"/>
          <w:szCs w:val="21"/>
          <w:color w:val="auto"/>
        </w:rPr>
        <w:t>to issue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21"/>
          <w:szCs w:val="21"/>
          <w:color w:val="auto"/>
        </w:rPr>
        <w:t>deliver</w:t>
      </w:r>
      <w:r>
        <w:rPr>
          <w:rFonts w:ascii="Times New Roman" w:cs="Times New Roman" w:eastAsia="Times New Roman" w:hAnsi="Times New Roman"/>
          <w:sz w:val="19"/>
          <w:szCs w:val="19"/>
          <w:color w:val="auto"/>
        </w:rPr>
        <w:t xml:space="preserve"> Shares, </w:t>
      </w:r>
      <w:r>
        <w:rPr>
          <w:rFonts w:ascii="Times New Roman" w:cs="Times New Roman" w:eastAsia="Times New Roman" w:hAnsi="Times New Roman"/>
          <w:sz w:val="21"/>
          <w:szCs w:val="21"/>
          <w:color w:val="auto"/>
        </w:rPr>
        <w:t>or the</w:t>
      </w:r>
      <w:r>
        <w:rPr>
          <w:rFonts w:ascii="Times New Roman" w:cs="Times New Roman" w:eastAsia="Times New Roman" w:hAnsi="Times New Roman"/>
          <w:sz w:val="19"/>
          <w:szCs w:val="19"/>
          <w:color w:val="auto"/>
        </w:rPr>
        <w:t xml:space="preserve"> proceeds of the </w:t>
      </w:r>
      <w:r>
        <w:rPr>
          <w:rFonts w:ascii="Times New Roman" w:cs="Times New Roman" w:eastAsia="Times New Roman" w:hAnsi="Times New Roman"/>
          <w:sz w:val="21"/>
          <w:szCs w:val="21"/>
          <w:color w:val="auto"/>
        </w:rPr>
        <w:t>sale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Shares, if you </w:t>
      </w:r>
      <w:r>
        <w:rPr>
          <w:rFonts w:ascii="Times New Roman" w:cs="Times New Roman" w:eastAsia="Times New Roman" w:hAnsi="Times New Roman"/>
          <w:sz w:val="19"/>
          <w:szCs w:val="19"/>
          <w:color w:val="auto"/>
        </w:rPr>
        <w:t>fail</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comply with</w:t>
      </w:r>
      <w:r>
        <w:rPr>
          <w:rFonts w:ascii="Times New Roman" w:cs="Times New Roman" w:eastAsia="Times New Roman" w:hAnsi="Times New Roman"/>
          <w:sz w:val="21"/>
          <w:szCs w:val="21"/>
          <w:color w:val="auto"/>
        </w:rPr>
        <w:t xml:space="preserve"> your </w:t>
      </w:r>
      <w:r>
        <w:rPr>
          <w:rFonts w:ascii="Times New Roman" w:cs="Times New Roman" w:eastAsia="Times New Roman" w:hAnsi="Times New Roman"/>
          <w:sz w:val="19"/>
          <w:szCs w:val="19"/>
          <w:color w:val="auto"/>
        </w:rPr>
        <w:t>obligations</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19"/>
          <w:szCs w:val="19"/>
          <w:color w:val="auto"/>
        </w:rPr>
        <w:t>connection</w:t>
      </w:r>
      <w:r>
        <w:rPr>
          <w:rFonts w:ascii="Times New Roman" w:cs="Times New Roman" w:eastAsia="Times New Roman" w:hAnsi="Times New Roman"/>
          <w:sz w:val="21"/>
          <w:szCs w:val="21"/>
          <w:color w:val="auto"/>
        </w:rPr>
        <w:t xml:space="preserve"> with the </w:t>
      </w:r>
      <w:r>
        <w:rPr>
          <w:rFonts w:ascii="Times New Roman" w:cs="Times New Roman" w:eastAsia="Times New Roman" w:hAnsi="Times New Roman"/>
          <w:sz w:val="19"/>
          <w:szCs w:val="19"/>
          <w:color w:val="auto"/>
        </w:rPr>
        <w:t>Tax-Related</w:t>
      </w:r>
      <w:r>
        <w:rPr>
          <w:rFonts w:ascii="Times New Roman" w:cs="Times New Roman" w:eastAsia="Times New Roman" w:hAnsi="Times New Roman"/>
          <w:sz w:val="21"/>
          <w:szCs w:val="21"/>
          <w:color w:val="auto"/>
        </w:rPr>
        <w:t xml:space="preserve"> Items.</w:t>
      </w:r>
    </w:p>
    <w:p>
      <w:pPr>
        <w:spacing w:after="0" w:line="194" w:lineRule="exact"/>
        <w:rPr>
          <w:sz w:val="20"/>
          <w:szCs w:val="20"/>
          <w:color w:val="auto"/>
        </w:rPr>
      </w:pPr>
    </w:p>
    <w:p>
      <w:pPr>
        <w:ind w:left="300" w:hanging="292"/>
        <w:spacing w:after="0"/>
        <w:tabs>
          <w:tab w:leader="none" w:pos="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Company Policies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You acknowledge and agree that </w:t>
      </w:r>
      <w:r>
        <w:rPr>
          <w:rFonts w:ascii="Times New Roman" w:cs="Times New Roman" w:eastAsia="Times New Roman" w:hAnsi="Times New Roman"/>
          <w:sz w:val="21"/>
          <w:szCs w:val="21"/>
          <w:color w:val="auto"/>
        </w:rPr>
        <w:t>this Agreement</w:t>
      </w:r>
      <w:r>
        <w:rPr>
          <w:rFonts w:ascii="Times New Roman" w:cs="Times New Roman" w:eastAsia="Times New Roman" w:hAnsi="Times New Roman"/>
          <w:sz w:val="20"/>
          <w:szCs w:val="20"/>
          <w:color w:val="auto"/>
        </w:rPr>
        <w:t xml:space="preserve"> and the PSUs granted hereunder </w:t>
      </w:r>
      <w:r>
        <w:rPr>
          <w:rFonts w:ascii="Times New Roman" w:cs="Times New Roman" w:eastAsia="Times New Roman" w:hAnsi="Times New Roman"/>
          <w:sz w:val="21"/>
          <w:szCs w:val="21"/>
          <w:color w:val="auto"/>
        </w:rPr>
        <w:t>shall</w:t>
      </w:r>
      <w:r>
        <w:rPr>
          <w:rFonts w:ascii="Times New Roman" w:cs="Times New Roman" w:eastAsia="Times New Roman" w:hAnsi="Times New Roman"/>
          <w:sz w:val="20"/>
          <w:szCs w:val="20"/>
          <w:color w:val="auto"/>
        </w:rPr>
        <w:t xml:space="preserve"> be subject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Company</w:t>
      </w:r>
      <w:r>
        <w:rPr>
          <w:rFonts w:ascii="Times New Roman" w:cs="Times New Roman" w:eastAsia="Times New Roman" w:hAnsi="Times New Roman"/>
          <w:sz w:val="20"/>
          <w:szCs w:val="20"/>
          <w:color w:val="auto"/>
        </w:rPr>
        <w:t>’s Incentive</w:t>
      </w:r>
    </w:p>
    <w:p>
      <w:pPr>
        <w:spacing w:after="0" w:line="1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Compensation </w:t>
      </w:r>
      <w:r>
        <w:rPr>
          <w:rFonts w:ascii="Times New Roman" w:cs="Times New Roman" w:eastAsia="Times New Roman" w:hAnsi="Times New Roman"/>
          <w:sz w:val="19"/>
          <w:szCs w:val="19"/>
          <w:color w:val="auto"/>
        </w:rPr>
        <w:t>Recoupment Policy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19"/>
          <w:szCs w:val="19"/>
          <w:color w:val="auto"/>
        </w:rPr>
        <w:t>any</w:t>
      </w:r>
      <w:r>
        <w:rPr>
          <w:rFonts w:ascii="Times New Roman" w:cs="Times New Roman" w:eastAsia="Times New Roman" w:hAnsi="Times New Roman"/>
          <w:sz w:val="22"/>
          <w:szCs w:val="22"/>
          <w:color w:val="auto"/>
        </w:rPr>
        <w:t xml:space="preserve"> other </w:t>
      </w:r>
      <w:r>
        <w:rPr>
          <w:rFonts w:ascii="Times New Roman" w:cs="Times New Roman" w:eastAsia="Times New Roman" w:hAnsi="Times New Roman"/>
          <w:sz w:val="19"/>
          <w:szCs w:val="19"/>
          <w:color w:val="auto"/>
        </w:rPr>
        <w:t>compensation recoupment</w:t>
      </w:r>
      <w:r>
        <w:rPr>
          <w:rFonts w:ascii="Times New Roman" w:cs="Times New Roman" w:eastAsia="Times New Roman" w:hAnsi="Times New Roman"/>
          <w:sz w:val="22"/>
          <w:szCs w:val="22"/>
          <w:color w:val="auto"/>
        </w:rPr>
        <w:t xml:space="preserve"> policy </w:t>
      </w:r>
      <w:r>
        <w:rPr>
          <w:rFonts w:ascii="Times New Roman" w:cs="Times New Roman" w:eastAsia="Times New Roman" w:hAnsi="Times New Roman"/>
          <w:sz w:val="19"/>
          <w:szCs w:val="19"/>
          <w:color w:val="auto"/>
        </w:rPr>
        <w:t>adopted by</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19"/>
          <w:szCs w:val="19"/>
          <w:color w:val="auto"/>
        </w:rPr>
        <w:t>Company</w:t>
      </w:r>
      <w:r>
        <w:rPr>
          <w:rFonts w:ascii="Times New Roman" w:cs="Times New Roman" w:eastAsia="Times New Roman" w:hAnsi="Times New Roman"/>
          <w:sz w:val="22"/>
          <w:szCs w:val="22"/>
          <w:color w:val="auto"/>
        </w:rPr>
        <w:t xml:space="preserve"> from </w:t>
      </w:r>
      <w:r>
        <w:rPr>
          <w:rFonts w:ascii="Times New Roman" w:cs="Times New Roman" w:eastAsia="Times New Roman" w:hAnsi="Times New Roman"/>
          <w:sz w:val="19"/>
          <w:szCs w:val="19"/>
          <w:color w:val="auto"/>
        </w:rPr>
        <w:t>time</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19"/>
          <w:szCs w:val="19"/>
          <w:color w:val="auto"/>
        </w:rPr>
        <w:t>time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19"/>
          <w:szCs w:val="19"/>
          <w:color w:val="auto"/>
        </w:rPr>
        <w:t>as</w:t>
      </w:r>
      <w:r>
        <w:rPr>
          <w:rFonts w:ascii="Times New Roman" w:cs="Times New Roman" w:eastAsia="Times New Roman" w:hAnsi="Times New Roman"/>
          <w:sz w:val="22"/>
          <w:szCs w:val="22"/>
          <w:color w:val="auto"/>
        </w:rPr>
        <w:t xml:space="preserve"> otherwise required </w:t>
      </w:r>
      <w:r>
        <w:rPr>
          <w:rFonts w:ascii="Times New Roman" w:cs="Times New Roman" w:eastAsia="Times New Roman" w:hAnsi="Times New Roman"/>
          <w:sz w:val="19"/>
          <w:szCs w:val="19"/>
          <w:color w:val="auto"/>
        </w:rPr>
        <w:t>by the listing standards of any</w:t>
      </w:r>
      <w:r>
        <w:rPr>
          <w:rFonts w:ascii="Times New Roman" w:cs="Times New Roman" w:eastAsia="Times New Roman" w:hAnsi="Times New Roman"/>
          <w:sz w:val="22"/>
          <w:szCs w:val="22"/>
          <w:color w:val="auto"/>
        </w:rPr>
        <w:t xml:space="preserve"> national securiti</w:t>
      </w:r>
      <w:r>
        <w:rPr>
          <w:rFonts w:ascii="Times New Roman" w:cs="Times New Roman" w:eastAsia="Times New Roman" w:hAnsi="Times New Roman"/>
          <w:sz w:val="19"/>
          <w:szCs w:val="19"/>
          <w:color w:val="auto"/>
        </w:rPr>
        <w:t>es</w:t>
      </w:r>
      <w:r>
        <w:rPr>
          <w:rFonts w:ascii="Times New Roman" w:cs="Times New Roman" w:eastAsia="Times New Roman" w:hAnsi="Times New Roman"/>
          <w:sz w:val="22"/>
          <w:szCs w:val="22"/>
          <w:color w:val="auto"/>
        </w:rPr>
        <w:t xml:space="preserve"> exchange or </w:t>
      </w:r>
      <w:r>
        <w:rPr>
          <w:rFonts w:ascii="Times New Roman" w:cs="Times New Roman" w:eastAsia="Times New Roman" w:hAnsi="Times New Roman"/>
          <w:sz w:val="19"/>
          <w:szCs w:val="19"/>
          <w:color w:val="auto"/>
        </w:rPr>
        <w:t>association</w:t>
      </w:r>
      <w:r>
        <w:rPr>
          <w:rFonts w:ascii="Times New Roman" w:cs="Times New Roman" w:eastAsia="Times New Roman" w:hAnsi="Times New Roman"/>
          <w:sz w:val="22"/>
          <w:szCs w:val="22"/>
          <w:color w:val="auto"/>
        </w:rPr>
        <w:t xml:space="preserve"> on </w:t>
      </w:r>
      <w:r>
        <w:rPr>
          <w:rFonts w:ascii="Times New Roman" w:cs="Times New Roman" w:eastAsia="Times New Roman" w:hAnsi="Times New Roman"/>
          <w:sz w:val="19"/>
          <w:szCs w:val="19"/>
          <w:color w:val="auto"/>
        </w:rPr>
        <w:t>which</w:t>
      </w:r>
      <w:r>
        <w:rPr>
          <w:rFonts w:ascii="Times New Roman" w:cs="Times New Roman" w:eastAsia="Times New Roman" w:hAnsi="Times New Roman"/>
          <w:sz w:val="22"/>
          <w:szCs w:val="22"/>
          <w:color w:val="auto"/>
        </w:rPr>
        <w:t xml:space="preserve"> the Company</w:t>
      </w:r>
      <w:r>
        <w:rPr>
          <w:rFonts w:ascii="Times New Roman" w:cs="Times New Roman" w:eastAsia="Times New Roman" w:hAnsi="Times New Roman"/>
          <w:sz w:val="19"/>
          <w:szCs w:val="19"/>
          <w:color w:val="auto"/>
        </w:rPr>
        <w:t>’s</w:t>
      </w:r>
      <w:r>
        <w:rPr>
          <w:rFonts w:ascii="Times New Roman" w:cs="Times New Roman" w:eastAsia="Times New Roman" w:hAnsi="Times New Roman"/>
          <w:sz w:val="22"/>
          <w:szCs w:val="22"/>
          <w:color w:val="auto"/>
        </w:rPr>
        <w:t xml:space="preserve"> securities are</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listed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by applicable </w:t>
      </w:r>
      <w:r>
        <w:rPr>
          <w:rFonts w:ascii="Times New Roman" w:cs="Times New Roman" w:eastAsia="Times New Roman" w:hAnsi="Times New Roman"/>
          <w:sz w:val="21"/>
          <w:szCs w:val="21"/>
          <w:color w:val="auto"/>
        </w:rPr>
        <w:t>law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Clawback Policies</w:t>
      </w:r>
      <w:r>
        <w:rPr>
          <w:rFonts w:ascii="Times New Roman" w:cs="Times New Roman" w:eastAsia="Times New Roman" w:hAnsi="Times New Roman"/>
          <w:sz w:val="20"/>
          <w:szCs w:val="20"/>
          <w:color w:val="auto"/>
        </w:rPr>
        <w:t xml:space="preserve">”). All vested and unvested PSUs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Shares or other </w:t>
      </w:r>
      <w:r>
        <w:rPr>
          <w:rFonts w:ascii="Times New Roman" w:cs="Times New Roman" w:eastAsia="Times New Roman" w:hAnsi="Times New Roman"/>
          <w:sz w:val="21"/>
          <w:szCs w:val="21"/>
          <w:color w:val="auto"/>
        </w:rPr>
        <w:t>amounts</w:t>
      </w:r>
      <w:r>
        <w:rPr>
          <w:rFonts w:ascii="Times New Roman" w:cs="Times New Roman" w:eastAsia="Times New Roman" w:hAnsi="Times New Roman"/>
          <w:sz w:val="20"/>
          <w:szCs w:val="20"/>
          <w:color w:val="auto"/>
        </w:rPr>
        <w:t xml:space="preserve"> paid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payable to </w:t>
      </w:r>
      <w:r>
        <w:rPr>
          <w:rFonts w:ascii="Times New Roman" w:cs="Times New Roman" w:eastAsia="Times New Roman" w:hAnsi="Times New Roman"/>
          <w:sz w:val="21"/>
          <w:szCs w:val="21"/>
          <w:color w:val="auto"/>
        </w:rPr>
        <w:t xml:space="preserve">you </w:t>
      </w:r>
      <w:r>
        <w:rPr>
          <w:rFonts w:ascii="Times New Roman" w:cs="Times New Roman" w:eastAsia="Times New Roman" w:hAnsi="Times New Roman"/>
          <w:sz w:val="19"/>
          <w:szCs w:val="19"/>
          <w:color w:val="auto"/>
        </w:rPr>
        <w:t>under or in respect</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19"/>
          <w:szCs w:val="19"/>
          <w:color w:val="auto"/>
        </w:rPr>
        <w:t>the PSUs</w:t>
      </w:r>
      <w:r>
        <w:rPr>
          <w:rFonts w:ascii="Times New Roman" w:cs="Times New Roman" w:eastAsia="Times New Roman" w:hAnsi="Times New Roman"/>
          <w:sz w:val="21"/>
          <w:szCs w:val="21"/>
          <w:color w:val="auto"/>
        </w:rPr>
        <w:t xml:space="preserve"> shall, if applicable, be </w:t>
      </w:r>
      <w:r>
        <w:rPr>
          <w:rFonts w:ascii="Times New Roman" w:cs="Times New Roman" w:eastAsia="Times New Roman" w:hAnsi="Times New Roman"/>
          <w:sz w:val="19"/>
          <w:szCs w:val="19"/>
          <w:color w:val="auto"/>
        </w:rPr>
        <w:t>subject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reduction,</w:t>
      </w:r>
      <w:r>
        <w:rPr>
          <w:rFonts w:ascii="Times New Roman" w:cs="Times New Roman" w:eastAsia="Times New Roman" w:hAnsi="Times New Roman"/>
          <w:sz w:val="21"/>
          <w:szCs w:val="21"/>
          <w:color w:val="auto"/>
        </w:rPr>
        <w:t xml:space="preserve"> cancellation, </w:t>
      </w:r>
      <w:r>
        <w:rPr>
          <w:rFonts w:ascii="Times New Roman" w:cs="Times New Roman" w:eastAsia="Times New Roman" w:hAnsi="Times New Roman"/>
          <w:sz w:val="19"/>
          <w:szCs w:val="19"/>
          <w:color w:val="auto"/>
        </w:rPr>
        <w:t>recovery, recoupment, forfeiture</w:t>
      </w:r>
      <w:r>
        <w:rPr>
          <w:rFonts w:ascii="Times New Roman" w:cs="Times New Roman" w:eastAsia="Times New Roman" w:hAnsi="Times New Roman"/>
          <w:sz w:val="21"/>
          <w:szCs w:val="21"/>
          <w:color w:val="auto"/>
        </w:rPr>
        <w:t xml:space="preserve"> or other action </w:t>
      </w:r>
      <w:r>
        <w:rPr>
          <w:rFonts w:ascii="Times New Roman" w:cs="Times New Roman" w:eastAsia="Times New Roman" w:hAnsi="Times New Roman"/>
          <w:sz w:val="19"/>
          <w:szCs w:val="19"/>
          <w:color w:val="auto"/>
        </w:rPr>
        <w:t>pursuant</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and</w:t>
      </w:r>
      <w:r>
        <w:rPr>
          <w:rFonts w:ascii="Times New Roman" w:cs="Times New Roman" w:eastAsia="Times New Roman" w:hAnsi="Times New Roman"/>
          <w:sz w:val="21"/>
          <w:szCs w:val="21"/>
          <w:color w:val="auto"/>
        </w:rPr>
        <w:t xml:space="preserve"> as, and to </w:t>
      </w:r>
      <w:r>
        <w:rPr>
          <w:rFonts w:ascii="Times New Roman" w:cs="Times New Roman" w:eastAsia="Times New Roman" w:hAnsi="Times New Roman"/>
          <w:sz w:val="19"/>
          <w:szCs w:val="19"/>
          <w:color w:val="auto"/>
        </w:rPr>
        <w:t>the extent, required</w:t>
      </w:r>
      <w:r>
        <w:rPr>
          <w:rFonts w:ascii="Times New Roman" w:cs="Times New Roman" w:eastAsia="Times New Roman" w:hAnsi="Times New Roman"/>
          <w:sz w:val="21"/>
          <w:szCs w:val="21"/>
          <w:color w:val="auto"/>
        </w:rPr>
        <w:t xml:space="preserve"> by or </w:t>
      </w:r>
      <w:r>
        <w:rPr>
          <w:rFonts w:ascii="Times New Roman" w:cs="Times New Roman" w:eastAsia="Times New Roman" w:hAnsi="Times New Roman"/>
          <w:sz w:val="19"/>
          <w:szCs w:val="19"/>
          <w:color w:val="auto"/>
        </w:rPr>
        <w:t>determined under</w:t>
      </w:r>
      <w:r>
        <w:rPr>
          <w:rFonts w:ascii="Times New Roman" w:cs="Times New Roman" w:eastAsia="Times New Roman" w:hAnsi="Times New Roman"/>
          <w:sz w:val="21"/>
          <w:szCs w:val="21"/>
          <w:color w:val="auto"/>
        </w:rPr>
        <w:t xml:space="preserve"> the Clawback Policies.</w:t>
      </w:r>
    </w:p>
    <w:p>
      <w:pPr>
        <w:spacing w:after="0" w:line="179" w:lineRule="exact"/>
        <w:rPr>
          <w:sz w:val="20"/>
          <w:szCs w:val="20"/>
          <w:color w:val="auto"/>
        </w:rPr>
      </w:pPr>
    </w:p>
    <w:p>
      <w:pPr>
        <w:ind w:left="300" w:hanging="292"/>
        <w:spacing w:after="0"/>
        <w:tabs>
          <w:tab w:leader="none" w:pos="30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 xml:space="preserve">Acknowledgments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0"/>
          <w:szCs w:val="20"/>
          <w:u w:val="single" w:color="auto"/>
          <w:color w:val="auto"/>
        </w:rPr>
        <w:t xml:space="preserve"> Conditions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accepting the </w:t>
      </w:r>
      <w:r>
        <w:rPr>
          <w:rFonts w:ascii="Times New Roman" w:cs="Times New Roman" w:eastAsia="Times New Roman" w:hAnsi="Times New Roman"/>
          <w:sz w:val="21"/>
          <w:szCs w:val="21"/>
          <w:color w:val="auto"/>
        </w:rPr>
        <w:t>PSUs, you</w:t>
      </w:r>
      <w:r>
        <w:rPr>
          <w:rFonts w:ascii="Times New Roman" w:cs="Times New Roman" w:eastAsia="Times New Roman" w:hAnsi="Times New Roman"/>
          <w:sz w:val="20"/>
          <w:szCs w:val="20"/>
          <w:color w:val="auto"/>
        </w:rPr>
        <w:t xml:space="preserve"> acknowledge and agree as follows: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a. Any </w:t>
      </w:r>
      <w:r>
        <w:rPr>
          <w:rFonts w:ascii="Times New Roman" w:cs="Times New Roman" w:eastAsia="Times New Roman" w:hAnsi="Times New Roman"/>
          <w:sz w:val="21"/>
          <w:szCs w:val="21"/>
          <w:color w:val="auto"/>
        </w:rPr>
        <w:t>notice</w:t>
      </w:r>
      <w:r>
        <w:rPr>
          <w:rFonts w:ascii="Times New Roman" w:cs="Times New Roman" w:eastAsia="Times New Roman" w:hAnsi="Times New Roman"/>
          <w:sz w:val="20"/>
          <w:szCs w:val="20"/>
          <w:color w:val="auto"/>
        </w:rPr>
        <w:t xml:space="preserve"> period </w:t>
      </w:r>
      <w:r>
        <w:rPr>
          <w:rFonts w:ascii="Times New Roman" w:cs="Times New Roman" w:eastAsia="Times New Roman" w:hAnsi="Times New Roman"/>
          <w:sz w:val="21"/>
          <w:szCs w:val="21"/>
          <w:color w:val="auto"/>
        </w:rPr>
        <w:t>mandated</w:t>
      </w:r>
      <w:r>
        <w:rPr>
          <w:rFonts w:ascii="Times New Roman" w:cs="Times New Roman" w:eastAsia="Times New Roman" w:hAnsi="Times New Roman"/>
          <w:sz w:val="20"/>
          <w:szCs w:val="20"/>
          <w:color w:val="auto"/>
        </w:rPr>
        <w:t xml:space="preserve"> under applicable </w:t>
      </w:r>
      <w:r>
        <w:rPr>
          <w:rFonts w:ascii="Times New Roman" w:cs="Times New Roman" w:eastAsia="Times New Roman" w:hAnsi="Times New Roman"/>
          <w:sz w:val="21"/>
          <w:szCs w:val="21"/>
          <w:color w:val="auto"/>
        </w:rPr>
        <w:t>law shall</w:t>
      </w:r>
      <w:r>
        <w:rPr>
          <w:rFonts w:ascii="Times New Roman" w:cs="Times New Roman" w:eastAsia="Times New Roman" w:hAnsi="Times New Roman"/>
          <w:sz w:val="20"/>
          <w:szCs w:val="20"/>
          <w:color w:val="auto"/>
        </w:rPr>
        <w:t xml:space="preserve"> not be treated as </w:t>
      </w:r>
      <w:r>
        <w:rPr>
          <w:rFonts w:ascii="Times New Roman" w:cs="Times New Roman" w:eastAsia="Times New Roman" w:hAnsi="Times New Roman"/>
          <w:sz w:val="21"/>
          <w:szCs w:val="21"/>
          <w:color w:val="auto"/>
        </w:rPr>
        <w:t>service</w:t>
      </w:r>
      <w:r>
        <w:rPr>
          <w:rFonts w:ascii="Times New Roman" w:cs="Times New Roman" w:eastAsia="Times New Roman" w:hAnsi="Times New Roman"/>
          <w:sz w:val="20"/>
          <w:szCs w:val="20"/>
          <w:color w:val="auto"/>
        </w:rPr>
        <w:t xml:space="preserve"> for the</w:t>
      </w:r>
    </w:p>
    <w:p>
      <w:pPr>
        <w:ind w:right="180"/>
        <w:spacing w:after="0" w:line="228" w:lineRule="auto"/>
        <w:rPr>
          <w:sz w:val="20"/>
          <w:szCs w:val="20"/>
          <w:color w:val="auto"/>
        </w:rPr>
      </w:pPr>
      <w:r>
        <w:rPr>
          <w:rFonts w:ascii="Times New Roman" w:cs="Times New Roman" w:eastAsia="Times New Roman" w:hAnsi="Times New Roman"/>
          <w:sz w:val="20"/>
          <w:szCs w:val="20"/>
          <w:color w:val="auto"/>
        </w:rPr>
        <w:t xml:space="preserve">purpose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determining </w:t>
      </w:r>
      <w:r>
        <w:rPr>
          <w:rFonts w:ascii="Times New Roman" w:cs="Times New Roman" w:eastAsia="Times New Roman" w:hAnsi="Times New Roman"/>
          <w:sz w:val="21"/>
          <w:szCs w:val="21"/>
          <w:color w:val="auto"/>
        </w:rPr>
        <w:t>the vesting of the PSUs; and</w:t>
      </w:r>
      <w:r>
        <w:rPr>
          <w:rFonts w:ascii="Times New Roman" w:cs="Times New Roman" w:eastAsia="Times New Roman" w:hAnsi="Times New Roman"/>
          <w:sz w:val="20"/>
          <w:szCs w:val="20"/>
          <w:color w:val="auto"/>
        </w:rPr>
        <w:t xml:space="preserve"> your </w:t>
      </w:r>
      <w:r>
        <w:rPr>
          <w:rFonts w:ascii="Times New Roman" w:cs="Times New Roman" w:eastAsia="Times New Roman" w:hAnsi="Times New Roman"/>
          <w:sz w:val="21"/>
          <w:szCs w:val="21"/>
          <w:color w:val="auto"/>
        </w:rPr>
        <w:t>right to</w:t>
      </w:r>
      <w:r>
        <w:rPr>
          <w:rFonts w:ascii="Times New Roman" w:cs="Times New Roman" w:eastAsia="Times New Roman" w:hAnsi="Times New Roman"/>
          <w:sz w:val="20"/>
          <w:szCs w:val="20"/>
          <w:color w:val="auto"/>
        </w:rPr>
        <w:t xml:space="preserve"> issuance of Shares in settlement of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PSUs </w:t>
      </w:r>
      <w:r>
        <w:rPr>
          <w:rFonts w:ascii="Times New Roman" w:cs="Times New Roman" w:eastAsia="Times New Roman" w:hAnsi="Times New Roman"/>
          <w:sz w:val="21"/>
          <w:szCs w:val="21"/>
          <w:color w:val="auto"/>
        </w:rPr>
        <w:t>after</w:t>
      </w:r>
      <w:r>
        <w:rPr>
          <w:rFonts w:ascii="Times New Roman" w:cs="Times New Roman" w:eastAsia="Times New Roman" w:hAnsi="Times New Roman"/>
          <w:sz w:val="20"/>
          <w:szCs w:val="20"/>
          <w:color w:val="auto"/>
        </w:rPr>
        <w:t xml:space="preserve"> termination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service, </w:t>
      </w:r>
      <w:r>
        <w:rPr>
          <w:rFonts w:ascii="Times New Roman" w:cs="Times New Roman" w:eastAsia="Times New Roman" w:hAnsi="Times New Roman"/>
          <w:sz w:val="21"/>
          <w:szCs w:val="21"/>
          <w:color w:val="auto"/>
        </w:rPr>
        <w:t>if any (and regardless</w:t>
      </w:r>
      <w:r>
        <w:rPr>
          <w:rFonts w:ascii="Times New Roman" w:cs="Times New Roman" w:eastAsia="Times New Roman" w:hAnsi="Times New Roman"/>
          <w:sz w:val="20"/>
          <w:szCs w:val="20"/>
          <w:color w:val="auto"/>
        </w:rPr>
        <w:t xml:space="preserve"> of the reason </w:t>
      </w:r>
      <w:r>
        <w:rPr>
          <w:rFonts w:ascii="Times New Roman" w:cs="Times New Roman" w:eastAsia="Times New Roman" w:hAnsi="Times New Roman"/>
          <w:sz w:val="21"/>
          <w:szCs w:val="21"/>
          <w:color w:val="auto"/>
        </w:rPr>
        <w:t>for</w:t>
      </w:r>
      <w:r>
        <w:rPr>
          <w:rFonts w:ascii="Times New Roman" w:cs="Times New Roman" w:eastAsia="Times New Roman" w:hAnsi="Times New Roman"/>
          <w:sz w:val="20"/>
          <w:szCs w:val="20"/>
          <w:color w:val="auto"/>
        </w:rPr>
        <w:t xml:space="preserve"> such termination and whether or not later </w:t>
      </w:r>
      <w:r>
        <w:rPr>
          <w:rFonts w:ascii="Times New Roman" w:cs="Times New Roman" w:eastAsia="Times New Roman" w:hAnsi="Times New Roman"/>
          <w:sz w:val="21"/>
          <w:szCs w:val="21"/>
          <w:color w:val="auto"/>
        </w:rPr>
        <w:t>found</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1"/>
          <w:szCs w:val="21"/>
          <w:color w:val="auto"/>
        </w:rPr>
        <w:t>be invalid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breach of </w:t>
      </w:r>
      <w:r>
        <w:rPr>
          <w:rFonts w:ascii="Times New Roman" w:cs="Times New Roman" w:eastAsia="Times New Roman" w:hAnsi="Times New Roman"/>
          <w:sz w:val="21"/>
          <w:szCs w:val="21"/>
          <w:color w:val="auto"/>
        </w:rPr>
        <w:t xml:space="preserve">employment </w:t>
      </w:r>
      <w:r>
        <w:rPr>
          <w:rFonts w:ascii="Times New Roman" w:cs="Times New Roman" w:eastAsia="Times New Roman" w:hAnsi="Times New Roman"/>
          <w:sz w:val="19"/>
          <w:szCs w:val="19"/>
          <w:color w:val="auto"/>
        </w:rPr>
        <w:t>laws</w:t>
      </w:r>
      <w:r>
        <w:rPr>
          <w:rFonts w:ascii="Times New Roman" w:cs="Times New Roman" w:eastAsia="Times New Roman" w:hAnsi="Times New Roman"/>
          <w:sz w:val="21"/>
          <w:szCs w:val="21"/>
          <w:color w:val="auto"/>
        </w:rPr>
        <w:t xml:space="preserve"> in the jurisdiction where you </w:t>
      </w:r>
      <w:r>
        <w:rPr>
          <w:rFonts w:ascii="Times New Roman" w:cs="Times New Roman" w:eastAsia="Times New Roman" w:hAnsi="Times New Roman"/>
          <w:sz w:val="19"/>
          <w:szCs w:val="19"/>
          <w:color w:val="auto"/>
        </w:rPr>
        <w:t>are employed or the terms of your</w:t>
      </w:r>
      <w:r>
        <w:rPr>
          <w:rFonts w:ascii="Times New Roman" w:cs="Times New Roman" w:eastAsia="Times New Roman" w:hAnsi="Times New Roman"/>
          <w:sz w:val="21"/>
          <w:szCs w:val="21"/>
          <w:color w:val="auto"/>
        </w:rPr>
        <w:t xml:space="preserve"> employment </w:t>
      </w:r>
      <w:r>
        <w:rPr>
          <w:rFonts w:ascii="Times New Roman" w:cs="Times New Roman" w:eastAsia="Times New Roman" w:hAnsi="Times New Roman"/>
          <w:sz w:val="19"/>
          <w:szCs w:val="19"/>
          <w:color w:val="auto"/>
        </w:rPr>
        <w:t>agreement,</w:t>
      </w:r>
      <w:r>
        <w:rPr>
          <w:rFonts w:ascii="Times New Roman" w:cs="Times New Roman" w:eastAsia="Times New Roman" w:hAnsi="Times New Roman"/>
          <w:sz w:val="21"/>
          <w:szCs w:val="21"/>
          <w:color w:val="auto"/>
        </w:rPr>
        <w:t xml:space="preserve"> if any), will be measured </w:t>
      </w:r>
      <w:r>
        <w:rPr>
          <w:rFonts w:ascii="Times New Roman" w:cs="Times New Roman" w:eastAsia="Times New Roman" w:hAnsi="Times New Roman"/>
          <w:sz w:val="19"/>
          <w:szCs w:val="19"/>
          <w:color w:val="auto"/>
        </w:rPr>
        <w:t xml:space="preserve">by the date of termination of your </w:t>
      </w:r>
      <w:r>
        <w:rPr>
          <w:rFonts w:ascii="Times New Roman" w:cs="Times New Roman" w:eastAsia="Times New Roman" w:hAnsi="Times New Roman"/>
          <w:sz w:val="21"/>
          <w:szCs w:val="21"/>
          <w:color w:val="auto"/>
        </w:rPr>
        <w:t>active</w:t>
      </w:r>
      <w:r>
        <w:rPr>
          <w:rFonts w:ascii="Times New Roman" w:cs="Times New Roman" w:eastAsia="Times New Roman" w:hAnsi="Times New Roman"/>
          <w:sz w:val="19"/>
          <w:szCs w:val="19"/>
          <w:color w:val="auto"/>
        </w:rPr>
        <w:t xml:space="preserve"> service </w:t>
      </w:r>
      <w:r>
        <w:rPr>
          <w:rFonts w:ascii="Times New Roman" w:cs="Times New Roman" w:eastAsia="Times New Roman" w:hAnsi="Times New Roman"/>
          <w:sz w:val="21"/>
          <w:szCs w:val="21"/>
          <w:color w:val="auto"/>
        </w:rPr>
        <w:t>and will</w:t>
      </w:r>
      <w:r>
        <w:rPr>
          <w:rFonts w:ascii="Times New Roman" w:cs="Times New Roman" w:eastAsia="Times New Roman" w:hAnsi="Times New Roman"/>
          <w:sz w:val="19"/>
          <w:szCs w:val="19"/>
          <w:color w:val="auto"/>
        </w:rPr>
        <w:t xml:space="preserve"> not </w:t>
      </w:r>
      <w:r>
        <w:rPr>
          <w:rFonts w:ascii="Times New Roman" w:cs="Times New Roman" w:eastAsia="Times New Roman" w:hAnsi="Times New Roman"/>
          <w:sz w:val="21"/>
          <w:szCs w:val="21"/>
          <w:color w:val="auto"/>
        </w:rPr>
        <w:t>be</w:t>
      </w:r>
      <w:r>
        <w:rPr>
          <w:rFonts w:ascii="Times New Roman" w:cs="Times New Roman" w:eastAsia="Times New Roman" w:hAnsi="Times New Roman"/>
          <w:sz w:val="19"/>
          <w:szCs w:val="19"/>
          <w:color w:val="auto"/>
        </w:rPr>
        <w:t xml:space="preserve"> extended by any notice </w:t>
      </w:r>
      <w:r>
        <w:rPr>
          <w:rFonts w:ascii="Times New Roman" w:cs="Times New Roman" w:eastAsia="Times New Roman" w:hAnsi="Times New Roman"/>
          <w:sz w:val="21"/>
          <w:szCs w:val="21"/>
          <w:color w:val="auto"/>
        </w:rPr>
        <w:t>period mandated</w:t>
      </w:r>
      <w:r>
        <w:rPr>
          <w:rFonts w:ascii="Times New Roman" w:cs="Times New Roman" w:eastAsia="Times New Roman" w:hAnsi="Times New Roman"/>
          <w:sz w:val="19"/>
          <w:szCs w:val="19"/>
          <w:color w:val="auto"/>
        </w:rPr>
        <w:t xml:space="preserve"> under </w:t>
      </w:r>
      <w:r>
        <w:rPr>
          <w:rFonts w:ascii="Times New Roman" w:cs="Times New Roman" w:eastAsia="Times New Roman" w:hAnsi="Times New Roman"/>
          <w:sz w:val="21"/>
          <w:szCs w:val="21"/>
          <w:color w:val="auto"/>
        </w:rPr>
        <w:t>applicable</w:t>
      </w:r>
      <w:r>
        <w:rPr>
          <w:rFonts w:ascii="Times New Roman" w:cs="Times New Roman" w:eastAsia="Times New Roman" w:hAnsi="Times New Roman"/>
          <w:sz w:val="19"/>
          <w:szCs w:val="19"/>
          <w:color w:val="auto"/>
        </w:rPr>
        <w:t xml:space="preserve"> law. Subject</w:t>
      </w:r>
    </w:p>
    <w:p>
      <w:pPr>
        <w:ind w:right="580"/>
        <w:spacing w:after="0" w:line="212" w:lineRule="auto"/>
        <w:rPr>
          <w:sz w:val="20"/>
          <w:szCs w:val="20"/>
          <w:color w:val="auto"/>
        </w:rPr>
      </w:pPr>
      <w:r>
        <w:rPr>
          <w:rFonts w:ascii="Times New Roman" w:cs="Times New Roman" w:eastAsia="Times New Roman" w:hAnsi="Times New Roman"/>
          <w:sz w:val="22"/>
          <w:szCs w:val="22"/>
          <w:color w:val="auto"/>
        </w:rPr>
        <w:t xml:space="preserve">to the </w:t>
      </w:r>
      <w:r>
        <w:rPr>
          <w:rFonts w:ascii="Times New Roman" w:cs="Times New Roman" w:eastAsia="Times New Roman" w:hAnsi="Times New Roman"/>
          <w:sz w:val="19"/>
          <w:szCs w:val="19"/>
          <w:color w:val="auto"/>
        </w:rPr>
        <w:t>foregoing and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19"/>
          <w:szCs w:val="19"/>
          <w:color w:val="auto"/>
        </w:rPr>
        <w:t>provisions of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19"/>
          <w:szCs w:val="19"/>
          <w:color w:val="auto"/>
        </w:rPr>
        <w:t>Plan, FactSet, in its sole</w:t>
      </w:r>
      <w:r>
        <w:rPr>
          <w:rFonts w:ascii="Times New Roman" w:cs="Times New Roman" w:eastAsia="Times New Roman" w:hAnsi="Times New Roman"/>
          <w:sz w:val="22"/>
          <w:szCs w:val="22"/>
          <w:color w:val="auto"/>
        </w:rPr>
        <w:t xml:space="preserve"> discretion, shall </w:t>
      </w:r>
      <w:r>
        <w:rPr>
          <w:rFonts w:ascii="Times New Roman" w:cs="Times New Roman" w:eastAsia="Times New Roman" w:hAnsi="Times New Roman"/>
          <w:sz w:val="19"/>
          <w:szCs w:val="19"/>
          <w:color w:val="auto"/>
        </w:rPr>
        <w:t>determine whether your service has terminated</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19"/>
          <w:szCs w:val="19"/>
          <w:color w:val="auto"/>
        </w:rPr>
        <w:t>whether</w:t>
      </w:r>
      <w:r>
        <w:rPr>
          <w:rFonts w:ascii="Times New Roman" w:cs="Times New Roman" w:eastAsia="Times New Roman" w:hAnsi="Times New Roman"/>
          <w:sz w:val="22"/>
          <w:szCs w:val="22"/>
          <w:color w:val="auto"/>
        </w:rPr>
        <w:t xml:space="preserve"> you </w:t>
      </w:r>
      <w:r>
        <w:rPr>
          <w:rFonts w:ascii="Times New Roman" w:cs="Times New Roman" w:eastAsia="Times New Roman" w:hAnsi="Times New Roman"/>
          <w:sz w:val="19"/>
          <w:szCs w:val="19"/>
          <w:color w:val="auto"/>
        </w:rPr>
        <w:t>may</w:t>
      </w:r>
      <w:r>
        <w:rPr>
          <w:rFonts w:ascii="Times New Roman" w:cs="Times New Roman" w:eastAsia="Times New Roman" w:hAnsi="Times New Roman"/>
          <w:sz w:val="22"/>
          <w:szCs w:val="22"/>
          <w:color w:val="auto"/>
        </w:rPr>
        <w:t xml:space="preserve"> still </w:t>
      </w:r>
      <w:r>
        <w:rPr>
          <w:rFonts w:ascii="Times New Roman" w:cs="Times New Roman" w:eastAsia="Times New Roman" w:hAnsi="Times New Roman"/>
          <w:sz w:val="19"/>
          <w:szCs w:val="19"/>
          <w:color w:val="auto"/>
        </w:rPr>
        <w:t>be considered</w:t>
      </w:r>
      <w:r>
        <w:rPr>
          <w:rFonts w:ascii="Times New Roman" w:cs="Times New Roman" w:eastAsia="Times New Roman" w:hAnsi="Times New Roman"/>
          <w:sz w:val="22"/>
          <w:szCs w:val="22"/>
          <w:color w:val="auto"/>
        </w:rPr>
        <w:t xml:space="preserve"> to </w:t>
      </w:r>
      <w:r>
        <w:rPr>
          <w:rFonts w:ascii="Times New Roman" w:cs="Times New Roman" w:eastAsia="Times New Roman" w:hAnsi="Times New Roman"/>
          <w:sz w:val="19"/>
          <w:szCs w:val="19"/>
          <w:color w:val="auto"/>
        </w:rPr>
        <w:t>be providing</w:t>
      </w:r>
      <w:r>
        <w:rPr>
          <w:rFonts w:ascii="Times New Roman" w:cs="Times New Roman" w:eastAsia="Times New Roman" w:hAnsi="Times New Roman"/>
          <w:sz w:val="22"/>
          <w:szCs w:val="22"/>
          <w:color w:val="auto"/>
        </w:rPr>
        <w:t xml:space="preserve"> services </w:t>
      </w:r>
      <w:r>
        <w:rPr>
          <w:rFonts w:ascii="Times New Roman" w:cs="Times New Roman" w:eastAsia="Times New Roman" w:hAnsi="Times New Roman"/>
          <w:sz w:val="19"/>
          <w:szCs w:val="19"/>
          <w:color w:val="auto"/>
        </w:rPr>
        <w:t>while</w:t>
      </w:r>
      <w:r>
        <w:rPr>
          <w:rFonts w:ascii="Times New Roman" w:cs="Times New Roman" w:eastAsia="Times New Roman" w:hAnsi="Times New Roman"/>
          <w:sz w:val="22"/>
          <w:szCs w:val="22"/>
          <w:color w:val="auto"/>
        </w:rPr>
        <w:t xml:space="preserve"> on </w:t>
      </w:r>
      <w:r>
        <w:rPr>
          <w:rFonts w:ascii="Times New Roman" w:cs="Times New Roman" w:eastAsia="Times New Roman" w:hAnsi="Times New Roman"/>
          <w:sz w:val="19"/>
          <w:szCs w:val="19"/>
          <w:color w:val="auto"/>
        </w:rPr>
        <w:t>a leave</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19"/>
          <w:szCs w:val="19"/>
          <w:color w:val="auto"/>
        </w:rPr>
        <w:t>absence) and the effective date</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19"/>
          <w:szCs w:val="19"/>
          <w:color w:val="auto"/>
        </w:rPr>
        <w:t>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termination.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Plan is established voluntarily by FactSet. It is discretionary in nature and it </w:t>
      </w:r>
      <w:r>
        <w:rPr>
          <w:rFonts w:ascii="Times New Roman" w:cs="Times New Roman" w:eastAsia="Times New Roman" w:hAnsi="Times New Roman"/>
          <w:sz w:val="21"/>
          <w:szCs w:val="21"/>
          <w:color w:val="auto"/>
        </w:rPr>
        <w:t>may be</w:t>
      </w:r>
    </w:p>
    <w:p>
      <w:pPr>
        <w:spacing w:after="0"/>
        <w:rPr>
          <w:sz w:val="20"/>
          <w:szCs w:val="20"/>
          <w:color w:val="auto"/>
        </w:rPr>
      </w:pPr>
      <w:r>
        <w:rPr>
          <w:rFonts w:ascii="Times New Roman" w:cs="Times New Roman" w:eastAsia="Times New Roman" w:hAnsi="Times New Roman"/>
          <w:sz w:val="20"/>
          <w:szCs w:val="20"/>
          <w:color w:val="auto"/>
        </w:rPr>
        <w:t xml:space="preserve">modified, </w:t>
      </w:r>
      <w:r>
        <w:rPr>
          <w:rFonts w:ascii="Times New Roman" w:cs="Times New Roman" w:eastAsia="Times New Roman" w:hAnsi="Times New Roman"/>
          <w:sz w:val="21"/>
          <w:szCs w:val="21"/>
          <w:color w:val="auto"/>
        </w:rPr>
        <w:t>amended,</w:t>
      </w:r>
      <w:r>
        <w:rPr>
          <w:rFonts w:ascii="Times New Roman" w:cs="Times New Roman" w:eastAsia="Times New Roman" w:hAnsi="Times New Roman"/>
          <w:sz w:val="20"/>
          <w:szCs w:val="20"/>
          <w:color w:val="auto"/>
        </w:rPr>
        <w:t xml:space="preserve"> suspended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terminated </w:t>
      </w:r>
      <w:r>
        <w:rPr>
          <w:rFonts w:ascii="Times New Roman" w:cs="Times New Roman" w:eastAsia="Times New Roman" w:hAnsi="Times New Roman"/>
          <w:sz w:val="21"/>
          <w:szCs w:val="21"/>
          <w:color w:val="auto"/>
        </w:rPr>
        <w:t>by FactSet</w:t>
      </w:r>
      <w:r>
        <w:rPr>
          <w:rFonts w:ascii="Times New Roman" w:cs="Times New Roman" w:eastAsia="Times New Roman" w:hAnsi="Times New Roman"/>
          <w:sz w:val="20"/>
          <w:szCs w:val="20"/>
          <w:color w:val="auto"/>
        </w:rPr>
        <w:t xml:space="preserve"> at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time, unless otherwise provided in </w:t>
      </w:r>
      <w:r>
        <w:rPr>
          <w:rFonts w:ascii="Times New Roman" w:cs="Times New Roman" w:eastAsia="Times New Roman" w:hAnsi="Times New Roman"/>
          <w:sz w:val="21"/>
          <w:szCs w:val="21"/>
          <w:color w:val="auto"/>
        </w:rPr>
        <w:t>the Plan and this</w:t>
      </w:r>
      <w:r>
        <w:rPr>
          <w:rFonts w:ascii="Times New Roman" w:cs="Times New Roman" w:eastAsia="Times New Roman" w:hAnsi="Times New Roman"/>
          <w:sz w:val="20"/>
          <w:szCs w:val="20"/>
          <w:color w:val="auto"/>
        </w:rPr>
        <w:t xml:space="preserve"> Agreement.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grant </w:t>
      </w:r>
      <w:r>
        <w:rPr>
          <w:rFonts w:ascii="Times New Roman" w:cs="Times New Roman" w:eastAsia="Times New Roman" w:hAnsi="Times New Roman"/>
          <w:sz w:val="21"/>
          <w:szCs w:val="21"/>
          <w:color w:val="auto"/>
        </w:rPr>
        <w:t>of the</w:t>
      </w:r>
      <w:r>
        <w:rPr>
          <w:rFonts w:ascii="Times New Roman" w:cs="Times New Roman" w:eastAsia="Times New Roman" w:hAnsi="Times New Roman"/>
          <w:sz w:val="20"/>
          <w:szCs w:val="20"/>
          <w:color w:val="auto"/>
        </w:rPr>
        <w:t xml:space="preserve"> PSUs </w:t>
      </w:r>
      <w:r>
        <w:rPr>
          <w:rFonts w:ascii="Times New Roman" w:cs="Times New Roman" w:eastAsia="Times New Roman" w:hAnsi="Times New Roman"/>
          <w:sz w:val="21"/>
          <w:szCs w:val="21"/>
          <w:color w:val="auto"/>
        </w:rPr>
        <w:t>by FactSet is</w:t>
      </w:r>
      <w:r>
        <w:rPr>
          <w:rFonts w:ascii="Times New Roman" w:cs="Times New Roman" w:eastAsia="Times New Roman" w:hAnsi="Times New Roman"/>
          <w:sz w:val="20"/>
          <w:szCs w:val="20"/>
          <w:color w:val="auto"/>
        </w:rPr>
        <w:t xml:space="preserve"> voluntary and occasional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does </w:t>
      </w:r>
      <w:r>
        <w:rPr>
          <w:rFonts w:ascii="Times New Roman" w:cs="Times New Roman" w:eastAsia="Times New Roman" w:hAnsi="Times New Roman"/>
          <w:sz w:val="21"/>
          <w:szCs w:val="21"/>
          <w:color w:val="auto"/>
        </w:rPr>
        <w:t>not create</w:t>
      </w:r>
      <w:r>
        <w:rPr>
          <w:rFonts w:ascii="Times New Roman" w:cs="Times New Roman" w:eastAsia="Times New Roman" w:hAnsi="Times New Roman"/>
          <w:sz w:val="20"/>
          <w:szCs w:val="20"/>
          <w:color w:val="auto"/>
        </w:rPr>
        <w:t xml:space="preserve"> any</w:t>
      </w:r>
    </w:p>
    <w:p>
      <w:pPr>
        <w:ind w:right="80"/>
        <w:spacing w:after="0" w:line="238" w:lineRule="auto"/>
        <w:rPr>
          <w:sz w:val="20"/>
          <w:szCs w:val="20"/>
          <w:color w:val="auto"/>
        </w:rPr>
      </w:pPr>
      <w:r>
        <w:rPr>
          <w:rFonts w:ascii="Times New Roman" w:cs="Times New Roman" w:eastAsia="Times New Roman" w:hAnsi="Times New Roman"/>
          <w:sz w:val="20"/>
          <w:szCs w:val="20"/>
          <w:color w:val="auto"/>
        </w:rPr>
        <w:t xml:space="preserve">contractual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other </w:t>
      </w:r>
      <w:r>
        <w:rPr>
          <w:rFonts w:ascii="Times New Roman" w:cs="Times New Roman" w:eastAsia="Times New Roman" w:hAnsi="Times New Roman"/>
          <w:sz w:val="21"/>
          <w:szCs w:val="21"/>
          <w:color w:val="auto"/>
        </w:rPr>
        <w:t>right to receive</w:t>
      </w:r>
      <w:r>
        <w:rPr>
          <w:rFonts w:ascii="Times New Roman" w:cs="Times New Roman" w:eastAsia="Times New Roman" w:hAnsi="Times New Roman"/>
          <w:sz w:val="20"/>
          <w:szCs w:val="20"/>
          <w:color w:val="auto"/>
        </w:rPr>
        <w:t xml:space="preserve"> future grants of PSUs, or benefits </w:t>
      </w:r>
      <w:r>
        <w:rPr>
          <w:rFonts w:ascii="Times New Roman" w:cs="Times New Roman" w:eastAsia="Times New Roman" w:hAnsi="Times New Roman"/>
          <w:sz w:val="21"/>
          <w:szCs w:val="21"/>
          <w:color w:val="auto"/>
        </w:rPr>
        <w:t>in lieu of PSUs,</w:t>
      </w:r>
      <w:r>
        <w:rPr>
          <w:rFonts w:ascii="Times New Roman" w:cs="Times New Roman" w:eastAsia="Times New Roman" w:hAnsi="Times New Roman"/>
          <w:sz w:val="20"/>
          <w:szCs w:val="20"/>
          <w:color w:val="auto"/>
        </w:rPr>
        <w:t xml:space="preserve"> even </w:t>
      </w:r>
      <w:r>
        <w:rPr>
          <w:rFonts w:ascii="Times New Roman" w:cs="Times New Roman" w:eastAsia="Times New Roman" w:hAnsi="Times New Roman"/>
          <w:sz w:val="21"/>
          <w:szCs w:val="21"/>
          <w:color w:val="auto"/>
        </w:rPr>
        <w:t>if PSUs have</w:t>
      </w:r>
      <w:r>
        <w:rPr>
          <w:rFonts w:ascii="Times New Roman" w:cs="Times New Roman" w:eastAsia="Times New Roman" w:hAnsi="Times New Roman"/>
          <w:sz w:val="20"/>
          <w:szCs w:val="20"/>
          <w:color w:val="auto"/>
        </w:rPr>
        <w:t xml:space="preserve"> been granted repeatedly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the past.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d. All decisions with respect to </w:t>
      </w:r>
      <w:r>
        <w:rPr>
          <w:rFonts w:ascii="Times New Roman" w:cs="Times New Roman" w:eastAsia="Times New Roman" w:hAnsi="Times New Roman"/>
          <w:sz w:val="21"/>
          <w:szCs w:val="21"/>
          <w:color w:val="auto"/>
        </w:rPr>
        <w:t>future PSUs grants, if any,</w:t>
      </w:r>
      <w:r>
        <w:rPr>
          <w:rFonts w:ascii="Times New Roman" w:cs="Times New Roman" w:eastAsia="Times New Roman" w:hAnsi="Times New Roman"/>
          <w:sz w:val="20"/>
          <w:szCs w:val="20"/>
          <w:color w:val="auto"/>
        </w:rPr>
        <w:t xml:space="preserve"> will </w:t>
      </w:r>
      <w:r>
        <w:rPr>
          <w:rFonts w:ascii="Times New Roman" w:cs="Times New Roman" w:eastAsia="Times New Roman" w:hAnsi="Times New Roman"/>
          <w:sz w:val="21"/>
          <w:szCs w:val="21"/>
          <w:color w:val="auto"/>
        </w:rPr>
        <w:t>be at the sole discretion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FactSet.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e. Your participation in the Plan shall </w:t>
      </w:r>
      <w:r>
        <w:rPr>
          <w:rFonts w:ascii="Times New Roman" w:cs="Times New Roman" w:eastAsia="Times New Roman" w:hAnsi="Times New Roman"/>
          <w:sz w:val="21"/>
          <w:szCs w:val="21"/>
          <w:color w:val="auto"/>
        </w:rPr>
        <w:t>not create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1"/>
          <w:szCs w:val="21"/>
          <w:color w:val="auto"/>
        </w:rPr>
        <w:t>right to</w:t>
      </w:r>
      <w:r>
        <w:rPr>
          <w:rFonts w:ascii="Times New Roman" w:cs="Times New Roman" w:eastAsia="Times New Roman" w:hAnsi="Times New Roman"/>
          <w:sz w:val="20"/>
          <w:szCs w:val="20"/>
          <w:color w:val="auto"/>
        </w:rPr>
        <w:t xml:space="preserve"> further service with </w:t>
      </w:r>
      <w:r>
        <w:rPr>
          <w:rFonts w:ascii="Times New Roman" w:cs="Times New Roman" w:eastAsia="Times New Roman" w:hAnsi="Times New Roman"/>
          <w:sz w:val="21"/>
          <w:szCs w:val="21"/>
          <w:color w:val="auto"/>
        </w:rPr>
        <w:t>FactSet and</w:t>
      </w:r>
    </w:p>
    <w:p>
      <w:pPr>
        <w:spacing w:after="0"/>
        <w:rPr>
          <w:sz w:val="20"/>
          <w:szCs w:val="20"/>
          <w:color w:val="auto"/>
        </w:rPr>
      </w:pPr>
      <w:r>
        <w:rPr>
          <w:rFonts w:ascii="Times New Roman" w:cs="Times New Roman" w:eastAsia="Times New Roman" w:hAnsi="Times New Roman"/>
          <w:sz w:val="20"/>
          <w:szCs w:val="20"/>
          <w:color w:val="auto"/>
        </w:rPr>
        <w:t xml:space="preserve">shall not </w:t>
      </w:r>
      <w:r>
        <w:rPr>
          <w:rFonts w:ascii="Times New Roman" w:cs="Times New Roman" w:eastAsia="Times New Roman" w:hAnsi="Times New Roman"/>
          <w:sz w:val="21"/>
          <w:szCs w:val="21"/>
          <w:color w:val="auto"/>
        </w:rPr>
        <w:t>interfere</w:t>
      </w:r>
      <w:r>
        <w:rPr>
          <w:rFonts w:ascii="Times New Roman" w:cs="Times New Roman" w:eastAsia="Times New Roman" w:hAnsi="Times New Roman"/>
          <w:sz w:val="20"/>
          <w:szCs w:val="20"/>
          <w:color w:val="auto"/>
        </w:rPr>
        <w:t xml:space="preserve"> with the </w:t>
      </w:r>
      <w:r>
        <w:rPr>
          <w:rFonts w:ascii="Times New Roman" w:cs="Times New Roman" w:eastAsia="Times New Roman" w:hAnsi="Times New Roman"/>
          <w:sz w:val="21"/>
          <w:szCs w:val="21"/>
          <w:color w:val="auto"/>
        </w:rPr>
        <w:t>ability</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FactSet</w:t>
      </w:r>
      <w:r>
        <w:rPr>
          <w:rFonts w:ascii="Times New Roman" w:cs="Times New Roman" w:eastAsia="Times New Roman" w:hAnsi="Times New Roman"/>
          <w:sz w:val="20"/>
          <w:szCs w:val="20"/>
          <w:color w:val="auto"/>
        </w:rPr>
        <w:t xml:space="preserve"> to terminate </w:t>
      </w:r>
      <w:r>
        <w:rPr>
          <w:rFonts w:ascii="Times New Roman" w:cs="Times New Roman" w:eastAsia="Times New Roman" w:hAnsi="Times New Roman"/>
          <w:sz w:val="21"/>
          <w:szCs w:val="21"/>
          <w:color w:val="auto"/>
        </w:rPr>
        <w:t>your</w:t>
      </w:r>
      <w:r>
        <w:rPr>
          <w:rFonts w:ascii="Times New Roman" w:cs="Times New Roman" w:eastAsia="Times New Roman" w:hAnsi="Times New Roman"/>
          <w:sz w:val="20"/>
          <w:szCs w:val="20"/>
          <w:color w:val="auto"/>
        </w:rPr>
        <w:t xml:space="preserve"> service at any time, </w:t>
      </w:r>
      <w:r>
        <w:rPr>
          <w:rFonts w:ascii="Times New Roman" w:cs="Times New Roman" w:eastAsia="Times New Roman" w:hAnsi="Times New Roman"/>
          <w:sz w:val="21"/>
          <w:szCs w:val="21"/>
          <w:color w:val="auto"/>
        </w:rPr>
        <w:t>with or</w:t>
      </w:r>
      <w:r>
        <w:rPr>
          <w:rFonts w:ascii="Times New Roman" w:cs="Times New Roman" w:eastAsia="Times New Roman" w:hAnsi="Times New Roman"/>
          <w:sz w:val="20"/>
          <w:szCs w:val="20"/>
          <w:color w:val="auto"/>
        </w:rPr>
        <w:t xml:space="preserve"> without cause, </w:t>
      </w:r>
      <w:r>
        <w:rPr>
          <w:rFonts w:ascii="Times New Roman" w:cs="Times New Roman" w:eastAsia="Times New Roman" w:hAnsi="Times New Roman"/>
          <w:sz w:val="21"/>
          <w:szCs w:val="21"/>
          <w:color w:val="auto"/>
        </w:rPr>
        <w:t>subject to applicable law.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 You </w:t>
      </w:r>
      <w:r>
        <w:rPr>
          <w:rFonts w:ascii="Times New Roman" w:cs="Times New Roman" w:eastAsia="Times New Roman" w:hAnsi="Times New Roman"/>
          <w:sz w:val="21"/>
          <w:szCs w:val="21"/>
          <w:color w:val="auto"/>
        </w:rPr>
        <w:t>are</w:t>
      </w:r>
      <w:r>
        <w:rPr>
          <w:rFonts w:ascii="Times New Roman" w:cs="Times New Roman" w:eastAsia="Times New Roman" w:hAnsi="Times New Roman"/>
          <w:sz w:val="20"/>
          <w:szCs w:val="20"/>
          <w:color w:val="auto"/>
        </w:rPr>
        <w:t xml:space="preserve"> voluntarily </w:t>
      </w:r>
      <w:r>
        <w:rPr>
          <w:rFonts w:ascii="Times New Roman" w:cs="Times New Roman" w:eastAsia="Times New Roman" w:hAnsi="Times New Roman"/>
          <w:sz w:val="21"/>
          <w:szCs w:val="21"/>
          <w:color w:val="auto"/>
        </w:rPr>
        <w:t>participating in</w:t>
      </w:r>
      <w:r>
        <w:rPr>
          <w:rFonts w:ascii="Times New Roman" w:cs="Times New Roman" w:eastAsia="Times New Roman" w:hAnsi="Times New Roman"/>
          <w:sz w:val="20"/>
          <w:szCs w:val="20"/>
          <w:color w:val="auto"/>
        </w:rPr>
        <w:t xml:space="preserve"> the Plan.</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PSUs are </w:t>
      </w:r>
      <w:r>
        <w:rPr>
          <w:rFonts w:ascii="Times New Roman" w:cs="Times New Roman" w:eastAsia="Times New Roman" w:hAnsi="Times New Roman"/>
          <w:sz w:val="21"/>
          <w:szCs w:val="21"/>
          <w:color w:val="auto"/>
        </w:rPr>
        <w:t>an</w:t>
      </w:r>
      <w:r>
        <w:rPr>
          <w:rFonts w:ascii="Times New Roman" w:cs="Times New Roman" w:eastAsia="Times New Roman" w:hAnsi="Times New Roman"/>
          <w:sz w:val="20"/>
          <w:szCs w:val="20"/>
          <w:color w:val="auto"/>
        </w:rPr>
        <w:t xml:space="preserve"> extraordinary </w:t>
      </w:r>
      <w:r>
        <w:rPr>
          <w:rFonts w:ascii="Times New Roman" w:cs="Times New Roman" w:eastAsia="Times New Roman" w:hAnsi="Times New Roman"/>
          <w:sz w:val="21"/>
          <w:szCs w:val="21"/>
          <w:color w:val="auto"/>
        </w:rPr>
        <w:t>item</w:t>
      </w:r>
      <w:r>
        <w:rPr>
          <w:rFonts w:ascii="Times New Roman" w:cs="Times New Roman" w:eastAsia="Times New Roman" w:hAnsi="Times New Roman"/>
          <w:sz w:val="20"/>
          <w:szCs w:val="20"/>
          <w:color w:val="auto"/>
        </w:rPr>
        <w:t xml:space="preserve"> that does not constitute compensation </w:t>
      </w:r>
      <w:r>
        <w:rPr>
          <w:rFonts w:ascii="Times New Roman" w:cs="Times New Roman" w:eastAsia="Times New Roman" w:hAnsi="Times New Roman"/>
          <w:sz w:val="21"/>
          <w:szCs w:val="21"/>
          <w:color w:val="auto"/>
        </w:rPr>
        <w:t>of any</w:t>
      </w:r>
      <w:r>
        <w:rPr>
          <w:rFonts w:ascii="Times New Roman" w:cs="Times New Roman" w:eastAsia="Times New Roman" w:hAnsi="Times New Roman"/>
          <w:sz w:val="20"/>
          <w:szCs w:val="20"/>
          <w:color w:val="auto"/>
        </w:rPr>
        <w:t xml:space="preserve"> kind for</w:t>
      </w:r>
    </w:p>
    <w:p>
      <w:pPr>
        <w:spacing w:after="0"/>
        <w:rPr>
          <w:sz w:val="20"/>
          <w:szCs w:val="20"/>
          <w:color w:val="auto"/>
        </w:rPr>
      </w:pPr>
      <w:r>
        <w:rPr>
          <w:rFonts w:ascii="Times New Roman" w:cs="Times New Roman" w:eastAsia="Times New Roman" w:hAnsi="Times New Roman"/>
          <w:sz w:val="20"/>
          <w:szCs w:val="20"/>
          <w:color w:val="auto"/>
        </w:rPr>
        <w:t xml:space="preserve">service of any kind rendered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FactSet, and which is outside </w:t>
      </w:r>
      <w:r>
        <w:rPr>
          <w:rFonts w:ascii="Times New Roman" w:cs="Times New Roman" w:eastAsia="Times New Roman" w:hAnsi="Times New Roman"/>
          <w:sz w:val="21"/>
          <w:szCs w:val="21"/>
          <w:color w:val="auto"/>
        </w:rPr>
        <w:t>the scope of</w:t>
      </w:r>
      <w:r>
        <w:rPr>
          <w:rFonts w:ascii="Times New Roman" w:cs="Times New Roman" w:eastAsia="Times New Roman" w:hAnsi="Times New Roman"/>
          <w:sz w:val="20"/>
          <w:szCs w:val="20"/>
          <w:color w:val="auto"/>
        </w:rPr>
        <w:t xml:space="preserve"> your employment contract, if </w:t>
      </w:r>
      <w:r>
        <w:rPr>
          <w:rFonts w:ascii="Times New Roman" w:cs="Times New Roman" w:eastAsia="Times New Roman" w:hAnsi="Times New Roman"/>
          <w:sz w:val="21"/>
          <w:szCs w:val="21"/>
          <w:color w:val="auto"/>
        </w:rPr>
        <w:t>any.</w:t>
      </w:r>
    </w:p>
    <w:p>
      <w:pPr>
        <w:sectPr>
          <w:pgSz w:w="11900" w:h="16838" w:orient="portrait"/>
          <w:cols w:equalWidth="0" w:num="1">
            <w:col w:w="11240"/>
          </w:cols>
          <w:pgMar w:left="320" w:top="114"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h.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PSUs are not part of normal or expected compensation </w:t>
      </w:r>
      <w:r>
        <w:rPr>
          <w:rFonts w:ascii="Times New Roman" w:cs="Times New Roman" w:eastAsia="Times New Roman" w:hAnsi="Times New Roman"/>
          <w:sz w:val="21"/>
          <w:szCs w:val="21"/>
          <w:color w:val="auto"/>
        </w:rPr>
        <w:t>or salary for any</w:t>
      </w:r>
      <w:r>
        <w:rPr>
          <w:rFonts w:ascii="Times New Roman" w:cs="Times New Roman" w:eastAsia="Times New Roman" w:hAnsi="Times New Roman"/>
          <w:sz w:val="20"/>
          <w:szCs w:val="20"/>
          <w:color w:val="auto"/>
        </w:rPr>
        <w:t xml:space="preserve"> purpose,</w:t>
      </w:r>
    </w:p>
    <w:p>
      <w:pPr>
        <w:ind w:right="160"/>
        <w:spacing w:after="0" w:line="244" w:lineRule="auto"/>
        <w:rPr>
          <w:sz w:val="20"/>
          <w:szCs w:val="20"/>
          <w:color w:val="auto"/>
        </w:rPr>
      </w:pPr>
      <w:r>
        <w:rPr>
          <w:rFonts w:ascii="Times New Roman" w:cs="Times New Roman" w:eastAsia="Times New Roman" w:hAnsi="Times New Roman"/>
          <w:sz w:val="20"/>
          <w:szCs w:val="20"/>
          <w:color w:val="auto"/>
        </w:rPr>
        <w:t xml:space="preserve">including, but not limited to, </w:t>
      </w:r>
      <w:r>
        <w:rPr>
          <w:rFonts w:ascii="Times New Roman" w:cs="Times New Roman" w:eastAsia="Times New Roman" w:hAnsi="Times New Roman"/>
          <w:sz w:val="21"/>
          <w:szCs w:val="21"/>
          <w:color w:val="auto"/>
        </w:rPr>
        <w:t>calculating any severance,</w:t>
      </w:r>
      <w:r>
        <w:rPr>
          <w:rFonts w:ascii="Times New Roman" w:cs="Times New Roman" w:eastAsia="Times New Roman" w:hAnsi="Times New Roman"/>
          <w:sz w:val="20"/>
          <w:szCs w:val="20"/>
          <w:color w:val="auto"/>
        </w:rPr>
        <w:t xml:space="preserve"> resignation, termination, redundancy, </w:t>
      </w:r>
      <w:r>
        <w:rPr>
          <w:rFonts w:ascii="Times New Roman" w:cs="Times New Roman" w:eastAsia="Times New Roman" w:hAnsi="Times New Roman"/>
          <w:sz w:val="21"/>
          <w:szCs w:val="21"/>
          <w:color w:val="auto"/>
        </w:rPr>
        <w:t>end-of- service</w:t>
      </w:r>
      <w:r>
        <w:rPr>
          <w:rFonts w:ascii="Times New Roman" w:cs="Times New Roman" w:eastAsia="Times New Roman" w:hAnsi="Times New Roman"/>
          <w:sz w:val="20"/>
          <w:szCs w:val="20"/>
          <w:color w:val="auto"/>
        </w:rPr>
        <w:t xml:space="preserve"> payments, bonuses, </w:t>
      </w:r>
      <w:r>
        <w:rPr>
          <w:rFonts w:ascii="Times New Roman" w:cs="Times New Roman" w:eastAsia="Times New Roman" w:hAnsi="Times New Roman"/>
          <w:sz w:val="21"/>
          <w:szCs w:val="21"/>
          <w:color w:val="auto"/>
        </w:rPr>
        <w:t xml:space="preserve">long-service </w:t>
      </w:r>
      <w:r>
        <w:rPr>
          <w:rFonts w:ascii="Times New Roman" w:cs="Times New Roman" w:eastAsia="Times New Roman" w:hAnsi="Times New Roman"/>
          <w:sz w:val="19"/>
          <w:szCs w:val="19"/>
          <w:color w:val="auto"/>
        </w:rPr>
        <w:t>awards, pension or retirement</w:t>
      </w:r>
      <w:r>
        <w:rPr>
          <w:rFonts w:ascii="Times New Roman" w:cs="Times New Roman" w:eastAsia="Times New Roman" w:hAnsi="Times New Roman"/>
          <w:sz w:val="21"/>
          <w:szCs w:val="21"/>
          <w:color w:val="auto"/>
        </w:rPr>
        <w:t xml:space="preserve"> benefits or </w:t>
      </w:r>
      <w:r>
        <w:rPr>
          <w:rFonts w:ascii="Times New Roman" w:cs="Times New Roman" w:eastAsia="Times New Roman" w:hAnsi="Times New Roman"/>
          <w:sz w:val="19"/>
          <w:szCs w:val="19"/>
          <w:color w:val="auto"/>
        </w:rPr>
        <w:t>similar payments.</w:t>
      </w:r>
    </w:p>
    <w:p>
      <w:pPr>
        <w:spacing w:after="0" w:line="187" w:lineRule="exact"/>
        <w:rPr>
          <w:sz w:val="20"/>
          <w:szCs w:val="20"/>
          <w:color w:val="auto"/>
        </w:rPr>
      </w:pPr>
    </w:p>
    <w:p>
      <w:pPr>
        <w:ind w:right="3800" w:firstLine="648"/>
        <w:spacing w:after="0" w:line="268" w:lineRule="auto"/>
        <w:rPr>
          <w:sz w:val="20"/>
          <w:szCs w:val="20"/>
          <w:color w:val="auto"/>
        </w:rPr>
      </w:pPr>
      <w:r>
        <w:rPr>
          <w:rFonts w:ascii="Times New Roman" w:cs="Times New Roman" w:eastAsia="Times New Roman" w:hAnsi="Times New Roman"/>
          <w:sz w:val="20"/>
          <w:szCs w:val="20"/>
          <w:color w:val="auto"/>
        </w:rPr>
        <w:t xml:space="preserve">i. In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event </w:t>
      </w:r>
      <w:r>
        <w:rPr>
          <w:rFonts w:ascii="Times New Roman" w:cs="Times New Roman" w:eastAsia="Times New Roman" w:hAnsi="Times New Roman"/>
          <w:sz w:val="21"/>
          <w:szCs w:val="21"/>
          <w:color w:val="auto"/>
        </w:rPr>
        <w:t>that you are</w:t>
      </w:r>
      <w:r>
        <w:rPr>
          <w:rFonts w:ascii="Times New Roman" w:cs="Times New Roman" w:eastAsia="Times New Roman" w:hAnsi="Times New Roman"/>
          <w:sz w:val="20"/>
          <w:szCs w:val="20"/>
          <w:color w:val="auto"/>
        </w:rPr>
        <w:t xml:space="preserve"> not </w:t>
      </w:r>
      <w:r>
        <w:rPr>
          <w:rFonts w:ascii="Times New Roman" w:cs="Times New Roman" w:eastAsia="Times New Roman" w:hAnsi="Times New Roman"/>
          <w:sz w:val="21"/>
          <w:szCs w:val="21"/>
          <w:color w:val="auto"/>
        </w:rPr>
        <w:t>an employee of</w:t>
      </w:r>
      <w:r>
        <w:rPr>
          <w:rFonts w:ascii="Times New Roman" w:cs="Times New Roman" w:eastAsia="Times New Roman" w:hAnsi="Times New Roman"/>
          <w:sz w:val="20"/>
          <w:szCs w:val="20"/>
          <w:color w:val="auto"/>
        </w:rPr>
        <w:t xml:space="preserve"> FactSet, the PSUs grant </w:t>
      </w:r>
      <w:r>
        <w:rPr>
          <w:rFonts w:ascii="Times New Roman" w:cs="Times New Roman" w:eastAsia="Times New Roman" w:hAnsi="Times New Roman"/>
          <w:sz w:val="21"/>
          <w:szCs w:val="21"/>
          <w:color w:val="auto"/>
        </w:rPr>
        <w:t>will not be</w:t>
      </w:r>
      <w:r>
        <w:rPr>
          <w:rFonts w:ascii="Times New Roman" w:cs="Times New Roman" w:eastAsia="Times New Roman" w:hAnsi="Times New Roman"/>
          <w:sz w:val="20"/>
          <w:szCs w:val="20"/>
          <w:color w:val="auto"/>
        </w:rPr>
        <w:t xml:space="preserve"> interpreted to </w:t>
      </w:r>
      <w:r>
        <w:rPr>
          <w:rFonts w:ascii="Times New Roman" w:cs="Times New Roman" w:eastAsia="Times New Roman" w:hAnsi="Times New Roman"/>
          <w:sz w:val="21"/>
          <w:szCs w:val="21"/>
          <w:color w:val="auto"/>
        </w:rPr>
        <w:t>form an</w:t>
      </w:r>
      <w:r>
        <w:rPr>
          <w:rFonts w:ascii="Times New Roman" w:cs="Times New Roman" w:eastAsia="Times New Roman" w:hAnsi="Times New Roman"/>
          <w:sz w:val="20"/>
          <w:szCs w:val="20"/>
          <w:color w:val="auto"/>
        </w:rPr>
        <w:t xml:space="preserve"> employment </w:t>
      </w:r>
      <w:r>
        <w:rPr>
          <w:rFonts w:ascii="Times New Roman" w:cs="Times New Roman" w:eastAsia="Times New Roman" w:hAnsi="Times New Roman"/>
          <w:sz w:val="21"/>
          <w:szCs w:val="21"/>
          <w:color w:val="auto"/>
        </w:rPr>
        <w:t>contract</w:t>
      </w:r>
      <w:r>
        <w:rPr>
          <w:rFonts w:ascii="Times New Roman" w:cs="Times New Roman" w:eastAsia="Times New Roman" w:hAnsi="Times New Roman"/>
          <w:sz w:val="20"/>
          <w:szCs w:val="20"/>
          <w:color w:val="auto"/>
        </w:rPr>
        <w:t xml:space="preserve"> or relationship with FactSet.</w:t>
      </w:r>
    </w:p>
    <w:p>
      <w:pPr>
        <w:spacing w:after="0" w:line="149" w:lineRule="exact"/>
        <w:rPr>
          <w:sz w:val="20"/>
          <w:szCs w:val="20"/>
          <w:color w:val="auto"/>
        </w:rPr>
      </w:pPr>
    </w:p>
    <w:p>
      <w:pPr>
        <w:ind w:right="37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j. The future value of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underlying Shares is unknown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cannot be predicted </w:t>
      </w:r>
      <w:r>
        <w:rPr>
          <w:rFonts w:ascii="Times New Roman" w:cs="Times New Roman" w:eastAsia="Times New Roman" w:hAnsi="Times New Roman"/>
          <w:sz w:val="21"/>
          <w:szCs w:val="21"/>
          <w:color w:val="auto"/>
        </w:rPr>
        <w:t>with</w:t>
      </w:r>
      <w:r>
        <w:rPr>
          <w:rFonts w:ascii="Times New Roman" w:cs="Times New Roman" w:eastAsia="Times New Roman" w:hAnsi="Times New Roman"/>
          <w:sz w:val="20"/>
          <w:szCs w:val="20"/>
          <w:color w:val="auto"/>
        </w:rPr>
        <w:t xml:space="preserve"> certainty. The </w:t>
      </w:r>
      <w:r>
        <w:rPr>
          <w:rFonts w:ascii="Times New Roman" w:cs="Times New Roman" w:eastAsia="Times New Roman" w:hAnsi="Times New Roman"/>
          <w:sz w:val="21"/>
          <w:szCs w:val="21"/>
          <w:color w:val="auto"/>
        </w:rPr>
        <w:t>value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Shares </w:t>
      </w:r>
      <w:r>
        <w:rPr>
          <w:rFonts w:ascii="Times New Roman" w:cs="Times New Roman" w:eastAsia="Times New Roman" w:hAnsi="Times New Roman"/>
          <w:sz w:val="21"/>
          <w:szCs w:val="21"/>
          <w:color w:val="auto"/>
        </w:rPr>
        <w:t>may increase</w:t>
      </w:r>
      <w:r>
        <w:rPr>
          <w:rFonts w:ascii="Times New Roman" w:cs="Times New Roman" w:eastAsia="Times New Roman" w:hAnsi="Times New Roman"/>
          <w:sz w:val="20"/>
          <w:szCs w:val="20"/>
          <w:color w:val="auto"/>
        </w:rPr>
        <w:t xml:space="preserve"> or decrease.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k. No claim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entitlement to compensation </w:t>
      </w:r>
      <w:r>
        <w:rPr>
          <w:rFonts w:ascii="Times New Roman" w:cs="Times New Roman" w:eastAsia="Times New Roman" w:hAnsi="Times New Roman"/>
          <w:sz w:val="21"/>
          <w:szCs w:val="21"/>
          <w:color w:val="auto"/>
        </w:rPr>
        <w:t>or damages arises</w:t>
      </w:r>
      <w:r>
        <w:rPr>
          <w:rFonts w:ascii="Times New Roman" w:cs="Times New Roman" w:eastAsia="Times New Roman" w:hAnsi="Times New Roman"/>
          <w:sz w:val="20"/>
          <w:szCs w:val="20"/>
          <w:color w:val="auto"/>
        </w:rPr>
        <w:t xml:space="preserve"> from termination of the PSUs</w:t>
      </w:r>
    </w:p>
    <w:p>
      <w:pPr>
        <w:spacing w:after="0"/>
        <w:rPr>
          <w:sz w:val="20"/>
          <w:szCs w:val="20"/>
          <w:color w:val="auto"/>
        </w:rPr>
      </w:pPr>
      <w:r>
        <w:rPr>
          <w:rFonts w:ascii="Times New Roman" w:cs="Times New Roman" w:eastAsia="Times New Roman" w:hAnsi="Times New Roman"/>
          <w:sz w:val="20"/>
          <w:szCs w:val="20"/>
          <w:color w:val="auto"/>
        </w:rPr>
        <w:t xml:space="preserve">or diminution </w:t>
      </w:r>
      <w:r>
        <w:rPr>
          <w:rFonts w:ascii="Times New Roman" w:cs="Times New Roman" w:eastAsia="Times New Roman" w:hAnsi="Times New Roman"/>
          <w:sz w:val="21"/>
          <w:szCs w:val="21"/>
          <w:color w:val="auto"/>
        </w:rPr>
        <w:t>in value</w:t>
      </w:r>
      <w:r>
        <w:rPr>
          <w:rFonts w:ascii="Times New Roman" w:cs="Times New Roman" w:eastAsia="Times New Roman" w:hAnsi="Times New Roman"/>
          <w:sz w:val="20"/>
          <w:szCs w:val="20"/>
          <w:color w:val="auto"/>
        </w:rPr>
        <w:t xml:space="preserve"> of the PSUs or Shares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you irrevocably release </w:t>
      </w:r>
      <w:r>
        <w:rPr>
          <w:rFonts w:ascii="Times New Roman" w:cs="Times New Roman" w:eastAsia="Times New Roman" w:hAnsi="Times New Roman"/>
          <w:sz w:val="21"/>
          <w:szCs w:val="21"/>
          <w:color w:val="auto"/>
        </w:rPr>
        <w:t>FactSet</w:t>
      </w:r>
      <w:r>
        <w:rPr>
          <w:rFonts w:ascii="Times New Roman" w:cs="Times New Roman" w:eastAsia="Times New Roman" w:hAnsi="Times New Roman"/>
          <w:sz w:val="20"/>
          <w:szCs w:val="20"/>
          <w:color w:val="auto"/>
        </w:rPr>
        <w:t xml:space="preserve"> from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such </w:t>
      </w:r>
      <w:r>
        <w:rPr>
          <w:rFonts w:ascii="Times New Roman" w:cs="Times New Roman" w:eastAsia="Times New Roman" w:hAnsi="Times New Roman"/>
          <w:sz w:val="21"/>
          <w:szCs w:val="21"/>
          <w:color w:val="auto"/>
        </w:rPr>
        <w:t>claim</w:t>
      </w:r>
      <w:r>
        <w:rPr>
          <w:rFonts w:ascii="Times New Roman" w:cs="Times New Roman" w:eastAsia="Times New Roman" w:hAnsi="Times New Roman"/>
          <w:sz w:val="20"/>
          <w:szCs w:val="20"/>
          <w:color w:val="auto"/>
        </w:rPr>
        <w:t xml:space="preserve"> that may arise. If notwithstanding</w:t>
      </w:r>
    </w:p>
    <w:p>
      <w:pPr>
        <w:ind w:right="60"/>
        <w:spacing w:after="0" w:line="225" w:lineRule="auto"/>
        <w:rPr>
          <w:sz w:val="20"/>
          <w:szCs w:val="20"/>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19"/>
          <w:szCs w:val="19"/>
          <w:color w:val="auto"/>
        </w:rPr>
        <w:t>foregoing, any</w:t>
      </w:r>
      <w:r>
        <w:rPr>
          <w:rFonts w:ascii="Times New Roman" w:cs="Times New Roman" w:eastAsia="Times New Roman" w:hAnsi="Times New Roman"/>
          <w:sz w:val="22"/>
          <w:szCs w:val="22"/>
          <w:color w:val="auto"/>
        </w:rPr>
        <w:t xml:space="preserve"> such </w:t>
      </w:r>
      <w:r>
        <w:rPr>
          <w:rFonts w:ascii="Times New Roman" w:cs="Times New Roman" w:eastAsia="Times New Roman" w:hAnsi="Times New Roman"/>
          <w:sz w:val="19"/>
          <w:szCs w:val="19"/>
          <w:color w:val="auto"/>
        </w:rPr>
        <w:t>claim</w:t>
      </w:r>
      <w:r>
        <w:rPr>
          <w:rFonts w:ascii="Times New Roman" w:cs="Times New Roman" w:eastAsia="Times New Roman" w:hAnsi="Times New Roman"/>
          <w:sz w:val="22"/>
          <w:szCs w:val="22"/>
          <w:color w:val="auto"/>
        </w:rPr>
        <w:t xml:space="preserve"> in found by </w:t>
      </w:r>
      <w:r>
        <w:rPr>
          <w:rFonts w:ascii="Times New Roman" w:cs="Times New Roman" w:eastAsia="Times New Roman" w:hAnsi="Times New Roman"/>
          <w:sz w:val="19"/>
          <w:szCs w:val="19"/>
          <w:color w:val="auto"/>
        </w:rPr>
        <w:t>a</w:t>
      </w:r>
      <w:r>
        <w:rPr>
          <w:rFonts w:ascii="Times New Roman" w:cs="Times New Roman" w:eastAsia="Times New Roman" w:hAnsi="Times New Roman"/>
          <w:sz w:val="22"/>
          <w:szCs w:val="22"/>
          <w:color w:val="auto"/>
        </w:rPr>
        <w:t xml:space="preserve"> court of </w:t>
      </w:r>
      <w:r>
        <w:rPr>
          <w:rFonts w:ascii="Times New Roman" w:cs="Times New Roman" w:eastAsia="Times New Roman" w:hAnsi="Times New Roman"/>
          <w:sz w:val="19"/>
          <w:szCs w:val="19"/>
          <w:color w:val="auto"/>
        </w:rPr>
        <w:t>competent</w:t>
      </w:r>
      <w:r>
        <w:rPr>
          <w:rFonts w:ascii="Times New Roman" w:cs="Times New Roman" w:eastAsia="Times New Roman" w:hAnsi="Times New Roman"/>
          <w:sz w:val="22"/>
          <w:szCs w:val="22"/>
          <w:color w:val="auto"/>
        </w:rPr>
        <w:t xml:space="preserve"> jurisdiction </w:t>
      </w:r>
      <w:r>
        <w:rPr>
          <w:rFonts w:ascii="Times New Roman" w:cs="Times New Roman" w:eastAsia="Times New Roman" w:hAnsi="Times New Roman"/>
          <w:sz w:val="19"/>
          <w:szCs w:val="19"/>
          <w:color w:val="auto"/>
        </w:rPr>
        <w:t>to have</w:t>
      </w:r>
      <w:r>
        <w:rPr>
          <w:rFonts w:ascii="Times New Roman" w:cs="Times New Roman" w:eastAsia="Times New Roman" w:hAnsi="Times New Roman"/>
          <w:sz w:val="22"/>
          <w:szCs w:val="22"/>
          <w:color w:val="auto"/>
        </w:rPr>
        <w:t xml:space="preserve"> arisen </w:t>
      </w:r>
      <w:r>
        <w:rPr>
          <w:rFonts w:ascii="Times New Roman" w:cs="Times New Roman" w:eastAsia="Times New Roman" w:hAnsi="Times New Roman"/>
          <w:sz w:val="19"/>
          <w:szCs w:val="19"/>
          <w:color w:val="auto"/>
        </w:rPr>
        <w:t>then, by signing this Agreement,</w:t>
      </w:r>
      <w:r>
        <w:rPr>
          <w:rFonts w:ascii="Times New Roman" w:cs="Times New Roman" w:eastAsia="Times New Roman" w:hAnsi="Times New Roman"/>
          <w:sz w:val="22"/>
          <w:szCs w:val="22"/>
          <w:color w:val="auto"/>
        </w:rPr>
        <w:t xml:space="preserve"> you shall be </w:t>
      </w:r>
      <w:r>
        <w:rPr>
          <w:rFonts w:ascii="Times New Roman" w:cs="Times New Roman" w:eastAsia="Times New Roman" w:hAnsi="Times New Roman"/>
          <w:sz w:val="19"/>
          <w:szCs w:val="19"/>
          <w:color w:val="auto"/>
        </w:rPr>
        <w:t xml:space="preserve">deemed </w:t>
      </w:r>
      <w:r>
        <w:rPr>
          <w:rFonts w:ascii="Times New Roman" w:cs="Times New Roman" w:eastAsia="Times New Roman" w:hAnsi="Times New Roman"/>
          <w:sz w:val="21"/>
          <w:szCs w:val="21"/>
          <w:color w:val="auto"/>
        </w:rPr>
        <w:t>irrevocably</w:t>
      </w:r>
      <w:r>
        <w:rPr>
          <w:rFonts w:ascii="Times New Roman" w:cs="Times New Roman" w:eastAsia="Times New Roman" w:hAnsi="Times New Roman"/>
          <w:sz w:val="19"/>
          <w:szCs w:val="19"/>
          <w:color w:val="auto"/>
        </w:rPr>
        <w:t xml:space="preserve"> to have waived your entitlement to pursue such a claim.</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l. There may be certain </w:t>
      </w:r>
      <w:r>
        <w:rPr>
          <w:rFonts w:ascii="Times New Roman" w:cs="Times New Roman" w:eastAsia="Times New Roman" w:hAnsi="Times New Roman"/>
          <w:sz w:val="21"/>
          <w:szCs w:val="21"/>
          <w:color w:val="auto"/>
        </w:rPr>
        <w:t>foreign asset and/or</w:t>
      </w:r>
      <w:r>
        <w:rPr>
          <w:rFonts w:ascii="Times New Roman" w:cs="Times New Roman" w:eastAsia="Times New Roman" w:hAnsi="Times New Roman"/>
          <w:sz w:val="20"/>
          <w:szCs w:val="20"/>
          <w:color w:val="auto"/>
        </w:rPr>
        <w:t xml:space="preserve"> account </w:t>
      </w:r>
      <w:r>
        <w:rPr>
          <w:rFonts w:ascii="Times New Roman" w:cs="Times New Roman" w:eastAsia="Times New Roman" w:hAnsi="Times New Roman"/>
          <w:sz w:val="21"/>
          <w:szCs w:val="21"/>
          <w:color w:val="auto"/>
        </w:rPr>
        <w:t>reporting</w:t>
      </w:r>
      <w:r>
        <w:rPr>
          <w:rFonts w:ascii="Times New Roman" w:cs="Times New Roman" w:eastAsia="Times New Roman" w:hAnsi="Times New Roman"/>
          <w:sz w:val="20"/>
          <w:szCs w:val="20"/>
          <w:color w:val="auto"/>
        </w:rPr>
        <w:t xml:space="preserve"> requirements which </w:t>
      </w:r>
      <w:r>
        <w:rPr>
          <w:rFonts w:ascii="Times New Roman" w:cs="Times New Roman" w:eastAsia="Times New Roman" w:hAnsi="Times New Roman"/>
          <w:sz w:val="21"/>
          <w:szCs w:val="21"/>
          <w:color w:val="auto"/>
        </w:rPr>
        <w:t>may</w:t>
      </w:r>
    </w:p>
    <w:p>
      <w:pPr>
        <w:ind w:right="120"/>
        <w:spacing w:after="0" w:line="233" w:lineRule="auto"/>
        <w:rPr>
          <w:sz w:val="20"/>
          <w:szCs w:val="20"/>
          <w:color w:val="auto"/>
        </w:rPr>
      </w:pPr>
      <w:r>
        <w:rPr>
          <w:rFonts w:ascii="Times New Roman" w:cs="Times New Roman" w:eastAsia="Times New Roman" w:hAnsi="Times New Roman"/>
          <w:sz w:val="20"/>
          <w:szCs w:val="20"/>
          <w:color w:val="auto"/>
        </w:rPr>
        <w:t xml:space="preserve">affect your ability to </w:t>
      </w:r>
      <w:r>
        <w:rPr>
          <w:rFonts w:ascii="Times New Roman" w:cs="Times New Roman" w:eastAsia="Times New Roman" w:hAnsi="Times New Roman"/>
          <w:sz w:val="21"/>
          <w:szCs w:val="21"/>
          <w:color w:val="auto"/>
        </w:rPr>
        <w:t>acquire or</w:t>
      </w:r>
      <w:r>
        <w:rPr>
          <w:rFonts w:ascii="Times New Roman" w:cs="Times New Roman" w:eastAsia="Times New Roman" w:hAnsi="Times New Roman"/>
          <w:sz w:val="20"/>
          <w:szCs w:val="20"/>
          <w:color w:val="auto"/>
        </w:rPr>
        <w:t xml:space="preserve"> hold Shares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cash received from participating in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Plan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a brokerage or bank account outside your country. You </w:t>
      </w:r>
      <w:r>
        <w:rPr>
          <w:rFonts w:ascii="Times New Roman" w:cs="Times New Roman" w:eastAsia="Times New Roman" w:hAnsi="Times New Roman"/>
          <w:sz w:val="21"/>
          <w:szCs w:val="21"/>
          <w:color w:val="auto"/>
        </w:rPr>
        <w:t>may</w:t>
      </w:r>
      <w:r>
        <w:rPr>
          <w:rFonts w:ascii="Times New Roman" w:cs="Times New Roman" w:eastAsia="Times New Roman" w:hAnsi="Times New Roman"/>
          <w:sz w:val="20"/>
          <w:szCs w:val="20"/>
          <w:color w:val="auto"/>
        </w:rPr>
        <w:t xml:space="preserve"> be required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report such accounts, </w:t>
      </w:r>
      <w:r>
        <w:rPr>
          <w:rFonts w:ascii="Times New Roman" w:cs="Times New Roman" w:eastAsia="Times New Roman" w:hAnsi="Times New Roman"/>
          <w:sz w:val="21"/>
          <w:szCs w:val="21"/>
          <w:color w:val="auto"/>
        </w:rPr>
        <w:t>assets or related</w:t>
      </w:r>
      <w:r>
        <w:rPr>
          <w:rFonts w:ascii="Times New Roman" w:cs="Times New Roman" w:eastAsia="Times New Roman" w:hAnsi="Times New Roman"/>
          <w:sz w:val="20"/>
          <w:szCs w:val="20"/>
          <w:color w:val="auto"/>
        </w:rPr>
        <w:t xml:space="preserve"> transactions </w:t>
      </w:r>
      <w:r>
        <w:rPr>
          <w:rFonts w:ascii="Times New Roman" w:cs="Times New Roman" w:eastAsia="Times New Roman" w:hAnsi="Times New Roman"/>
          <w:sz w:val="21"/>
          <w:szCs w:val="21"/>
          <w:color w:val="auto"/>
        </w:rPr>
        <w:t>to the tax or other</w:t>
      </w:r>
      <w:r>
        <w:rPr>
          <w:rFonts w:ascii="Times New Roman" w:cs="Times New Roman" w:eastAsia="Times New Roman" w:hAnsi="Times New Roman"/>
          <w:sz w:val="20"/>
          <w:szCs w:val="20"/>
          <w:color w:val="auto"/>
        </w:rPr>
        <w:t xml:space="preserve"> authorities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your country.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also </w:t>
      </w:r>
      <w:r>
        <w:rPr>
          <w:rFonts w:ascii="Times New Roman" w:cs="Times New Roman" w:eastAsia="Times New Roman" w:hAnsi="Times New Roman"/>
          <w:sz w:val="21"/>
          <w:szCs w:val="21"/>
          <w:color w:val="auto"/>
        </w:rPr>
        <w:t>may be</w:t>
      </w:r>
      <w:r>
        <w:rPr>
          <w:rFonts w:ascii="Times New Roman" w:cs="Times New Roman" w:eastAsia="Times New Roman" w:hAnsi="Times New Roman"/>
          <w:sz w:val="20"/>
          <w:szCs w:val="20"/>
          <w:color w:val="auto"/>
        </w:rPr>
        <w:t xml:space="preserve"> required </w:t>
      </w:r>
      <w:r>
        <w:rPr>
          <w:rFonts w:ascii="Times New Roman" w:cs="Times New Roman" w:eastAsia="Times New Roman" w:hAnsi="Times New Roman"/>
          <w:sz w:val="21"/>
          <w:szCs w:val="21"/>
          <w:color w:val="auto"/>
        </w:rPr>
        <w:t>to repatriate</w:t>
      </w:r>
      <w:r>
        <w:rPr>
          <w:rFonts w:ascii="Times New Roman" w:cs="Times New Roman" w:eastAsia="Times New Roman" w:hAnsi="Times New Roman"/>
          <w:sz w:val="20"/>
          <w:szCs w:val="20"/>
          <w:color w:val="auto"/>
        </w:rPr>
        <w:t xml:space="preserve"> sale proceeds </w:t>
      </w:r>
      <w:r>
        <w:rPr>
          <w:rFonts w:ascii="Times New Roman" w:cs="Times New Roman" w:eastAsia="Times New Roman" w:hAnsi="Times New Roman"/>
          <w:sz w:val="21"/>
          <w:szCs w:val="21"/>
          <w:color w:val="auto"/>
        </w:rPr>
        <w:t>or other</w:t>
      </w:r>
      <w:r>
        <w:rPr>
          <w:rFonts w:ascii="Times New Roman" w:cs="Times New Roman" w:eastAsia="Times New Roman" w:hAnsi="Times New Roman"/>
          <w:sz w:val="20"/>
          <w:szCs w:val="20"/>
          <w:color w:val="auto"/>
        </w:rPr>
        <w:t xml:space="preserve"> funds </w:t>
      </w:r>
      <w:r>
        <w:rPr>
          <w:rFonts w:ascii="Times New Roman" w:cs="Times New Roman" w:eastAsia="Times New Roman" w:hAnsi="Times New Roman"/>
          <w:sz w:val="21"/>
          <w:szCs w:val="21"/>
          <w:color w:val="auto"/>
        </w:rPr>
        <w:t>received</w:t>
      </w:r>
      <w:r>
        <w:rPr>
          <w:rFonts w:ascii="Times New Roman" w:cs="Times New Roman" w:eastAsia="Times New Roman" w:hAnsi="Times New Roman"/>
          <w:sz w:val="20"/>
          <w:szCs w:val="20"/>
          <w:color w:val="auto"/>
        </w:rPr>
        <w:t xml:space="preserve"> as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result of </w:t>
      </w:r>
      <w:r>
        <w:rPr>
          <w:rFonts w:ascii="Times New Roman" w:cs="Times New Roman" w:eastAsia="Times New Roman" w:hAnsi="Times New Roman"/>
          <w:sz w:val="21"/>
          <w:szCs w:val="21"/>
          <w:color w:val="auto"/>
        </w:rPr>
        <w:t>participating in</w:t>
      </w:r>
      <w:r>
        <w:rPr>
          <w:rFonts w:ascii="Times New Roman" w:cs="Times New Roman" w:eastAsia="Times New Roman" w:hAnsi="Times New Roman"/>
          <w:sz w:val="20"/>
          <w:szCs w:val="20"/>
          <w:color w:val="auto"/>
        </w:rPr>
        <w:t xml:space="preserve"> the Plan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your country within a certain </w:t>
      </w:r>
      <w:r>
        <w:rPr>
          <w:rFonts w:ascii="Times New Roman" w:cs="Times New Roman" w:eastAsia="Times New Roman" w:hAnsi="Times New Roman"/>
          <w:sz w:val="21"/>
          <w:szCs w:val="21"/>
          <w:color w:val="auto"/>
        </w:rPr>
        <w:t>time after receipt.</w:t>
      </w:r>
      <w:r>
        <w:rPr>
          <w:rFonts w:ascii="Times New Roman" w:cs="Times New Roman" w:eastAsia="Times New Roman" w:hAnsi="Times New Roman"/>
          <w:sz w:val="20"/>
          <w:szCs w:val="20"/>
          <w:color w:val="auto"/>
        </w:rPr>
        <w:t xml:space="preserve"> You </w:t>
      </w:r>
      <w:r>
        <w:rPr>
          <w:rFonts w:ascii="Times New Roman" w:cs="Times New Roman" w:eastAsia="Times New Roman" w:hAnsi="Times New Roman"/>
          <w:sz w:val="21"/>
          <w:szCs w:val="21"/>
          <w:color w:val="auto"/>
        </w:rPr>
        <w:t>acknowledge</w:t>
      </w:r>
      <w:r>
        <w:rPr>
          <w:rFonts w:ascii="Times New Roman" w:cs="Times New Roman" w:eastAsia="Times New Roman" w:hAnsi="Times New Roman"/>
          <w:sz w:val="20"/>
          <w:szCs w:val="20"/>
          <w:color w:val="auto"/>
        </w:rPr>
        <w:t xml:space="preserve"> that it is </w:t>
      </w:r>
      <w:r>
        <w:rPr>
          <w:rFonts w:ascii="Times New Roman" w:cs="Times New Roman" w:eastAsia="Times New Roman" w:hAnsi="Times New Roman"/>
          <w:sz w:val="21"/>
          <w:szCs w:val="21"/>
          <w:color w:val="auto"/>
        </w:rPr>
        <w:t>your</w:t>
      </w:r>
      <w:r>
        <w:rPr>
          <w:rFonts w:ascii="Times New Roman" w:cs="Times New Roman" w:eastAsia="Times New Roman" w:hAnsi="Times New Roman"/>
          <w:sz w:val="20"/>
          <w:szCs w:val="20"/>
          <w:color w:val="auto"/>
        </w:rPr>
        <w:t xml:space="preserve"> responsibility </w:t>
      </w:r>
      <w:r>
        <w:rPr>
          <w:rFonts w:ascii="Times New Roman" w:cs="Times New Roman" w:eastAsia="Times New Roman" w:hAnsi="Times New Roman"/>
          <w:sz w:val="21"/>
          <w:szCs w:val="21"/>
          <w:color w:val="auto"/>
        </w:rPr>
        <w:t>to comply</w:t>
      </w:r>
      <w:r>
        <w:rPr>
          <w:rFonts w:ascii="Times New Roman" w:cs="Times New Roman" w:eastAsia="Times New Roman" w:hAnsi="Times New Roman"/>
          <w:sz w:val="20"/>
          <w:szCs w:val="20"/>
          <w:color w:val="auto"/>
        </w:rPr>
        <w:t xml:space="preserve"> with </w:t>
      </w:r>
      <w:r>
        <w:rPr>
          <w:rFonts w:ascii="Times New Roman" w:cs="Times New Roman" w:eastAsia="Times New Roman" w:hAnsi="Times New Roman"/>
          <w:sz w:val="21"/>
          <w:szCs w:val="21"/>
          <w:color w:val="auto"/>
        </w:rPr>
        <w:t>such</w:t>
      </w:r>
      <w:r>
        <w:rPr>
          <w:rFonts w:ascii="Times New Roman" w:cs="Times New Roman" w:eastAsia="Times New Roman" w:hAnsi="Times New Roman"/>
          <w:sz w:val="20"/>
          <w:szCs w:val="20"/>
          <w:color w:val="auto"/>
        </w:rPr>
        <w:t xml:space="preserve"> regulations, and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are advised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speak to </w:t>
      </w:r>
      <w:r>
        <w:rPr>
          <w:rFonts w:ascii="Times New Roman" w:cs="Times New Roman" w:eastAsia="Times New Roman" w:hAnsi="Times New Roman"/>
          <w:sz w:val="21"/>
          <w:szCs w:val="21"/>
          <w:color w:val="auto"/>
        </w:rPr>
        <w:t>your personal advisor on</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1"/>
          <w:szCs w:val="21"/>
          <w:color w:val="auto"/>
        </w:rPr>
        <w:t>matter.</w:t>
      </w:r>
    </w:p>
    <w:p>
      <w:pPr>
        <w:spacing w:after="0" w:line="206" w:lineRule="exact"/>
        <w:rPr>
          <w:sz w:val="20"/>
          <w:szCs w:val="20"/>
          <w:color w:val="auto"/>
        </w:rPr>
      </w:pPr>
    </w:p>
    <w:p>
      <w:pPr>
        <w:ind w:left="300" w:hanging="292"/>
        <w:spacing w:after="0"/>
        <w:tabs>
          <w:tab w:leader="none" w:pos="3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b w:val="1"/>
          <w:bCs w:val="1"/>
          <w:i w:val="1"/>
          <w:iCs w:val="1"/>
          <w:u w:val="single" w:color="auto"/>
          <w:color w:val="auto"/>
        </w:rPr>
        <w:t>Data Privacy Consent</w:t>
      </w:r>
    </w:p>
    <w:p>
      <w:pPr>
        <w:spacing w:after="0" w:line="212" w:lineRule="exact"/>
        <w:rPr>
          <w:sz w:val="20"/>
          <w:szCs w:val="20"/>
          <w:color w:val="auto"/>
        </w:rPr>
      </w:pPr>
    </w:p>
    <w:p>
      <w:pPr>
        <w:ind w:right="840"/>
        <w:spacing w:after="0" w:line="27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following provisions shall apply only </w:t>
      </w:r>
      <w:r>
        <w:rPr>
          <w:rFonts w:ascii="Times New Roman" w:cs="Times New Roman" w:eastAsia="Times New Roman" w:hAnsi="Times New Roman"/>
          <w:sz w:val="21"/>
          <w:szCs w:val="21"/>
          <w:b w:val="1"/>
          <w:bCs w:val="1"/>
          <w:i w:val="1"/>
          <w:iCs w:val="1"/>
          <w:color w:val="auto"/>
        </w:rPr>
        <w:t>to</w:t>
      </w:r>
      <w:r>
        <w:rPr>
          <w:rFonts w:ascii="Times New Roman" w:cs="Times New Roman" w:eastAsia="Times New Roman" w:hAnsi="Times New Roman"/>
          <w:sz w:val="20"/>
          <w:szCs w:val="20"/>
          <w:b w:val="1"/>
          <w:bCs w:val="1"/>
          <w:i w:val="1"/>
          <w:iCs w:val="1"/>
          <w:color w:val="auto"/>
        </w:rPr>
        <w:t xml:space="preserve"> Grantees </w:t>
      </w:r>
      <w:r>
        <w:rPr>
          <w:rFonts w:ascii="Times New Roman" w:cs="Times New Roman" w:eastAsia="Times New Roman" w:hAnsi="Times New Roman"/>
          <w:sz w:val="21"/>
          <w:szCs w:val="21"/>
          <w:b w:val="1"/>
          <w:bCs w:val="1"/>
          <w:i w:val="1"/>
          <w:iCs w:val="1"/>
          <w:color w:val="auto"/>
        </w:rPr>
        <w:t>residing outside the U.S.,</w:t>
      </w:r>
      <w:r>
        <w:rPr>
          <w:rFonts w:ascii="Times New Roman" w:cs="Times New Roman" w:eastAsia="Times New Roman" w:hAnsi="Times New Roman"/>
          <w:sz w:val="20"/>
          <w:szCs w:val="20"/>
          <w:b w:val="1"/>
          <w:bCs w:val="1"/>
          <w:i w:val="1"/>
          <w:iCs w:val="1"/>
          <w:color w:val="auto"/>
        </w:rPr>
        <w:t xml:space="preserve"> the EU and EEA.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0"/>
          <w:szCs w:val="20"/>
          <w:b w:val="1"/>
          <w:bCs w:val="1"/>
          <w:i w:val="1"/>
          <w:iCs w:val="1"/>
          <w:color w:val="auto"/>
        </w:rPr>
        <w:t xml:space="preserve"> hereby </w:t>
      </w:r>
      <w:r>
        <w:rPr>
          <w:rFonts w:ascii="Times New Roman" w:cs="Times New Roman" w:eastAsia="Times New Roman" w:hAnsi="Times New Roman"/>
          <w:sz w:val="21"/>
          <w:szCs w:val="21"/>
          <w:b w:val="1"/>
          <w:bCs w:val="1"/>
          <w:i w:val="1"/>
          <w:iCs w:val="1"/>
          <w:color w:val="auto"/>
        </w:rPr>
        <w:t>explicitly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1"/>
          <w:szCs w:val="21"/>
          <w:b w:val="1"/>
          <w:bCs w:val="1"/>
          <w:i w:val="1"/>
          <w:iCs w:val="1"/>
          <w:color w:val="auto"/>
        </w:rPr>
        <w:t xml:space="preserve">unambiguously </w:t>
      </w:r>
      <w:r>
        <w:rPr>
          <w:rFonts w:ascii="Times New Roman" w:cs="Times New Roman" w:eastAsia="Times New Roman" w:hAnsi="Times New Roman"/>
          <w:sz w:val="19"/>
          <w:szCs w:val="19"/>
          <w:b w:val="1"/>
          <w:bCs w:val="1"/>
          <w:i w:val="1"/>
          <w:iCs w:val="1"/>
          <w:color w:val="auto"/>
        </w:rPr>
        <w:t>consent</w:t>
      </w:r>
      <w:r>
        <w:rPr>
          <w:rFonts w:ascii="Times New Roman" w:cs="Times New Roman" w:eastAsia="Times New Roman" w:hAnsi="Times New Roman"/>
          <w:sz w:val="21"/>
          <w:szCs w:val="21"/>
          <w:b w:val="1"/>
          <w:bCs w:val="1"/>
          <w:i w:val="1"/>
          <w:iCs w:val="1"/>
          <w:color w:val="auto"/>
        </w:rPr>
        <w:t xml:space="preserve"> to </w:t>
      </w:r>
      <w:r>
        <w:rPr>
          <w:rFonts w:ascii="Times New Roman" w:cs="Times New Roman" w:eastAsia="Times New Roman" w:hAnsi="Times New Roman"/>
          <w:sz w:val="19"/>
          <w:szCs w:val="19"/>
          <w:b w:val="1"/>
          <w:bCs w:val="1"/>
          <w:i w:val="1"/>
          <w:iCs w:val="1"/>
          <w:color w:val="auto"/>
        </w:rPr>
        <w:t>the collection,</w:t>
      </w:r>
      <w:r>
        <w:rPr>
          <w:rFonts w:ascii="Times New Roman" w:cs="Times New Roman" w:eastAsia="Times New Roman" w:hAnsi="Times New Roman"/>
          <w:sz w:val="21"/>
          <w:szCs w:val="21"/>
          <w:b w:val="1"/>
          <w:bCs w:val="1"/>
          <w:i w:val="1"/>
          <w:iCs w:val="1"/>
          <w:color w:val="auto"/>
        </w:rPr>
        <w:t xml:space="preserve"> use and transfer, in </w:t>
      </w:r>
      <w:r>
        <w:rPr>
          <w:rFonts w:ascii="Times New Roman" w:cs="Times New Roman" w:eastAsia="Times New Roman" w:hAnsi="Times New Roman"/>
          <w:sz w:val="19"/>
          <w:szCs w:val="19"/>
          <w:b w:val="1"/>
          <w:bCs w:val="1"/>
          <w:i w:val="1"/>
          <w:iCs w:val="1"/>
          <w:color w:val="auto"/>
        </w:rPr>
        <w:t>electronic or</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form, </w:t>
      </w:r>
      <w:r>
        <w:rPr>
          <w:rFonts w:ascii="Times New Roman" w:cs="Times New Roman" w:eastAsia="Times New Roman" w:hAnsi="Times New Roman"/>
          <w:sz w:val="21"/>
          <w:szCs w:val="21"/>
          <w:b w:val="1"/>
          <w:bCs w:val="1"/>
          <w:i w:val="1"/>
          <w:iCs w:val="1"/>
          <w:color w:val="auto"/>
        </w:rPr>
        <w:t>of</w:t>
      </w:r>
      <w:r>
        <w:rPr>
          <w:rFonts w:ascii="Times New Roman" w:cs="Times New Roman" w:eastAsia="Times New Roman" w:hAnsi="Times New Roman"/>
          <w:sz w:val="20"/>
          <w:szCs w:val="20"/>
          <w:b w:val="1"/>
          <w:bCs w:val="1"/>
          <w:i w:val="1"/>
          <w:iCs w:val="1"/>
          <w:color w:val="auto"/>
        </w:rPr>
        <w:t xml:space="preserve"> your Data, </w:t>
      </w:r>
      <w:r>
        <w:rPr>
          <w:rFonts w:ascii="Times New Roman" w:cs="Times New Roman" w:eastAsia="Times New Roman" w:hAnsi="Times New Roman"/>
          <w:sz w:val="21"/>
          <w:szCs w:val="21"/>
          <w:b w:val="1"/>
          <w:bCs w:val="1"/>
          <w:i w:val="1"/>
          <w:iCs w:val="1"/>
          <w:color w:val="auto"/>
        </w:rPr>
        <w:t>as defined</w:t>
      </w:r>
      <w:r>
        <w:rPr>
          <w:rFonts w:ascii="Times New Roman" w:cs="Times New Roman" w:eastAsia="Times New Roman" w:hAnsi="Times New Roman"/>
          <w:sz w:val="20"/>
          <w:szCs w:val="20"/>
          <w:b w:val="1"/>
          <w:bCs w:val="1"/>
          <w:i w:val="1"/>
          <w:iCs w:val="1"/>
          <w:color w:val="auto"/>
        </w:rPr>
        <w:t xml:space="preserve"> below, for the exclusive purpose </w:t>
      </w:r>
      <w:r>
        <w:rPr>
          <w:rFonts w:ascii="Times New Roman" w:cs="Times New Roman" w:eastAsia="Times New Roman" w:hAnsi="Times New Roman"/>
          <w:sz w:val="21"/>
          <w:szCs w:val="21"/>
          <w:b w:val="1"/>
          <w:bCs w:val="1"/>
          <w:i w:val="1"/>
          <w:iCs w:val="1"/>
          <w:color w:val="auto"/>
        </w:rPr>
        <w:t>of</w:t>
      </w:r>
      <w:r>
        <w:rPr>
          <w:rFonts w:ascii="Times New Roman" w:cs="Times New Roman" w:eastAsia="Times New Roman" w:hAnsi="Times New Roman"/>
          <w:sz w:val="20"/>
          <w:szCs w:val="20"/>
          <w:b w:val="1"/>
          <w:bCs w:val="1"/>
          <w:i w:val="1"/>
          <w:iCs w:val="1"/>
          <w:color w:val="auto"/>
        </w:rPr>
        <w:t xml:space="preserve"> implementing, administering </w:t>
      </w:r>
      <w:r>
        <w:rPr>
          <w:rFonts w:ascii="Times New Roman" w:cs="Times New Roman" w:eastAsia="Times New Roman" w:hAnsi="Times New Roman"/>
          <w:sz w:val="21"/>
          <w:szCs w:val="21"/>
          <w:b w:val="1"/>
          <w:bCs w:val="1"/>
          <w:i w:val="1"/>
          <w:iCs w:val="1"/>
          <w:color w:val="auto"/>
        </w:rPr>
        <w:t>and managing</w:t>
      </w:r>
      <w:r>
        <w:rPr>
          <w:rFonts w:ascii="Times New Roman" w:cs="Times New Roman" w:eastAsia="Times New Roman" w:hAnsi="Times New Roman"/>
          <w:sz w:val="20"/>
          <w:szCs w:val="20"/>
          <w:b w:val="1"/>
          <w:bCs w:val="1"/>
          <w:i w:val="1"/>
          <w:iCs w:val="1"/>
          <w:color w:val="auto"/>
        </w:rPr>
        <w:t xml:space="preserve"> your participation in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20"/>
          <w:szCs w:val="20"/>
          <w:b w:val="1"/>
          <w:bCs w:val="1"/>
          <w:i w:val="1"/>
          <w:iCs w:val="1"/>
          <w:color w:val="auto"/>
        </w:rPr>
        <w:t xml:space="preserv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You understand </w:t>
      </w:r>
      <w:r>
        <w:rPr>
          <w:rFonts w:ascii="Times New Roman" w:cs="Times New Roman" w:eastAsia="Times New Roman" w:hAnsi="Times New Roman"/>
          <w:sz w:val="21"/>
          <w:szCs w:val="21"/>
          <w:b w:val="1"/>
          <w:bCs w:val="1"/>
          <w:i w:val="1"/>
          <w:iCs w:val="1"/>
          <w:color w:val="auto"/>
        </w:rPr>
        <w:t>that</w:t>
      </w:r>
      <w:r>
        <w:rPr>
          <w:rFonts w:ascii="Times New Roman" w:cs="Times New Roman" w:eastAsia="Times New Roman" w:hAnsi="Times New Roman"/>
          <w:sz w:val="20"/>
          <w:szCs w:val="20"/>
          <w:b w:val="1"/>
          <w:bCs w:val="1"/>
          <w:i w:val="1"/>
          <w:iCs w:val="1"/>
          <w:color w:val="auto"/>
        </w:rPr>
        <w:t xml:space="preserve"> FactSet holds </w:t>
      </w:r>
      <w:r>
        <w:rPr>
          <w:rFonts w:ascii="Times New Roman" w:cs="Times New Roman" w:eastAsia="Times New Roman" w:hAnsi="Times New Roman"/>
          <w:sz w:val="21"/>
          <w:szCs w:val="21"/>
          <w:b w:val="1"/>
          <w:bCs w:val="1"/>
          <w:i w:val="1"/>
          <w:iCs w:val="1"/>
          <w:color w:val="auto"/>
        </w:rPr>
        <w:t>certain</w:t>
      </w:r>
      <w:r>
        <w:rPr>
          <w:rFonts w:ascii="Times New Roman" w:cs="Times New Roman" w:eastAsia="Times New Roman" w:hAnsi="Times New Roman"/>
          <w:sz w:val="20"/>
          <w:szCs w:val="20"/>
          <w:b w:val="1"/>
          <w:bCs w:val="1"/>
          <w:i w:val="1"/>
          <w:iCs w:val="1"/>
          <w:color w:val="auto"/>
        </w:rPr>
        <w:t xml:space="preserve"> personal information about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0"/>
          <w:szCs w:val="20"/>
          <w:b w:val="1"/>
          <w:bCs w:val="1"/>
          <w:i w:val="1"/>
          <w:iCs w:val="1"/>
          <w:color w:val="auto"/>
        </w:rPr>
        <w:t xml:space="preserve"> including, </w:t>
      </w:r>
      <w:r>
        <w:rPr>
          <w:rFonts w:ascii="Times New Roman" w:cs="Times New Roman" w:eastAsia="Times New Roman" w:hAnsi="Times New Roman"/>
          <w:sz w:val="21"/>
          <w:szCs w:val="21"/>
          <w:b w:val="1"/>
          <w:bCs w:val="1"/>
          <w:i w:val="1"/>
          <w:iCs w:val="1"/>
          <w:color w:val="auto"/>
        </w:rPr>
        <w:t>but</w:t>
      </w:r>
      <w:r>
        <w:rPr>
          <w:rFonts w:ascii="Times New Roman" w:cs="Times New Roman" w:eastAsia="Times New Roman" w:hAnsi="Times New Roman"/>
          <w:sz w:val="20"/>
          <w:szCs w:val="20"/>
          <w:b w:val="1"/>
          <w:bCs w:val="1"/>
          <w:i w:val="1"/>
          <w:iCs w:val="1"/>
          <w:color w:val="auto"/>
        </w:rPr>
        <w:t xml:space="preserve"> not limited </w:t>
      </w:r>
      <w:r>
        <w:rPr>
          <w:rFonts w:ascii="Times New Roman" w:cs="Times New Roman" w:eastAsia="Times New Roman" w:hAnsi="Times New Roman"/>
          <w:sz w:val="21"/>
          <w:szCs w:val="21"/>
          <w:b w:val="1"/>
          <w:bCs w:val="1"/>
          <w:i w:val="1"/>
          <w:iCs w:val="1"/>
          <w:color w:val="auto"/>
        </w:rPr>
        <w:t>to, your</w:t>
      </w:r>
      <w:r>
        <w:rPr>
          <w:rFonts w:ascii="Times New Roman" w:cs="Times New Roman" w:eastAsia="Times New Roman" w:hAnsi="Times New Roman"/>
          <w:sz w:val="20"/>
          <w:szCs w:val="20"/>
          <w:b w:val="1"/>
          <w:bCs w:val="1"/>
          <w:i w:val="1"/>
          <w:iCs w:val="1"/>
          <w:color w:val="auto"/>
        </w:rPr>
        <w:t xml:space="preserve"> name, home address</w:t>
      </w:r>
    </w:p>
    <w:p>
      <w:pPr>
        <w:spacing w:after="0" w:line="18" w:lineRule="exact"/>
        <w:rPr>
          <w:sz w:val="20"/>
          <w:szCs w:val="20"/>
          <w:color w:val="auto"/>
        </w:rPr>
      </w:pPr>
    </w:p>
    <w:p>
      <w:pPr>
        <w:ind w:right="40"/>
        <w:spacing w:after="0" w:line="211" w:lineRule="auto"/>
        <w:rPr>
          <w:sz w:val="20"/>
          <w:szCs w:val="20"/>
          <w:color w:val="auto"/>
        </w:rPr>
      </w:pPr>
      <w:r>
        <w:rPr>
          <w:rFonts w:ascii="Times New Roman" w:cs="Times New Roman" w:eastAsia="Times New Roman" w:hAnsi="Times New Roman"/>
          <w:sz w:val="22"/>
          <w:szCs w:val="22"/>
          <w:b w:val="1"/>
          <w:bCs w:val="1"/>
          <w:i w:val="1"/>
          <w:iCs w:val="1"/>
          <w:color w:val="auto"/>
        </w:rPr>
        <w:t xml:space="preserve">and </w:t>
      </w:r>
      <w:r>
        <w:rPr>
          <w:rFonts w:ascii="Times New Roman" w:cs="Times New Roman" w:eastAsia="Times New Roman" w:hAnsi="Times New Roman"/>
          <w:sz w:val="19"/>
          <w:szCs w:val="19"/>
          <w:b w:val="1"/>
          <w:bCs w:val="1"/>
          <w:i w:val="1"/>
          <w:iCs w:val="1"/>
          <w:color w:val="auto"/>
        </w:rPr>
        <w:t>telephone number, date</w:t>
      </w:r>
      <w:r>
        <w:rPr>
          <w:rFonts w:ascii="Times New Roman" w:cs="Times New Roman" w:eastAsia="Times New Roman" w:hAnsi="Times New Roman"/>
          <w:sz w:val="22"/>
          <w:szCs w:val="22"/>
          <w:b w:val="1"/>
          <w:bCs w:val="1"/>
          <w:i w:val="1"/>
          <w:iCs w:val="1"/>
          <w:color w:val="auto"/>
        </w:rPr>
        <w:t xml:space="preserve"> of </w:t>
      </w:r>
      <w:r>
        <w:rPr>
          <w:rFonts w:ascii="Times New Roman" w:cs="Times New Roman" w:eastAsia="Times New Roman" w:hAnsi="Times New Roman"/>
          <w:sz w:val="19"/>
          <w:szCs w:val="19"/>
          <w:b w:val="1"/>
          <w:bCs w:val="1"/>
          <w:i w:val="1"/>
          <w:iCs w:val="1"/>
          <w:color w:val="auto"/>
        </w:rPr>
        <w:t>birth,</w:t>
      </w:r>
      <w:r>
        <w:rPr>
          <w:rFonts w:ascii="Times New Roman" w:cs="Times New Roman" w:eastAsia="Times New Roman" w:hAnsi="Times New Roman"/>
          <w:sz w:val="22"/>
          <w:szCs w:val="22"/>
          <w:b w:val="1"/>
          <w:bCs w:val="1"/>
          <w:i w:val="1"/>
          <w:iCs w:val="1"/>
          <w:color w:val="auto"/>
        </w:rPr>
        <w:t xml:space="preserve"> social </w:t>
      </w:r>
      <w:r>
        <w:rPr>
          <w:rFonts w:ascii="Times New Roman" w:cs="Times New Roman" w:eastAsia="Times New Roman" w:hAnsi="Times New Roman"/>
          <w:sz w:val="19"/>
          <w:szCs w:val="19"/>
          <w:b w:val="1"/>
          <w:bCs w:val="1"/>
          <w:i w:val="1"/>
          <w:iCs w:val="1"/>
          <w:color w:val="auto"/>
        </w:rPr>
        <w:t>insurance</w:t>
      </w:r>
      <w:r>
        <w:rPr>
          <w:rFonts w:ascii="Times New Roman" w:cs="Times New Roman" w:eastAsia="Times New Roman" w:hAnsi="Times New Roman"/>
          <w:sz w:val="22"/>
          <w:szCs w:val="22"/>
          <w:b w:val="1"/>
          <w:bCs w:val="1"/>
          <w:i w:val="1"/>
          <w:iCs w:val="1"/>
          <w:color w:val="auto"/>
        </w:rPr>
        <w:t xml:space="preserve"> number or </w:t>
      </w:r>
      <w:r>
        <w:rPr>
          <w:rFonts w:ascii="Times New Roman" w:cs="Times New Roman" w:eastAsia="Times New Roman" w:hAnsi="Times New Roman"/>
          <w:sz w:val="19"/>
          <w:szCs w:val="19"/>
          <w:b w:val="1"/>
          <w:bCs w:val="1"/>
          <w:i w:val="1"/>
          <w:iCs w:val="1"/>
          <w:color w:val="auto"/>
        </w:rPr>
        <w:t>other identification</w:t>
      </w:r>
      <w:r>
        <w:rPr>
          <w:rFonts w:ascii="Times New Roman" w:cs="Times New Roman" w:eastAsia="Times New Roman" w:hAnsi="Times New Roman"/>
          <w:sz w:val="22"/>
          <w:szCs w:val="22"/>
          <w:b w:val="1"/>
          <w:bCs w:val="1"/>
          <w:i w:val="1"/>
          <w:iCs w:val="1"/>
          <w:color w:val="auto"/>
        </w:rPr>
        <w:t xml:space="preserve"> number, </w:t>
      </w:r>
      <w:r>
        <w:rPr>
          <w:rFonts w:ascii="Times New Roman" w:cs="Times New Roman" w:eastAsia="Times New Roman" w:hAnsi="Times New Roman"/>
          <w:sz w:val="19"/>
          <w:szCs w:val="19"/>
          <w:b w:val="1"/>
          <w:bCs w:val="1"/>
          <w:i w:val="1"/>
          <w:iCs w:val="1"/>
          <w:color w:val="auto"/>
        </w:rPr>
        <w:t>salary, nationality,</w:t>
      </w:r>
      <w:r>
        <w:rPr>
          <w:rFonts w:ascii="Times New Roman" w:cs="Times New Roman" w:eastAsia="Times New Roman" w:hAnsi="Times New Roman"/>
          <w:sz w:val="22"/>
          <w:szCs w:val="22"/>
          <w:b w:val="1"/>
          <w:bCs w:val="1"/>
          <w:i w:val="1"/>
          <w:iCs w:val="1"/>
          <w:color w:val="auto"/>
        </w:rPr>
        <w:t xml:space="preserve"> job title, any </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22"/>
          <w:szCs w:val="22"/>
          <w:b w:val="1"/>
          <w:bCs w:val="1"/>
          <w:i w:val="1"/>
          <w:iCs w:val="1"/>
          <w:color w:val="auto"/>
        </w:rPr>
        <w:t xml:space="preserve"> or </w:t>
      </w:r>
      <w:r>
        <w:rPr>
          <w:rFonts w:ascii="Times New Roman" w:cs="Times New Roman" w:eastAsia="Times New Roman" w:hAnsi="Times New Roman"/>
          <w:sz w:val="19"/>
          <w:szCs w:val="19"/>
          <w:b w:val="1"/>
          <w:bCs w:val="1"/>
          <w:i w:val="1"/>
          <w:iCs w:val="1"/>
          <w:color w:val="auto"/>
        </w:rPr>
        <w:t>directorships held</w:t>
      </w:r>
      <w:r>
        <w:rPr>
          <w:rFonts w:ascii="Times New Roman" w:cs="Times New Roman" w:eastAsia="Times New Roman" w:hAnsi="Times New Roman"/>
          <w:sz w:val="22"/>
          <w:szCs w:val="22"/>
          <w:b w:val="1"/>
          <w:bCs w:val="1"/>
          <w:i w:val="1"/>
          <w:iCs w:val="1"/>
          <w:color w:val="auto"/>
        </w:rPr>
        <w:t xml:space="preserve"> in </w:t>
      </w:r>
      <w:r>
        <w:rPr>
          <w:rFonts w:ascii="Times New Roman" w:cs="Times New Roman" w:eastAsia="Times New Roman" w:hAnsi="Times New Roman"/>
          <w:sz w:val="19"/>
          <w:szCs w:val="19"/>
          <w:b w:val="1"/>
          <w:bCs w:val="1"/>
          <w:i w:val="1"/>
          <w:iCs w:val="1"/>
          <w:color w:val="auto"/>
        </w:rPr>
        <w:t>FactSet, details of all PSUs or any other entitlement</w:t>
      </w:r>
      <w:r>
        <w:rPr>
          <w:rFonts w:ascii="Times New Roman" w:cs="Times New Roman" w:eastAsia="Times New Roman" w:hAnsi="Times New Roman"/>
          <w:sz w:val="22"/>
          <w:szCs w:val="22"/>
          <w:b w:val="1"/>
          <w:bCs w:val="1"/>
          <w:i w:val="1"/>
          <w:iCs w:val="1"/>
          <w:color w:val="auto"/>
        </w:rPr>
        <w:t xml:space="preserve"> to </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22"/>
          <w:szCs w:val="22"/>
          <w:b w:val="1"/>
          <w:bCs w:val="1"/>
          <w:i w:val="1"/>
          <w:iCs w:val="1"/>
          <w:color w:val="auto"/>
        </w:rPr>
        <w:t xml:space="preserve"> awarded, </w:t>
      </w:r>
      <w:r>
        <w:rPr>
          <w:rFonts w:ascii="Times New Roman" w:cs="Times New Roman" w:eastAsia="Times New Roman" w:hAnsi="Times New Roman"/>
          <w:sz w:val="19"/>
          <w:szCs w:val="19"/>
          <w:b w:val="1"/>
          <w:bCs w:val="1"/>
          <w:i w:val="1"/>
          <w:iCs w:val="1"/>
          <w:color w:val="auto"/>
        </w:rPr>
        <w:t>canceled, vested, unvested</w:t>
      </w:r>
      <w:r>
        <w:rPr>
          <w:rFonts w:ascii="Times New Roman" w:cs="Times New Roman" w:eastAsia="Times New Roman" w:hAnsi="Times New Roman"/>
          <w:sz w:val="22"/>
          <w:szCs w:val="22"/>
          <w:b w:val="1"/>
          <w:bCs w:val="1"/>
          <w:i w:val="1"/>
          <w:iCs w:val="1"/>
          <w:color w:val="auto"/>
        </w:rPr>
        <w:t xml:space="preserve"> or</w:t>
      </w:r>
    </w:p>
    <w:p>
      <w:pPr>
        <w:spacing w:after="0" w:line="1" w:lineRule="exact"/>
        <w:rPr>
          <w:sz w:val="20"/>
          <w:szCs w:val="20"/>
          <w:color w:val="auto"/>
        </w:rPr>
      </w:pPr>
    </w:p>
    <w:p>
      <w:pPr>
        <w:ind w:right="38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outstanding </w:t>
      </w:r>
      <w:r>
        <w:rPr>
          <w:rFonts w:ascii="Times New Roman" w:cs="Times New Roman" w:eastAsia="Times New Roman" w:hAnsi="Times New Roman"/>
          <w:sz w:val="21"/>
          <w:szCs w:val="21"/>
          <w:b w:val="1"/>
          <w:bCs w:val="1"/>
          <w:i w:val="1"/>
          <w:iCs w:val="1"/>
          <w:color w:val="auto"/>
        </w:rPr>
        <w:t>in</w:t>
      </w:r>
      <w:r>
        <w:rPr>
          <w:rFonts w:ascii="Times New Roman" w:cs="Times New Roman" w:eastAsia="Times New Roman" w:hAnsi="Times New Roman"/>
          <w:sz w:val="20"/>
          <w:szCs w:val="20"/>
          <w:b w:val="1"/>
          <w:bCs w:val="1"/>
          <w:i w:val="1"/>
          <w:iCs w:val="1"/>
          <w:color w:val="auto"/>
        </w:rPr>
        <w:t xml:space="preserve"> your </w:t>
      </w:r>
      <w:r>
        <w:rPr>
          <w:rFonts w:ascii="Times New Roman" w:cs="Times New Roman" w:eastAsia="Times New Roman" w:hAnsi="Times New Roman"/>
          <w:sz w:val="21"/>
          <w:szCs w:val="21"/>
          <w:b w:val="1"/>
          <w:bCs w:val="1"/>
          <w:i w:val="1"/>
          <w:iCs w:val="1"/>
          <w:color w:val="auto"/>
        </w:rPr>
        <w:t>favor, for the</w:t>
      </w:r>
      <w:r>
        <w:rPr>
          <w:rFonts w:ascii="Times New Roman" w:cs="Times New Roman" w:eastAsia="Times New Roman" w:hAnsi="Times New Roman"/>
          <w:sz w:val="20"/>
          <w:szCs w:val="20"/>
          <w:b w:val="1"/>
          <w:bCs w:val="1"/>
          <w:i w:val="1"/>
          <w:iCs w:val="1"/>
          <w:color w:val="auto"/>
        </w:rPr>
        <w:t xml:space="preserve"> purpose of implementing, administering </w:t>
      </w:r>
      <w:r>
        <w:rPr>
          <w:rFonts w:ascii="Times New Roman" w:cs="Times New Roman" w:eastAsia="Times New Roman" w:hAnsi="Times New Roman"/>
          <w:sz w:val="21"/>
          <w:szCs w:val="21"/>
          <w:b w:val="1"/>
          <w:bCs w:val="1"/>
          <w:i w:val="1"/>
          <w:iCs w:val="1"/>
          <w:color w:val="auto"/>
        </w:rPr>
        <w:t>and managing the</w:t>
      </w:r>
      <w:r>
        <w:rPr>
          <w:rFonts w:ascii="Times New Roman" w:cs="Times New Roman" w:eastAsia="Times New Roman" w:hAnsi="Times New Roman"/>
          <w:sz w:val="20"/>
          <w:szCs w:val="20"/>
          <w:b w:val="1"/>
          <w:bCs w:val="1"/>
          <w:i w:val="1"/>
          <w:iCs w:val="1"/>
          <w:color w:val="auto"/>
        </w:rPr>
        <w:t xml:space="preserve"> Plan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0"/>
          <w:szCs w:val="20"/>
          <w:b w:val="1"/>
          <w:bCs w:val="1"/>
          <w:i w:val="1"/>
          <w:iCs w:val="1"/>
          <w:color w:val="auto"/>
        </w:rPr>
        <w:t xml:space="preserve">“Data”). You understand </w:t>
      </w:r>
      <w:r>
        <w:rPr>
          <w:rFonts w:ascii="Times New Roman" w:cs="Times New Roman" w:eastAsia="Times New Roman" w:hAnsi="Times New Roman"/>
          <w:sz w:val="21"/>
          <w:szCs w:val="21"/>
          <w:b w:val="1"/>
          <w:bCs w:val="1"/>
          <w:i w:val="1"/>
          <w:iCs w:val="1"/>
          <w:color w:val="auto"/>
        </w:rPr>
        <w:t>that</w:t>
      </w:r>
      <w:r>
        <w:rPr>
          <w:rFonts w:ascii="Times New Roman" w:cs="Times New Roman" w:eastAsia="Times New Roman" w:hAnsi="Times New Roman"/>
          <w:sz w:val="20"/>
          <w:szCs w:val="20"/>
          <w:b w:val="1"/>
          <w:bCs w:val="1"/>
          <w:i w:val="1"/>
          <w:iCs w:val="1"/>
          <w:color w:val="auto"/>
        </w:rPr>
        <w:t xml:space="preserve"> Data </w:t>
      </w:r>
      <w:r>
        <w:rPr>
          <w:rFonts w:ascii="Times New Roman" w:cs="Times New Roman" w:eastAsia="Times New Roman" w:hAnsi="Times New Roman"/>
          <w:sz w:val="21"/>
          <w:szCs w:val="21"/>
          <w:b w:val="1"/>
          <w:bCs w:val="1"/>
          <w:i w:val="1"/>
          <w:iCs w:val="1"/>
          <w:color w:val="auto"/>
        </w:rPr>
        <w:t>may be</w:t>
      </w:r>
      <w:r>
        <w:rPr>
          <w:rFonts w:ascii="Times New Roman" w:cs="Times New Roman" w:eastAsia="Times New Roman" w:hAnsi="Times New Roman"/>
          <w:sz w:val="20"/>
          <w:szCs w:val="20"/>
          <w:b w:val="1"/>
          <w:bCs w:val="1"/>
          <w:i w:val="1"/>
          <w:iCs w:val="1"/>
          <w:color w:val="auto"/>
        </w:rPr>
        <w:t xml:space="preserve"> transferred to any </w:t>
      </w:r>
      <w:r>
        <w:rPr>
          <w:rFonts w:ascii="Times New Roman" w:cs="Times New Roman" w:eastAsia="Times New Roman" w:hAnsi="Times New Roman"/>
          <w:sz w:val="21"/>
          <w:szCs w:val="21"/>
          <w:b w:val="1"/>
          <w:bCs w:val="1"/>
          <w:i w:val="1"/>
          <w:iCs w:val="1"/>
          <w:color w:val="auto"/>
        </w:rPr>
        <w:t>third parties assisting in the</w:t>
      </w:r>
      <w:r>
        <w:rPr>
          <w:rFonts w:ascii="Times New Roman" w:cs="Times New Roman" w:eastAsia="Times New Roman" w:hAnsi="Times New Roman"/>
          <w:sz w:val="20"/>
          <w:szCs w:val="20"/>
          <w:b w:val="1"/>
          <w:bCs w:val="1"/>
          <w:i w:val="1"/>
          <w:iCs w:val="1"/>
          <w:color w:val="auto"/>
        </w:rPr>
        <w:t xml:space="preserve"> implementation, administration </w:t>
      </w:r>
      <w:r>
        <w:rPr>
          <w:rFonts w:ascii="Times New Roman" w:cs="Times New Roman" w:eastAsia="Times New Roman" w:hAnsi="Times New Roman"/>
          <w:sz w:val="21"/>
          <w:szCs w:val="21"/>
          <w:b w:val="1"/>
          <w:bCs w:val="1"/>
          <w:i w:val="1"/>
          <w:iCs w:val="1"/>
          <w:color w:val="auto"/>
        </w:rPr>
        <w:t>and management of</w:t>
      </w:r>
      <w:r>
        <w:rPr>
          <w:rFonts w:ascii="Times New Roman" w:cs="Times New Roman" w:eastAsia="Times New Roman" w:hAnsi="Times New Roman"/>
          <w:sz w:val="20"/>
          <w:szCs w:val="20"/>
          <w:b w:val="1"/>
          <w:bCs w:val="1"/>
          <w:i w:val="1"/>
          <w:iCs w:val="1"/>
          <w:color w:val="auto"/>
        </w:rPr>
        <w:t xml:space="preserve">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0"/>
          <w:szCs w:val="20"/>
          <w:b w:val="1"/>
          <w:bCs w:val="1"/>
          <w:i w:val="1"/>
          <w:iCs w:val="1"/>
          <w:color w:val="auto"/>
        </w:rPr>
        <w:t xml:space="preserve"> that</w:t>
      </w:r>
    </w:p>
    <w:p>
      <w:pPr>
        <w:spacing w:after="0" w:line="1"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22"/>
          <w:szCs w:val="22"/>
          <w:b w:val="1"/>
          <w:bCs w:val="1"/>
          <w:i w:val="1"/>
          <w:iCs w:val="1"/>
          <w:color w:val="auto"/>
        </w:rPr>
        <w:t xml:space="preserve">these </w:t>
      </w:r>
      <w:r>
        <w:rPr>
          <w:rFonts w:ascii="Times New Roman" w:cs="Times New Roman" w:eastAsia="Times New Roman" w:hAnsi="Times New Roman"/>
          <w:sz w:val="19"/>
          <w:szCs w:val="19"/>
          <w:b w:val="1"/>
          <w:bCs w:val="1"/>
          <w:i w:val="1"/>
          <w:iCs w:val="1"/>
          <w:color w:val="auto"/>
        </w:rPr>
        <w:t>recipients</w:t>
      </w:r>
      <w:r>
        <w:rPr>
          <w:rFonts w:ascii="Times New Roman" w:cs="Times New Roman" w:eastAsia="Times New Roman" w:hAnsi="Times New Roman"/>
          <w:sz w:val="22"/>
          <w:szCs w:val="22"/>
          <w:b w:val="1"/>
          <w:bCs w:val="1"/>
          <w:i w:val="1"/>
          <w:iCs w:val="1"/>
          <w:color w:val="auto"/>
        </w:rPr>
        <w:t xml:space="preserve"> may be located </w:t>
      </w:r>
      <w:r>
        <w:rPr>
          <w:rFonts w:ascii="Times New Roman" w:cs="Times New Roman" w:eastAsia="Times New Roman" w:hAnsi="Times New Roman"/>
          <w:sz w:val="19"/>
          <w:szCs w:val="19"/>
          <w:b w:val="1"/>
          <w:bCs w:val="1"/>
          <w:i w:val="1"/>
          <w:iCs w:val="1"/>
          <w:color w:val="auto"/>
        </w:rPr>
        <w:t>in your country or elsewhere,</w:t>
      </w:r>
      <w:r>
        <w:rPr>
          <w:rFonts w:ascii="Times New Roman" w:cs="Times New Roman" w:eastAsia="Times New Roman" w:hAnsi="Times New Roman"/>
          <w:sz w:val="22"/>
          <w:szCs w:val="22"/>
          <w:b w:val="1"/>
          <w:bCs w:val="1"/>
          <w:i w:val="1"/>
          <w:iCs w:val="1"/>
          <w:color w:val="auto"/>
        </w:rPr>
        <w:t xml:space="preserve"> and </w:t>
      </w:r>
      <w:r>
        <w:rPr>
          <w:rFonts w:ascii="Times New Roman" w:cs="Times New Roman" w:eastAsia="Times New Roman" w:hAnsi="Times New Roman"/>
          <w:sz w:val="19"/>
          <w:szCs w:val="19"/>
          <w:b w:val="1"/>
          <w:bCs w:val="1"/>
          <w:i w:val="1"/>
          <w:iCs w:val="1"/>
          <w:color w:val="auto"/>
        </w:rPr>
        <w:t>that</w:t>
      </w:r>
      <w:r>
        <w:rPr>
          <w:rFonts w:ascii="Times New Roman" w:cs="Times New Roman" w:eastAsia="Times New Roman" w:hAnsi="Times New Roman"/>
          <w:sz w:val="22"/>
          <w:szCs w:val="22"/>
          <w:b w:val="1"/>
          <w:bCs w:val="1"/>
          <w:i w:val="1"/>
          <w:iCs w:val="1"/>
          <w:color w:val="auto"/>
        </w:rPr>
        <w:t xml:space="preserve"> the recipient</w:t>
      </w:r>
      <w:r>
        <w:rPr>
          <w:rFonts w:ascii="Times New Roman" w:cs="Times New Roman" w:eastAsia="Times New Roman" w:hAnsi="Times New Roman"/>
          <w:sz w:val="19"/>
          <w:szCs w:val="19"/>
          <w:b w:val="1"/>
          <w:bCs w:val="1"/>
          <w:i w:val="1"/>
          <w:iCs w:val="1"/>
          <w:color w:val="auto"/>
        </w:rPr>
        <w:t>’s country</w:t>
      </w:r>
      <w:r>
        <w:rPr>
          <w:rFonts w:ascii="Times New Roman" w:cs="Times New Roman" w:eastAsia="Times New Roman" w:hAnsi="Times New Roman"/>
          <w:sz w:val="22"/>
          <w:szCs w:val="22"/>
          <w:b w:val="1"/>
          <w:bCs w:val="1"/>
          <w:i w:val="1"/>
          <w:iCs w:val="1"/>
          <w:color w:val="auto"/>
        </w:rPr>
        <w:t xml:space="preserve"> may </w:t>
      </w:r>
      <w:r>
        <w:rPr>
          <w:rFonts w:ascii="Times New Roman" w:cs="Times New Roman" w:eastAsia="Times New Roman" w:hAnsi="Times New Roman"/>
          <w:sz w:val="19"/>
          <w:szCs w:val="19"/>
          <w:b w:val="1"/>
          <w:bCs w:val="1"/>
          <w:i w:val="1"/>
          <w:iCs w:val="1"/>
          <w:color w:val="auto"/>
        </w:rPr>
        <w:t>have</w:t>
      </w:r>
      <w:r>
        <w:rPr>
          <w:rFonts w:ascii="Times New Roman" w:cs="Times New Roman" w:eastAsia="Times New Roman" w:hAnsi="Times New Roman"/>
          <w:sz w:val="22"/>
          <w:szCs w:val="22"/>
          <w:b w:val="1"/>
          <w:bCs w:val="1"/>
          <w:i w:val="1"/>
          <w:iCs w:val="1"/>
          <w:color w:val="auto"/>
        </w:rPr>
        <w:t xml:space="preserve"> different </w:t>
      </w:r>
      <w:r>
        <w:rPr>
          <w:rFonts w:ascii="Times New Roman" w:cs="Times New Roman" w:eastAsia="Times New Roman" w:hAnsi="Times New Roman"/>
          <w:sz w:val="19"/>
          <w:szCs w:val="19"/>
          <w:b w:val="1"/>
          <w:bCs w:val="1"/>
          <w:i w:val="1"/>
          <w:iCs w:val="1"/>
          <w:color w:val="auto"/>
        </w:rPr>
        <w:t>data privacy laws</w:t>
      </w:r>
      <w:r>
        <w:rPr>
          <w:rFonts w:ascii="Times New Roman" w:cs="Times New Roman" w:eastAsia="Times New Roman" w:hAnsi="Times New Roman"/>
          <w:sz w:val="22"/>
          <w:szCs w:val="22"/>
          <w:b w:val="1"/>
          <w:bCs w:val="1"/>
          <w:i w:val="1"/>
          <w:iCs w:val="1"/>
          <w:color w:val="auto"/>
        </w:rPr>
        <w:t xml:space="preserve"> and </w:t>
      </w:r>
      <w:r>
        <w:rPr>
          <w:rFonts w:ascii="Times New Roman" w:cs="Times New Roman" w:eastAsia="Times New Roman" w:hAnsi="Times New Roman"/>
          <w:sz w:val="19"/>
          <w:szCs w:val="19"/>
          <w:b w:val="1"/>
          <w:bCs w:val="1"/>
          <w:i w:val="1"/>
          <w:iCs w:val="1"/>
          <w:color w:val="auto"/>
        </w:rPr>
        <w:t>protections than your country.</w:t>
      </w:r>
      <w:r>
        <w:rPr>
          <w:rFonts w:ascii="Times New Roman" w:cs="Times New Roman" w:eastAsia="Times New Roman" w:hAnsi="Times New Roman"/>
          <w:sz w:val="22"/>
          <w:szCs w:val="22"/>
          <w:b w:val="1"/>
          <w:bCs w:val="1"/>
          <w:i w:val="1"/>
          <w:iCs w:val="1"/>
          <w:color w:val="auto"/>
        </w:rPr>
        <w:t xml:space="preserve"> You understand that you may </w:t>
      </w:r>
      <w:r>
        <w:rPr>
          <w:rFonts w:ascii="Times New Roman" w:cs="Times New Roman" w:eastAsia="Times New Roman" w:hAnsi="Times New Roman"/>
          <w:sz w:val="19"/>
          <w:szCs w:val="19"/>
          <w:b w:val="1"/>
          <w:bCs w:val="1"/>
          <w:i w:val="1"/>
          <w:iCs w:val="1"/>
          <w:color w:val="auto"/>
        </w:rPr>
        <w:t>request a</w:t>
      </w:r>
      <w:r>
        <w:rPr>
          <w:rFonts w:ascii="Times New Roman" w:cs="Times New Roman" w:eastAsia="Times New Roman" w:hAnsi="Times New Roman"/>
          <w:sz w:val="22"/>
          <w:szCs w:val="22"/>
          <w:b w:val="1"/>
          <w:bCs w:val="1"/>
          <w:i w:val="1"/>
          <w:iCs w:val="1"/>
          <w:color w:val="auto"/>
        </w:rPr>
        <w:t xml:space="preserve"> list </w:t>
      </w:r>
      <w:r>
        <w:rPr>
          <w:rFonts w:ascii="Times New Roman" w:cs="Times New Roman" w:eastAsia="Times New Roman" w:hAnsi="Times New Roman"/>
          <w:sz w:val="19"/>
          <w:szCs w:val="19"/>
          <w:b w:val="1"/>
          <w:bCs w:val="1"/>
          <w:i w:val="1"/>
          <w:iCs w:val="1"/>
          <w:color w:val="auto"/>
        </w:rPr>
        <w:t>with</w:t>
      </w:r>
      <w:r>
        <w:rPr>
          <w:rFonts w:ascii="Times New Roman" w:cs="Times New Roman" w:eastAsia="Times New Roman" w:hAnsi="Times New Roman"/>
          <w:sz w:val="22"/>
          <w:szCs w:val="22"/>
          <w:b w:val="1"/>
          <w:bCs w:val="1"/>
          <w:i w:val="1"/>
          <w:iCs w:val="1"/>
          <w:color w:val="auto"/>
        </w:rPr>
        <w:t xml:space="preserve"> the names and </w:t>
      </w:r>
      <w:r>
        <w:rPr>
          <w:rFonts w:ascii="Times New Roman" w:cs="Times New Roman" w:eastAsia="Times New Roman" w:hAnsi="Times New Roman"/>
          <w:sz w:val="19"/>
          <w:szCs w:val="19"/>
          <w:b w:val="1"/>
          <w:bCs w:val="1"/>
          <w:i w:val="1"/>
          <w:iCs w:val="1"/>
          <w:color w:val="auto"/>
        </w:rPr>
        <w:t>addresses</w:t>
      </w:r>
      <w:r>
        <w:rPr>
          <w:rFonts w:ascii="Times New Roman" w:cs="Times New Roman" w:eastAsia="Times New Roman" w:hAnsi="Times New Roman"/>
          <w:sz w:val="22"/>
          <w:szCs w:val="22"/>
          <w:b w:val="1"/>
          <w:bCs w:val="1"/>
          <w:i w:val="1"/>
          <w:iCs w:val="1"/>
          <w:color w:val="auto"/>
        </w:rPr>
        <w:t xml:space="preserve"> of any </w:t>
      </w:r>
      <w:r>
        <w:rPr>
          <w:rFonts w:ascii="Times New Roman" w:cs="Times New Roman" w:eastAsia="Times New Roman" w:hAnsi="Times New Roman"/>
          <w:sz w:val="19"/>
          <w:szCs w:val="19"/>
          <w:b w:val="1"/>
          <w:bCs w:val="1"/>
          <w:i w:val="1"/>
          <w:iCs w:val="1"/>
          <w:color w:val="auto"/>
        </w:rPr>
        <w:t>potential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b w:val="1"/>
          <w:bCs w:val="1"/>
          <w:i w:val="1"/>
          <w:iCs w:val="1"/>
          <w:color w:val="auto"/>
        </w:rPr>
        <w:t xml:space="preserve">recipients of </w:t>
      </w:r>
      <w:r>
        <w:rPr>
          <w:rFonts w:ascii="Times New Roman" w:cs="Times New Roman" w:eastAsia="Times New Roman" w:hAnsi="Times New Roman"/>
          <w:sz w:val="21"/>
          <w:szCs w:val="21"/>
          <w:b w:val="1"/>
          <w:bCs w:val="1"/>
          <w:i w:val="1"/>
          <w:iCs w:val="1"/>
          <w:color w:val="auto"/>
        </w:rPr>
        <w:t>the Data</w:t>
      </w:r>
      <w:r>
        <w:rPr>
          <w:rFonts w:ascii="Times New Roman" w:cs="Times New Roman" w:eastAsia="Times New Roman" w:hAnsi="Times New Roman"/>
          <w:sz w:val="19"/>
          <w:szCs w:val="19"/>
          <w:b w:val="1"/>
          <w:bCs w:val="1"/>
          <w:i w:val="1"/>
          <w:iCs w:val="1"/>
          <w:color w:val="auto"/>
        </w:rPr>
        <w:t xml:space="preserve"> by contacting your local human resources representative.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19"/>
          <w:szCs w:val="19"/>
          <w:b w:val="1"/>
          <w:bCs w:val="1"/>
          <w:i w:val="1"/>
          <w:iCs w:val="1"/>
          <w:color w:val="auto"/>
        </w:rPr>
        <w:t xml:space="preserve"> authorize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19"/>
          <w:szCs w:val="19"/>
          <w:b w:val="1"/>
          <w:bCs w:val="1"/>
          <w:i w:val="1"/>
          <w:iCs w:val="1"/>
          <w:color w:val="auto"/>
        </w:rPr>
        <w:t xml:space="preserve"> recipients to </w:t>
      </w:r>
      <w:r>
        <w:rPr>
          <w:rFonts w:ascii="Times New Roman" w:cs="Times New Roman" w:eastAsia="Times New Roman" w:hAnsi="Times New Roman"/>
          <w:sz w:val="21"/>
          <w:szCs w:val="21"/>
          <w:b w:val="1"/>
          <w:bCs w:val="1"/>
          <w:i w:val="1"/>
          <w:iCs w:val="1"/>
          <w:color w:val="auto"/>
        </w:rPr>
        <w:t>receive,</w:t>
      </w:r>
      <w:r>
        <w:rPr>
          <w:rFonts w:ascii="Times New Roman" w:cs="Times New Roman" w:eastAsia="Times New Roman" w:hAnsi="Times New Roman"/>
          <w:sz w:val="19"/>
          <w:szCs w:val="19"/>
          <w:b w:val="1"/>
          <w:bCs w:val="1"/>
          <w:i w:val="1"/>
          <w:iCs w:val="1"/>
          <w:color w:val="auto"/>
        </w:rPr>
        <w:t xml:space="preserve"> possess, </w:t>
      </w:r>
      <w:r>
        <w:rPr>
          <w:rFonts w:ascii="Times New Roman" w:cs="Times New Roman" w:eastAsia="Times New Roman" w:hAnsi="Times New Roman"/>
          <w:sz w:val="21"/>
          <w:szCs w:val="21"/>
          <w:b w:val="1"/>
          <w:bCs w:val="1"/>
          <w:i w:val="1"/>
          <w:iCs w:val="1"/>
          <w:color w:val="auto"/>
        </w:rPr>
        <w:t>use,</w:t>
      </w:r>
      <w:r>
        <w:rPr>
          <w:rFonts w:ascii="Times New Roman" w:cs="Times New Roman" w:eastAsia="Times New Roman" w:hAnsi="Times New Roman"/>
          <w:sz w:val="19"/>
          <w:szCs w:val="19"/>
          <w:b w:val="1"/>
          <w:bCs w:val="1"/>
          <w:i w:val="1"/>
          <w:iCs w:val="1"/>
          <w:color w:val="auto"/>
        </w:rPr>
        <w:t xml:space="preserve"> retain </w:t>
      </w:r>
      <w:r>
        <w:rPr>
          <w:rFonts w:ascii="Times New Roman" w:cs="Times New Roman" w:eastAsia="Times New Roman" w:hAnsi="Times New Roman"/>
          <w:sz w:val="21"/>
          <w:szCs w:val="21"/>
          <w:b w:val="1"/>
          <w:bCs w:val="1"/>
          <w:i w:val="1"/>
          <w:iCs w:val="1"/>
          <w:color w:val="auto"/>
        </w:rPr>
        <w:t>and</w:t>
      </w:r>
      <w:r>
        <w:rPr>
          <w:rFonts w:ascii="Times New Roman" w:cs="Times New Roman" w:eastAsia="Times New Roman" w:hAnsi="Times New Roman"/>
          <w:sz w:val="19"/>
          <w:szCs w:val="19"/>
          <w:b w:val="1"/>
          <w:bCs w:val="1"/>
          <w:i w:val="1"/>
          <w:iCs w:val="1"/>
          <w:color w:val="auto"/>
        </w:rPr>
        <w:t xml:space="preserve"> transfer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19"/>
          <w:szCs w:val="19"/>
          <w:b w:val="1"/>
          <w:bCs w:val="1"/>
          <w:i w:val="1"/>
          <w:iCs w:val="1"/>
          <w:color w:val="auto"/>
        </w:rPr>
        <w:t xml:space="preserve"> Data, in </w:t>
      </w:r>
      <w:r>
        <w:rPr>
          <w:rFonts w:ascii="Times New Roman" w:cs="Times New Roman" w:eastAsia="Times New Roman" w:hAnsi="Times New Roman"/>
          <w:sz w:val="21"/>
          <w:szCs w:val="21"/>
          <w:b w:val="1"/>
          <w:bCs w:val="1"/>
          <w:i w:val="1"/>
          <w:iCs w:val="1"/>
          <w:color w:val="auto"/>
        </w:rPr>
        <w:t>electronic or</w:t>
      </w:r>
      <w:r>
        <w:rPr>
          <w:rFonts w:ascii="Times New Roman" w:cs="Times New Roman" w:eastAsia="Times New Roman" w:hAnsi="Times New Roman"/>
          <w:sz w:val="19"/>
          <w:szCs w:val="19"/>
          <w:b w:val="1"/>
          <w:bCs w:val="1"/>
          <w:i w:val="1"/>
          <w:iCs w:val="1"/>
          <w:color w:val="auto"/>
        </w:rPr>
        <w:t xml:space="preserve"> other form, for the purposes of implementing, administering </w:t>
      </w:r>
      <w:r>
        <w:rPr>
          <w:rFonts w:ascii="Times New Roman" w:cs="Times New Roman" w:eastAsia="Times New Roman" w:hAnsi="Times New Roman"/>
          <w:sz w:val="21"/>
          <w:szCs w:val="21"/>
          <w:b w:val="1"/>
          <w:bCs w:val="1"/>
          <w:i w:val="1"/>
          <w:iCs w:val="1"/>
          <w:color w:val="auto"/>
        </w:rPr>
        <w:t>and</w:t>
      </w:r>
      <w:r>
        <w:rPr>
          <w:rFonts w:ascii="Times New Roman" w:cs="Times New Roman" w:eastAsia="Times New Roman" w:hAnsi="Times New Roman"/>
          <w:sz w:val="19"/>
          <w:szCs w:val="19"/>
          <w:b w:val="1"/>
          <w:bCs w:val="1"/>
          <w:i w:val="1"/>
          <w:iCs w:val="1"/>
          <w:color w:val="auto"/>
        </w:rPr>
        <w:t xml:space="preserve"> managing your participation in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19"/>
          <w:szCs w:val="19"/>
          <w:b w:val="1"/>
          <w:bCs w:val="1"/>
          <w:i w:val="1"/>
          <w:iCs w:val="1"/>
          <w:color w:val="auto"/>
        </w:rPr>
        <w:t xml:space="preserve"> Plan, including </w:t>
      </w:r>
      <w:r>
        <w:rPr>
          <w:rFonts w:ascii="Times New Roman" w:cs="Times New Roman" w:eastAsia="Times New Roman" w:hAnsi="Times New Roman"/>
          <w:sz w:val="21"/>
          <w:szCs w:val="21"/>
          <w:b w:val="1"/>
          <w:bCs w:val="1"/>
          <w:i w:val="1"/>
          <w:iCs w:val="1"/>
          <w:color w:val="auto"/>
        </w:rPr>
        <w:t>any</w:t>
      </w:r>
      <w:r>
        <w:rPr>
          <w:rFonts w:ascii="Times New Roman" w:cs="Times New Roman" w:eastAsia="Times New Roman" w:hAnsi="Times New Roman"/>
          <w:sz w:val="19"/>
          <w:szCs w:val="19"/>
          <w:b w:val="1"/>
          <w:bCs w:val="1"/>
          <w:i w:val="1"/>
          <w:iCs w:val="1"/>
          <w:color w:val="auto"/>
        </w:rPr>
        <w:t xml:space="preserve"> requisite </w:t>
      </w:r>
      <w:r>
        <w:rPr>
          <w:rFonts w:ascii="Times New Roman" w:cs="Times New Roman" w:eastAsia="Times New Roman" w:hAnsi="Times New Roman"/>
          <w:sz w:val="21"/>
          <w:szCs w:val="21"/>
          <w:b w:val="1"/>
          <w:bCs w:val="1"/>
          <w:i w:val="1"/>
          <w:iCs w:val="1"/>
          <w:color w:val="auto"/>
        </w:rPr>
        <w:t>transfer of such</w:t>
      </w:r>
      <w:r>
        <w:rPr>
          <w:rFonts w:ascii="Times New Roman" w:cs="Times New Roman" w:eastAsia="Times New Roman" w:hAnsi="Times New Roman"/>
          <w:sz w:val="19"/>
          <w:szCs w:val="19"/>
          <w:b w:val="1"/>
          <w:bCs w:val="1"/>
          <w:i w:val="1"/>
          <w:iCs w:val="1"/>
          <w:color w:val="auto"/>
        </w:rPr>
        <w:t xml:space="preserve"> Data </w:t>
      </w:r>
      <w:r>
        <w:rPr>
          <w:rFonts w:ascii="Times New Roman" w:cs="Times New Roman" w:eastAsia="Times New Roman" w:hAnsi="Times New Roman"/>
          <w:sz w:val="21"/>
          <w:szCs w:val="21"/>
          <w:b w:val="1"/>
          <w:bCs w:val="1"/>
          <w:i w:val="1"/>
          <w:iCs w:val="1"/>
          <w:color w:val="auto"/>
        </w:rPr>
        <w:t>as may be</w:t>
      </w:r>
      <w:r>
        <w:rPr>
          <w:rFonts w:ascii="Times New Roman" w:cs="Times New Roman" w:eastAsia="Times New Roman" w:hAnsi="Times New Roman"/>
          <w:sz w:val="19"/>
          <w:szCs w:val="19"/>
          <w:b w:val="1"/>
          <w:bCs w:val="1"/>
          <w:i w:val="1"/>
          <w:iCs w:val="1"/>
          <w:color w:val="auto"/>
        </w:rPr>
        <w:t xml:space="preserve"> required </w:t>
      </w:r>
      <w:r>
        <w:rPr>
          <w:rFonts w:ascii="Times New Roman" w:cs="Times New Roman" w:eastAsia="Times New Roman" w:hAnsi="Times New Roman"/>
          <w:sz w:val="21"/>
          <w:szCs w:val="21"/>
          <w:b w:val="1"/>
          <w:bCs w:val="1"/>
          <w:i w:val="1"/>
          <w:iCs w:val="1"/>
          <w:color w:val="auto"/>
        </w:rPr>
        <w:t>to</w:t>
      </w:r>
      <w:r>
        <w:rPr>
          <w:rFonts w:ascii="Times New Roman" w:cs="Times New Roman" w:eastAsia="Times New Roman" w:hAnsi="Times New Roman"/>
          <w:sz w:val="19"/>
          <w:szCs w:val="19"/>
          <w:b w:val="1"/>
          <w:bCs w:val="1"/>
          <w:i w:val="1"/>
          <w:iCs w:val="1"/>
          <w:color w:val="auto"/>
        </w:rPr>
        <w:t xml:space="preserve"> a broker </w:t>
      </w:r>
      <w:r>
        <w:rPr>
          <w:rFonts w:ascii="Times New Roman" w:cs="Times New Roman" w:eastAsia="Times New Roman" w:hAnsi="Times New Roman"/>
          <w:sz w:val="21"/>
          <w:szCs w:val="21"/>
          <w:b w:val="1"/>
          <w:bCs w:val="1"/>
          <w:i w:val="1"/>
          <w:iCs w:val="1"/>
          <w:color w:val="auto"/>
        </w:rPr>
        <w:t>or other third party</w:t>
      </w:r>
      <w:r>
        <w:rPr>
          <w:rFonts w:ascii="Times New Roman" w:cs="Times New Roman" w:eastAsia="Times New Roman" w:hAnsi="Times New Roman"/>
          <w:sz w:val="19"/>
          <w:szCs w:val="19"/>
          <w:b w:val="1"/>
          <w:bCs w:val="1"/>
          <w:i w:val="1"/>
          <w:iCs w:val="1"/>
          <w:color w:val="auto"/>
        </w:rPr>
        <w:t xml:space="preserve"> with </w:t>
      </w:r>
      <w:r>
        <w:rPr>
          <w:rFonts w:ascii="Times New Roman" w:cs="Times New Roman" w:eastAsia="Times New Roman" w:hAnsi="Times New Roman"/>
          <w:sz w:val="21"/>
          <w:szCs w:val="21"/>
          <w:b w:val="1"/>
          <w:bCs w:val="1"/>
          <w:i w:val="1"/>
          <w:iCs w:val="1"/>
          <w:color w:val="auto"/>
        </w:rPr>
        <w:t xml:space="preserve">whom you may </w:t>
      </w:r>
      <w:r>
        <w:rPr>
          <w:rFonts w:ascii="Times New Roman" w:cs="Times New Roman" w:eastAsia="Times New Roman" w:hAnsi="Times New Roman"/>
          <w:sz w:val="19"/>
          <w:szCs w:val="19"/>
          <w:b w:val="1"/>
          <w:bCs w:val="1"/>
          <w:i w:val="1"/>
          <w:iCs w:val="1"/>
          <w:color w:val="auto"/>
        </w:rPr>
        <w:t>elect</w:t>
      </w:r>
      <w:r>
        <w:rPr>
          <w:rFonts w:ascii="Times New Roman" w:cs="Times New Roman" w:eastAsia="Times New Roman" w:hAnsi="Times New Roman"/>
          <w:sz w:val="21"/>
          <w:szCs w:val="21"/>
          <w:b w:val="1"/>
          <w:bCs w:val="1"/>
          <w:i w:val="1"/>
          <w:iCs w:val="1"/>
          <w:color w:val="auto"/>
        </w:rPr>
        <w:t xml:space="preserve"> to </w:t>
      </w:r>
      <w:r>
        <w:rPr>
          <w:rFonts w:ascii="Times New Roman" w:cs="Times New Roman" w:eastAsia="Times New Roman" w:hAnsi="Times New Roman"/>
          <w:sz w:val="19"/>
          <w:szCs w:val="19"/>
          <w:b w:val="1"/>
          <w:bCs w:val="1"/>
          <w:i w:val="1"/>
          <w:iCs w:val="1"/>
          <w:color w:val="auto"/>
        </w:rPr>
        <w:t>deposit</w:t>
      </w:r>
      <w:r>
        <w:rPr>
          <w:rFonts w:ascii="Times New Roman" w:cs="Times New Roman" w:eastAsia="Times New Roman" w:hAnsi="Times New Roman"/>
          <w:sz w:val="21"/>
          <w:szCs w:val="21"/>
          <w:b w:val="1"/>
          <w:bCs w:val="1"/>
          <w:i w:val="1"/>
          <w:iCs w:val="1"/>
          <w:color w:val="auto"/>
        </w:rPr>
        <w:t xml:space="preserve"> any </w:t>
      </w:r>
      <w:r>
        <w:rPr>
          <w:rFonts w:ascii="Times New Roman" w:cs="Times New Roman" w:eastAsia="Times New Roman" w:hAnsi="Times New Roman"/>
          <w:sz w:val="19"/>
          <w:szCs w:val="19"/>
          <w:b w:val="1"/>
          <w:bCs w:val="1"/>
          <w:i w:val="1"/>
          <w:iCs w:val="1"/>
          <w:color w:val="auto"/>
        </w:rPr>
        <w:t>Shares acquired pursuant</w:t>
      </w:r>
      <w:r>
        <w:rPr>
          <w:rFonts w:ascii="Times New Roman" w:cs="Times New Roman" w:eastAsia="Times New Roman" w:hAnsi="Times New Roman"/>
          <w:sz w:val="21"/>
          <w:szCs w:val="21"/>
          <w:b w:val="1"/>
          <w:bCs w:val="1"/>
          <w:i w:val="1"/>
          <w:iCs w:val="1"/>
          <w:color w:val="auto"/>
        </w:rPr>
        <w:t xml:space="preserve"> to the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21"/>
          <w:szCs w:val="21"/>
          <w:b w:val="1"/>
          <w:bCs w:val="1"/>
          <w:i w:val="1"/>
          <w:iCs w:val="1"/>
          <w:color w:val="auto"/>
        </w:rPr>
        <w:t xml:space="preserve"> You </w:t>
      </w:r>
      <w:r>
        <w:rPr>
          <w:rFonts w:ascii="Times New Roman" w:cs="Times New Roman" w:eastAsia="Times New Roman" w:hAnsi="Times New Roman"/>
          <w:sz w:val="19"/>
          <w:szCs w:val="19"/>
          <w:b w:val="1"/>
          <w:bCs w:val="1"/>
          <w:i w:val="1"/>
          <w:iCs w:val="1"/>
          <w:color w:val="auto"/>
        </w:rPr>
        <w:t>understand</w:t>
      </w:r>
      <w:r>
        <w:rPr>
          <w:rFonts w:ascii="Times New Roman" w:cs="Times New Roman" w:eastAsia="Times New Roman" w:hAnsi="Times New Roman"/>
          <w:sz w:val="21"/>
          <w:szCs w:val="21"/>
          <w:b w:val="1"/>
          <w:bCs w:val="1"/>
          <w:i w:val="1"/>
          <w:iCs w:val="1"/>
          <w:color w:val="auto"/>
        </w:rPr>
        <w:t xml:space="preserve"> that </w:t>
      </w:r>
      <w:r>
        <w:rPr>
          <w:rFonts w:ascii="Times New Roman" w:cs="Times New Roman" w:eastAsia="Times New Roman" w:hAnsi="Times New Roman"/>
          <w:sz w:val="19"/>
          <w:szCs w:val="19"/>
          <w:b w:val="1"/>
          <w:bCs w:val="1"/>
          <w:i w:val="1"/>
          <w:iCs w:val="1"/>
          <w:color w:val="auto"/>
        </w:rPr>
        <w:t>Data</w:t>
      </w:r>
      <w:r>
        <w:rPr>
          <w:rFonts w:ascii="Times New Roman" w:cs="Times New Roman" w:eastAsia="Times New Roman" w:hAnsi="Times New Roman"/>
          <w:sz w:val="21"/>
          <w:szCs w:val="21"/>
          <w:b w:val="1"/>
          <w:bCs w:val="1"/>
          <w:i w:val="1"/>
          <w:iCs w:val="1"/>
          <w:color w:val="auto"/>
        </w:rPr>
        <w:t xml:space="preserve"> will be </w:t>
      </w:r>
      <w:r>
        <w:rPr>
          <w:rFonts w:ascii="Times New Roman" w:cs="Times New Roman" w:eastAsia="Times New Roman" w:hAnsi="Times New Roman"/>
          <w:sz w:val="19"/>
          <w:szCs w:val="19"/>
          <w:b w:val="1"/>
          <w:bCs w:val="1"/>
          <w:i w:val="1"/>
          <w:iCs w:val="1"/>
          <w:color w:val="auto"/>
        </w:rPr>
        <w:t>held only</w:t>
      </w:r>
      <w:r>
        <w:rPr>
          <w:rFonts w:ascii="Times New Roman" w:cs="Times New Roman" w:eastAsia="Times New Roman" w:hAnsi="Times New Roman"/>
          <w:sz w:val="21"/>
          <w:szCs w:val="21"/>
          <w:b w:val="1"/>
          <w:bCs w:val="1"/>
          <w:i w:val="1"/>
          <w:iCs w:val="1"/>
          <w:color w:val="auto"/>
        </w:rPr>
        <w:t xml:space="preserve"> as </w:t>
      </w:r>
      <w:r>
        <w:rPr>
          <w:rFonts w:ascii="Times New Roman" w:cs="Times New Roman" w:eastAsia="Times New Roman" w:hAnsi="Times New Roman"/>
          <w:sz w:val="19"/>
          <w:szCs w:val="19"/>
          <w:b w:val="1"/>
          <w:bCs w:val="1"/>
          <w:i w:val="1"/>
          <w:iCs w:val="1"/>
          <w:color w:val="auto"/>
        </w:rPr>
        <w:t>long</w:t>
      </w:r>
      <w:r>
        <w:rPr>
          <w:rFonts w:ascii="Times New Roman" w:cs="Times New Roman" w:eastAsia="Times New Roman" w:hAnsi="Times New Roman"/>
          <w:sz w:val="21"/>
          <w:szCs w:val="21"/>
          <w:b w:val="1"/>
          <w:bCs w:val="1"/>
          <w:i w:val="1"/>
          <w:iCs w:val="1"/>
          <w:color w:val="auto"/>
        </w:rPr>
        <w:t xml:space="preserve"> as is</w:t>
      </w:r>
    </w:p>
    <w:p>
      <w:pPr>
        <w:spacing w:after="0" w:line="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necessary to implement, administer </w:t>
      </w:r>
      <w:r>
        <w:rPr>
          <w:rFonts w:ascii="Times New Roman" w:cs="Times New Roman" w:eastAsia="Times New Roman" w:hAnsi="Times New Roman"/>
          <w:sz w:val="21"/>
          <w:szCs w:val="21"/>
          <w:b w:val="1"/>
          <w:bCs w:val="1"/>
          <w:i w:val="1"/>
          <w:iCs w:val="1"/>
          <w:color w:val="auto"/>
        </w:rPr>
        <w:t>and manage</w:t>
      </w:r>
      <w:r>
        <w:rPr>
          <w:rFonts w:ascii="Times New Roman" w:cs="Times New Roman" w:eastAsia="Times New Roman" w:hAnsi="Times New Roman"/>
          <w:sz w:val="20"/>
          <w:szCs w:val="20"/>
          <w:b w:val="1"/>
          <w:bCs w:val="1"/>
          <w:i w:val="1"/>
          <w:iCs w:val="1"/>
          <w:color w:val="auto"/>
        </w:rPr>
        <w:t xml:space="preserve"> your participation </w:t>
      </w:r>
      <w:r>
        <w:rPr>
          <w:rFonts w:ascii="Times New Roman" w:cs="Times New Roman" w:eastAsia="Times New Roman" w:hAnsi="Times New Roman"/>
          <w:sz w:val="21"/>
          <w:szCs w:val="21"/>
          <w:b w:val="1"/>
          <w:bCs w:val="1"/>
          <w:i w:val="1"/>
          <w:iCs w:val="1"/>
          <w:color w:val="auto"/>
        </w:rPr>
        <w:t>in the</w:t>
      </w:r>
      <w:r>
        <w:rPr>
          <w:rFonts w:ascii="Times New Roman" w:cs="Times New Roman" w:eastAsia="Times New Roman" w:hAnsi="Times New Roman"/>
          <w:sz w:val="20"/>
          <w:szCs w:val="20"/>
          <w:b w:val="1"/>
          <w:bCs w:val="1"/>
          <w:i w:val="1"/>
          <w:iCs w:val="1"/>
          <w:color w:val="auto"/>
        </w:rPr>
        <w:t xml:space="preserve"> Plan.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0"/>
          <w:szCs w:val="20"/>
          <w:b w:val="1"/>
          <w:bCs w:val="1"/>
          <w:i w:val="1"/>
          <w:iCs w:val="1"/>
          <w:color w:val="auto"/>
        </w:rPr>
        <w:t xml:space="preserve"> understand </w:t>
      </w:r>
      <w:r>
        <w:rPr>
          <w:rFonts w:ascii="Times New Roman" w:cs="Times New Roman" w:eastAsia="Times New Roman" w:hAnsi="Times New Roman"/>
          <w:sz w:val="21"/>
          <w:szCs w:val="21"/>
          <w:b w:val="1"/>
          <w:bCs w:val="1"/>
          <w:i w:val="1"/>
          <w:iCs w:val="1"/>
          <w:color w:val="auto"/>
        </w:rPr>
        <w:t>that you</w:t>
      </w:r>
      <w:r>
        <w:rPr>
          <w:rFonts w:ascii="Times New Roman" w:cs="Times New Roman" w:eastAsia="Times New Roman" w:hAnsi="Times New Roman"/>
          <w:sz w:val="20"/>
          <w:szCs w:val="20"/>
          <w:b w:val="1"/>
          <w:bCs w:val="1"/>
          <w:i w:val="1"/>
          <w:iCs w:val="1"/>
          <w:color w:val="auto"/>
        </w:rPr>
        <w:t xml:space="preserve"> may, </w:t>
      </w:r>
      <w:r>
        <w:rPr>
          <w:rFonts w:ascii="Times New Roman" w:cs="Times New Roman" w:eastAsia="Times New Roman" w:hAnsi="Times New Roman"/>
          <w:sz w:val="21"/>
          <w:szCs w:val="21"/>
          <w:b w:val="1"/>
          <w:bCs w:val="1"/>
          <w:i w:val="1"/>
          <w:iCs w:val="1"/>
          <w:color w:val="auto"/>
        </w:rPr>
        <w:t>at any time,</w:t>
      </w:r>
      <w:r>
        <w:rPr>
          <w:rFonts w:ascii="Times New Roman" w:cs="Times New Roman" w:eastAsia="Times New Roman" w:hAnsi="Times New Roman"/>
          <w:sz w:val="20"/>
          <w:szCs w:val="20"/>
          <w:b w:val="1"/>
          <w:bCs w:val="1"/>
          <w:i w:val="1"/>
          <w:iCs w:val="1"/>
          <w:color w:val="auto"/>
        </w:rPr>
        <w:t xml:space="preserve"> view Data, request </w:t>
      </w:r>
      <w:r>
        <w:rPr>
          <w:rFonts w:ascii="Times New Roman" w:cs="Times New Roman" w:eastAsia="Times New Roman" w:hAnsi="Times New Roman"/>
          <w:sz w:val="21"/>
          <w:szCs w:val="21"/>
          <w:b w:val="1"/>
          <w:bCs w:val="1"/>
          <w:i w:val="1"/>
          <w:iCs w:val="1"/>
          <w:color w:val="auto"/>
        </w:rPr>
        <w:t>additional</w:t>
      </w:r>
      <w:r>
        <w:rPr>
          <w:rFonts w:ascii="Times New Roman" w:cs="Times New Roman" w:eastAsia="Times New Roman" w:hAnsi="Times New Roman"/>
          <w:sz w:val="20"/>
          <w:szCs w:val="20"/>
          <w:b w:val="1"/>
          <w:bCs w:val="1"/>
          <w:i w:val="1"/>
          <w:iCs w:val="1"/>
          <w:color w:val="auto"/>
        </w:rPr>
        <w:t xml:space="preserve"> information about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20"/>
          <w:szCs w:val="20"/>
          <w:b w:val="1"/>
          <w:bCs w:val="1"/>
          <w:i w:val="1"/>
          <w:iCs w:val="1"/>
          <w:color w:val="auto"/>
        </w:rPr>
        <w:t xml:space="preserve"> storage </w:t>
      </w:r>
      <w:r>
        <w:rPr>
          <w:rFonts w:ascii="Times New Roman" w:cs="Times New Roman" w:eastAsia="Times New Roman" w:hAnsi="Times New Roman"/>
          <w:sz w:val="21"/>
          <w:szCs w:val="21"/>
          <w:b w:val="1"/>
          <w:bCs w:val="1"/>
          <w:i w:val="1"/>
          <w:iCs w:val="1"/>
          <w:color w:val="auto"/>
        </w:rPr>
        <w:t>and</w:t>
      </w:r>
      <w:r>
        <w:rPr>
          <w:rFonts w:ascii="Times New Roman" w:cs="Times New Roman" w:eastAsia="Times New Roman" w:hAnsi="Times New Roman"/>
          <w:sz w:val="20"/>
          <w:szCs w:val="20"/>
          <w:b w:val="1"/>
          <w:bCs w:val="1"/>
          <w:i w:val="1"/>
          <w:iCs w:val="1"/>
          <w:color w:val="auto"/>
        </w:rPr>
        <w:t xml:space="preserve"> processing </w:t>
      </w:r>
      <w:r>
        <w:rPr>
          <w:rFonts w:ascii="Times New Roman" w:cs="Times New Roman" w:eastAsia="Times New Roman" w:hAnsi="Times New Roman"/>
          <w:sz w:val="21"/>
          <w:szCs w:val="21"/>
          <w:b w:val="1"/>
          <w:bCs w:val="1"/>
          <w:i w:val="1"/>
          <w:iCs w:val="1"/>
          <w:color w:val="auto"/>
        </w:rPr>
        <w:t>of</w:t>
      </w:r>
      <w:r>
        <w:rPr>
          <w:rFonts w:ascii="Times New Roman" w:cs="Times New Roman" w:eastAsia="Times New Roman" w:hAnsi="Times New Roman"/>
          <w:sz w:val="20"/>
          <w:szCs w:val="20"/>
          <w:b w:val="1"/>
          <w:bCs w:val="1"/>
          <w:i w:val="1"/>
          <w:iCs w:val="1"/>
          <w:color w:val="auto"/>
        </w:rPr>
        <w:t xml:space="preserve"> Data, require any</w:t>
      </w:r>
    </w:p>
    <w:p>
      <w:pPr>
        <w:sectPr>
          <w:pgSz w:w="11900" w:h="16838" w:orient="portrait"/>
          <w:cols w:equalWidth="0" w:num="1">
            <w:col w:w="11240"/>
          </w:cols>
          <w:pgMar w:left="320" w:top="11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necessary </w:t>
      </w:r>
      <w:r>
        <w:rPr>
          <w:rFonts w:ascii="Times New Roman" w:cs="Times New Roman" w:eastAsia="Times New Roman" w:hAnsi="Times New Roman"/>
          <w:sz w:val="19"/>
          <w:szCs w:val="19"/>
          <w:b w:val="1"/>
          <w:bCs w:val="1"/>
          <w:i w:val="1"/>
          <w:iCs w:val="1"/>
          <w:color w:val="auto"/>
        </w:rPr>
        <w:t>amendments</w:t>
      </w:r>
      <w:r>
        <w:rPr>
          <w:rFonts w:ascii="Times New Roman" w:cs="Times New Roman" w:eastAsia="Times New Roman" w:hAnsi="Times New Roman"/>
          <w:sz w:val="22"/>
          <w:szCs w:val="22"/>
          <w:b w:val="1"/>
          <w:bCs w:val="1"/>
          <w:i w:val="1"/>
          <w:iCs w:val="1"/>
          <w:color w:val="auto"/>
        </w:rPr>
        <w:t xml:space="preserve"> to Data </w:t>
      </w:r>
      <w:r>
        <w:rPr>
          <w:rFonts w:ascii="Times New Roman" w:cs="Times New Roman" w:eastAsia="Times New Roman" w:hAnsi="Times New Roman"/>
          <w:sz w:val="19"/>
          <w:szCs w:val="19"/>
          <w:b w:val="1"/>
          <w:bCs w:val="1"/>
          <w:i w:val="1"/>
          <w:iCs w:val="1"/>
          <w:color w:val="auto"/>
        </w:rPr>
        <w:t>or refuse or withdraw the consents herein,</w:t>
      </w:r>
      <w:r>
        <w:rPr>
          <w:rFonts w:ascii="Times New Roman" w:cs="Times New Roman" w:eastAsia="Times New Roman" w:hAnsi="Times New Roman"/>
          <w:sz w:val="22"/>
          <w:szCs w:val="22"/>
          <w:b w:val="1"/>
          <w:bCs w:val="1"/>
          <w:i w:val="1"/>
          <w:iCs w:val="1"/>
          <w:color w:val="auto"/>
        </w:rPr>
        <w:t xml:space="preserve"> in any case </w:t>
      </w:r>
      <w:r>
        <w:rPr>
          <w:rFonts w:ascii="Times New Roman" w:cs="Times New Roman" w:eastAsia="Times New Roman" w:hAnsi="Times New Roman"/>
          <w:sz w:val="19"/>
          <w:szCs w:val="19"/>
          <w:b w:val="1"/>
          <w:bCs w:val="1"/>
          <w:i w:val="1"/>
          <w:iCs w:val="1"/>
          <w:color w:val="auto"/>
        </w:rPr>
        <w:t>without cost, by contacting</w:t>
      </w:r>
      <w:r>
        <w:rPr>
          <w:rFonts w:ascii="Times New Roman" w:cs="Times New Roman" w:eastAsia="Times New Roman" w:hAnsi="Times New Roman"/>
          <w:sz w:val="22"/>
          <w:szCs w:val="22"/>
          <w:b w:val="1"/>
          <w:bCs w:val="1"/>
          <w:i w:val="1"/>
          <w:iCs w:val="1"/>
          <w:color w:val="auto"/>
        </w:rPr>
        <w:t xml:space="preserve"> in </w:t>
      </w:r>
      <w:r>
        <w:rPr>
          <w:rFonts w:ascii="Times New Roman" w:cs="Times New Roman" w:eastAsia="Times New Roman" w:hAnsi="Times New Roman"/>
          <w:sz w:val="19"/>
          <w:szCs w:val="19"/>
          <w:b w:val="1"/>
          <w:bCs w:val="1"/>
          <w:i w:val="1"/>
          <w:iCs w:val="1"/>
          <w:color w:val="auto"/>
        </w:rPr>
        <w:t>writing your</w:t>
      </w:r>
      <w:r>
        <w:rPr>
          <w:rFonts w:ascii="Times New Roman" w:cs="Times New Roman" w:eastAsia="Times New Roman" w:hAnsi="Times New Roman"/>
          <w:sz w:val="22"/>
          <w:szCs w:val="22"/>
          <w:b w:val="1"/>
          <w:bCs w:val="1"/>
          <w:i w:val="1"/>
          <w:iCs w:val="1"/>
          <w:color w:val="auto"/>
        </w:rPr>
        <w:t xml:space="preserve"> local</w:t>
      </w:r>
    </w:p>
    <w:p>
      <w:pPr>
        <w:spacing w:after="0" w:line="7"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human resources representative.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0"/>
          <w:szCs w:val="20"/>
          <w:b w:val="1"/>
          <w:bCs w:val="1"/>
          <w:i w:val="1"/>
          <w:iCs w:val="1"/>
          <w:color w:val="auto"/>
        </w:rPr>
        <w:t xml:space="preserve"> understand, however, that refusing </w:t>
      </w:r>
      <w:r>
        <w:rPr>
          <w:rFonts w:ascii="Times New Roman" w:cs="Times New Roman" w:eastAsia="Times New Roman" w:hAnsi="Times New Roman"/>
          <w:sz w:val="21"/>
          <w:szCs w:val="21"/>
          <w:b w:val="1"/>
          <w:bCs w:val="1"/>
          <w:i w:val="1"/>
          <w:iCs w:val="1"/>
          <w:color w:val="auto"/>
        </w:rPr>
        <w:t>or</w:t>
      </w:r>
      <w:r>
        <w:rPr>
          <w:rFonts w:ascii="Times New Roman" w:cs="Times New Roman" w:eastAsia="Times New Roman" w:hAnsi="Times New Roman"/>
          <w:sz w:val="20"/>
          <w:szCs w:val="20"/>
          <w:b w:val="1"/>
          <w:bCs w:val="1"/>
          <w:i w:val="1"/>
          <w:iCs w:val="1"/>
          <w:color w:val="auto"/>
        </w:rPr>
        <w:t xml:space="preserve"> withdrawing your consent </w:t>
      </w:r>
      <w:r>
        <w:rPr>
          <w:rFonts w:ascii="Times New Roman" w:cs="Times New Roman" w:eastAsia="Times New Roman" w:hAnsi="Times New Roman"/>
          <w:sz w:val="21"/>
          <w:szCs w:val="21"/>
          <w:b w:val="1"/>
          <w:bCs w:val="1"/>
          <w:i w:val="1"/>
          <w:iCs w:val="1"/>
          <w:color w:val="auto"/>
        </w:rPr>
        <w:t>may</w:t>
      </w:r>
      <w:r>
        <w:rPr>
          <w:rFonts w:ascii="Times New Roman" w:cs="Times New Roman" w:eastAsia="Times New Roman" w:hAnsi="Times New Roman"/>
          <w:sz w:val="20"/>
          <w:szCs w:val="20"/>
          <w:b w:val="1"/>
          <w:bCs w:val="1"/>
          <w:i w:val="1"/>
          <w:iCs w:val="1"/>
          <w:color w:val="auto"/>
        </w:rPr>
        <w:t xml:space="preserve"> affect your </w:t>
      </w:r>
      <w:r>
        <w:rPr>
          <w:rFonts w:ascii="Times New Roman" w:cs="Times New Roman" w:eastAsia="Times New Roman" w:hAnsi="Times New Roman"/>
          <w:sz w:val="21"/>
          <w:szCs w:val="21"/>
          <w:b w:val="1"/>
          <w:bCs w:val="1"/>
          <w:i w:val="1"/>
          <w:iCs w:val="1"/>
          <w:color w:val="auto"/>
        </w:rPr>
        <w:t>ability</w:t>
      </w:r>
      <w:r>
        <w:rPr>
          <w:rFonts w:ascii="Times New Roman" w:cs="Times New Roman" w:eastAsia="Times New Roman" w:hAnsi="Times New Roman"/>
          <w:sz w:val="20"/>
          <w:szCs w:val="20"/>
          <w:b w:val="1"/>
          <w:bCs w:val="1"/>
          <w:i w:val="1"/>
          <w:iCs w:val="1"/>
          <w:color w:val="auto"/>
        </w:rPr>
        <w:t xml:space="preserve"> to participate </w:t>
      </w:r>
      <w:r>
        <w:rPr>
          <w:rFonts w:ascii="Times New Roman" w:cs="Times New Roman" w:eastAsia="Times New Roman" w:hAnsi="Times New Roman"/>
          <w:sz w:val="21"/>
          <w:szCs w:val="21"/>
          <w:b w:val="1"/>
          <w:bCs w:val="1"/>
          <w:i w:val="1"/>
          <w:iCs w:val="1"/>
          <w:color w:val="auto"/>
        </w:rPr>
        <w:t>in the</w:t>
      </w:r>
      <w:r>
        <w:rPr>
          <w:rFonts w:ascii="Times New Roman" w:cs="Times New Roman" w:eastAsia="Times New Roman" w:hAnsi="Times New Roman"/>
          <w:sz w:val="20"/>
          <w:szCs w:val="20"/>
          <w:b w:val="1"/>
          <w:bCs w:val="1"/>
          <w:i w:val="1"/>
          <w:iCs w:val="1"/>
          <w:color w:val="auto"/>
        </w:rPr>
        <w:t xml:space="preserve"> Plan, but will have no </w:t>
      </w:r>
      <w:r>
        <w:rPr>
          <w:rFonts w:ascii="Times New Roman" w:cs="Times New Roman" w:eastAsia="Times New Roman" w:hAnsi="Times New Roman"/>
          <w:sz w:val="21"/>
          <w:szCs w:val="21"/>
          <w:b w:val="1"/>
          <w:bCs w:val="1"/>
          <w:i w:val="1"/>
          <w:iCs w:val="1"/>
          <w:color w:val="auto"/>
        </w:rPr>
        <w:t>other</w:t>
      </w:r>
      <w:r>
        <w:rPr>
          <w:rFonts w:ascii="Times New Roman" w:cs="Times New Roman" w:eastAsia="Times New Roman" w:hAnsi="Times New Roman"/>
          <w:sz w:val="20"/>
          <w:szCs w:val="20"/>
          <w:b w:val="1"/>
          <w:bCs w:val="1"/>
          <w:i w:val="1"/>
          <w:iCs w:val="1"/>
          <w:color w:val="auto"/>
        </w:rPr>
        <w:t xml:space="preserve"> detrimental impact </w:t>
      </w:r>
      <w:r>
        <w:rPr>
          <w:rFonts w:ascii="Times New Roman" w:cs="Times New Roman" w:eastAsia="Times New Roman" w:hAnsi="Times New Roman"/>
          <w:sz w:val="21"/>
          <w:szCs w:val="21"/>
          <w:b w:val="1"/>
          <w:bCs w:val="1"/>
          <w:i w:val="1"/>
          <w:iCs w:val="1"/>
          <w:color w:val="auto"/>
        </w:rPr>
        <w:t>on</w:t>
      </w:r>
      <w:r>
        <w:rPr>
          <w:rFonts w:ascii="Times New Roman" w:cs="Times New Roman" w:eastAsia="Times New Roman" w:hAnsi="Times New Roman"/>
          <w:sz w:val="20"/>
          <w:szCs w:val="20"/>
          <w:b w:val="1"/>
          <w:bCs w:val="1"/>
          <w:i w:val="1"/>
          <w:iCs w:val="1"/>
          <w:color w:val="auto"/>
        </w:rPr>
        <w:t xml:space="preserve"> you whatsoever. </w:t>
      </w:r>
      <w:r>
        <w:rPr>
          <w:rFonts w:ascii="Times New Roman" w:cs="Times New Roman" w:eastAsia="Times New Roman" w:hAnsi="Times New Roman"/>
          <w:sz w:val="21"/>
          <w:szCs w:val="21"/>
          <w:b w:val="1"/>
          <w:bCs w:val="1"/>
          <w:i w:val="1"/>
          <w:iCs w:val="1"/>
          <w:color w:val="auto"/>
        </w:rPr>
        <w:t>For more</w:t>
      </w:r>
      <w:r>
        <w:rPr>
          <w:rFonts w:ascii="Times New Roman" w:cs="Times New Roman" w:eastAsia="Times New Roman" w:hAnsi="Times New Roman"/>
          <w:sz w:val="20"/>
          <w:szCs w:val="20"/>
          <w:b w:val="1"/>
          <w:bCs w:val="1"/>
          <w:i w:val="1"/>
          <w:iCs w:val="1"/>
          <w:color w:val="auto"/>
        </w:rPr>
        <w:t xml:space="preserve"> information on </w:t>
      </w:r>
      <w:r>
        <w:rPr>
          <w:rFonts w:ascii="Times New Roman" w:cs="Times New Roman" w:eastAsia="Times New Roman" w:hAnsi="Times New Roman"/>
          <w:sz w:val="21"/>
          <w:szCs w:val="21"/>
          <w:b w:val="1"/>
          <w:bCs w:val="1"/>
          <w:i w:val="1"/>
          <w:iCs w:val="1"/>
          <w:color w:val="auto"/>
        </w:rPr>
        <w:t>the consequences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your refusal </w:t>
      </w:r>
      <w:r>
        <w:rPr>
          <w:rFonts w:ascii="Times New Roman" w:cs="Times New Roman" w:eastAsia="Times New Roman" w:hAnsi="Times New Roman"/>
          <w:sz w:val="21"/>
          <w:szCs w:val="21"/>
          <w:b w:val="1"/>
          <w:bCs w:val="1"/>
          <w:i w:val="1"/>
          <w:iCs w:val="1"/>
          <w:color w:val="auto"/>
        </w:rPr>
        <w:t>to</w:t>
      </w:r>
      <w:r>
        <w:rPr>
          <w:rFonts w:ascii="Times New Roman" w:cs="Times New Roman" w:eastAsia="Times New Roman" w:hAnsi="Times New Roman"/>
          <w:sz w:val="20"/>
          <w:szCs w:val="20"/>
          <w:b w:val="1"/>
          <w:bCs w:val="1"/>
          <w:i w:val="1"/>
          <w:iCs w:val="1"/>
          <w:color w:val="auto"/>
        </w:rPr>
        <w:t xml:space="preserve"> consent </w:t>
      </w:r>
      <w:r>
        <w:rPr>
          <w:rFonts w:ascii="Times New Roman" w:cs="Times New Roman" w:eastAsia="Times New Roman" w:hAnsi="Times New Roman"/>
          <w:sz w:val="21"/>
          <w:szCs w:val="21"/>
          <w:b w:val="1"/>
          <w:bCs w:val="1"/>
          <w:i w:val="1"/>
          <w:iCs w:val="1"/>
          <w:color w:val="auto"/>
        </w:rPr>
        <w:t>or</w:t>
      </w:r>
      <w:r>
        <w:rPr>
          <w:rFonts w:ascii="Times New Roman" w:cs="Times New Roman" w:eastAsia="Times New Roman" w:hAnsi="Times New Roman"/>
          <w:sz w:val="20"/>
          <w:szCs w:val="20"/>
          <w:b w:val="1"/>
          <w:bCs w:val="1"/>
          <w:i w:val="1"/>
          <w:iCs w:val="1"/>
          <w:color w:val="auto"/>
        </w:rPr>
        <w:t xml:space="preserve"> withdrawal </w:t>
      </w:r>
      <w:r>
        <w:rPr>
          <w:rFonts w:ascii="Times New Roman" w:cs="Times New Roman" w:eastAsia="Times New Roman" w:hAnsi="Times New Roman"/>
          <w:sz w:val="21"/>
          <w:szCs w:val="21"/>
          <w:b w:val="1"/>
          <w:bCs w:val="1"/>
          <w:i w:val="1"/>
          <w:iCs w:val="1"/>
          <w:color w:val="auto"/>
        </w:rPr>
        <w:t>of</w:t>
      </w:r>
      <w:r>
        <w:rPr>
          <w:rFonts w:ascii="Times New Roman" w:cs="Times New Roman" w:eastAsia="Times New Roman" w:hAnsi="Times New Roman"/>
          <w:sz w:val="20"/>
          <w:szCs w:val="20"/>
          <w:b w:val="1"/>
          <w:bCs w:val="1"/>
          <w:i w:val="1"/>
          <w:iCs w:val="1"/>
          <w:color w:val="auto"/>
        </w:rPr>
        <w:t xml:space="preserve"> consent, you understand </w:t>
      </w:r>
      <w:r>
        <w:rPr>
          <w:rFonts w:ascii="Times New Roman" w:cs="Times New Roman" w:eastAsia="Times New Roman" w:hAnsi="Times New Roman"/>
          <w:sz w:val="21"/>
          <w:szCs w:val="21"/>
          <w:b w:val="1"/>
          <w:bCs w:val="1"/>
          <w:i w:val="1"/>
          <w:iCs w:val="1"/>
          <w:color w:val="auto"/>
        </w:rPr>
        <w:t>that you may</w:t>
      </w:r>
      <w:r>
        <w:rPr>
          <w:rFonts w:ascii="Times New Roman" w:cs="Times New Roman" w:eastAsia="Times New Roman" w:hAnsi="Times New Roman"/>
          <w:sz w:val="20"/>
          <w:szCs w:val="20"/>
          <w:b w:val="1"/>
          <w:bCs w:val="1"/>
          <w:i w:val="1"/>
          <w:iCs w:val="1"/>
          <w:color w:val="auto"/>
        </w:rPr>
        <w:t xml:space="preserve"> contact your local human resources </w:t>
      </w:r>
      <w:r>
        <w:rPr>
          <w:rFonts w:ascii="Times New Roman" w:cs="Times New Roman" w:eastAsia="Times New Roman" w:hAnsi="Times New Roman"/>
          <w:sz w:val="21"/>
          <w:szCs w:val="21"/>
          <w:b w:val="1"/>
          <w:bCs w:val="1"/>
          <w:i w:val="1"/>
          <w:iCs w:val="1"/>
          <w:color w:val="auto"/>
        </w:rPr>
        <w:t>representative.</w:t>
      </w:r>
    </w:p>
    <w:p>
      <w:pPr>
        <w:spacing w:after="0" w:line="208" w:lineRule="exact"/>
        <w:rPr>
          <w:sz w:val="20"/>
          <w:szCs w:val="20"/>
          <w:color w:val="auto"/>
        </w:rPr>
      </w:pPr>
    </w:p>
    <w:p>
      <w:pPr>
        <w:ind w:left="300" w:hanging="292"/>
        <w:spacing w:after="0"/>
        <w:tabs>
          <w:tab w:leader="none" w:pos="300" w:val="left"/>
        </w:tabs>
        <w:numPr>
          <w:ilvl w:val="0"/>
          <w:numId w:val="10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b w:val="1"/>
          <w:bCs w:val="1"/>
          <w:i w:val="1"/>
          <w:iCs w:val="1"/>
          <w:u w:val="single" w:color="auto"/>
          <w:color w:val="auto"/>
        </w:rPr>
        <w:t>Data Notice for EU/EEA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The following provisions shall apply only </w:t>
      </w:r>
      <w:r>
        <w:rPr>
          <w:rFonts w:ascii="Times New Roman" w:cs="Times New Roman" w:eastAsia="Times New Roman" w:hAnsi="Times New Roman"/>
          <w:sz w:val="21"/>
          <w:szCs w:val="21"/>
          <w:b w:val="1"/>
          <w:bCs w:val="1"/>
          <w:i w:val="1"/>
          <w:iCs w:val="1"/>
          <w:color w:val="auto"/>
        </w:rPr>
        <w:t>to</w:t>
      </w:r>
      <w:r>
        <w:rPr>
          <w:rFonts w:ascii="Times New Roman" w:cs="Times New Roman" w:eastAsia="Times New Roman" w:hAnsi="Times New Roman"/>
          <w:sz w:val="20"/>
          <w:szCs w:val="20"/>
          <w:b w:val="1"/>
          <w:bCs w:val="1"/>
          <w:i w:val="1"/>
          <w:iCs w:val="1"/>
          <w:color w:val="auto"/>
        </w:rPr>
        <w:t xml:space="preserve"> Grantees </w:t>
      </w:r>
      <w:r>
        <w:rPr>
          <w:rFonts w:ascii="Times New Roman" w:cs="Times New Roman" w:eastAsia="Times New Roman" w:hAnsi="Times New Roman"/>
          <w:sz w:val="21"/>
          <w:szCs w:val="21"/>
          <w:b w:val="1"/>
          <w:bCs w:val="1"/>
          <w:i w:val="1"/>
          <w:iCs w:val="1"/>
          <w:color w:val="auto"/>
        </w:rPr>
        <w:t>residing</w:t>
      </w:r>
      <w:r>
        <w:rPr>
          <w:rFonts w:ascii="Times New Roman" w:cs="Times New Roman" w:eastAsia="Times New Roman" w:hAnsi="Times New Roman"/>
          <w:sz w:val="20"/>
          <w:szCs w:val="20"/>
          <w:b w:val="1"/>
          <w:bCs w:val="1"/>
          <w:i w:val="1"/>
          <w:iCs w:val="1"/>
          <w:color w:val="auto"/>
        </w:rPr>
        <w:t xml:space="preserve"> in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20"/>
          <w:szCs w:val="20"/>
          <w:b w:val="1"/>
          <w:bCs w:val="1"/>
          <w:i w:val="1"/>
          <w:iCs w:val="1"/>
          <w:color w:val="auto"/>
        </w:rPr>
        <w:t xml:space="preserve"> EU or </w:t>
      </w:r>
      <w:r>
        <w:rPr>
          <w:rFonts w:ascii="Times New Roman" w:cs="Times New Roman" w:eastAsia="Times New Roman" w:hAnsi="Times New Roman"/>
          <w:sz w:val="21"/>
          <w:szCs w:val="21"/>
          <w:b w:val="1"/>
          <w:bCs w:val="1"/>
          <w:i w:val="1"/>
          <w:iCs w:val="1"/>
          <w:color w:val="auto"/>
        </w:rPr>
        <w:t>EEA.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Data Collected and </w:t>
      </w:r>
      <w:r>
        <w:rPr>
          <w:rFonts w:ascii="Times New Roman" w:cs="Times New Roman" w:eastAsia="Times New Roman" w:hAnsi="Times New Roman"/>
          <w:sz w:val="21"/>
          <w:szCs w:val="21"/>
          <w:b w:val="1"/>
          <w:bCs w:val="1"/>
          <w:i w:val="1"/>
          <w:iCs w:val="1"/>
          <w:color w:val="auto"/>
        </w:rPr>
        <w:t>Purposes of</w:t>
      </w:r>
      <w:r>
        <w:rPr>
          <w:rFonts w:ascii="Times New Roman" w:cs="Times New Roman" w:eastAsia="Times New Roman" w:hAnsi="Times New Roman"/>
          <w:sz w:val="20"/>
          <w:szCs w:val="20"/>
          <w:b w:val="1"/>
          <w:bCs w:val="1"/>
          <w:i w:val="1"/>
          <w:iCs w:val="1"/>
          <w:color w:val="auto"/>
        </w:rPr>
        <w:t xml:space="preserve"> Collection</w:t>
      </w:r>
    </w:p>
    <w:p>
      <w:pPr>
        <w:spacing w:after="0" w:line="21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You understand </w:t>
      </w:r>
      <w:r>
        <w:rPr>
          <w:rFonts w:ascii="Times New Roman" w:cs="Times New Roman" w:eastAsia="Times New Roman" w:hAnsi="Times New Roman"/>
          <w:sz w:val="21"/>
          <w:szCs w:val="21"/>
          <w:b w:val="1"/>
          <w:bCs w:val="1"/>
          <w:i w:val="1"/>
          <w:iCs w:val="1"/>
          <w:color w:val="auto"/>
        </w:rPr>
        <w:t>that</w:t>
      </w:r>
      <w:r>
        <w:rPr>
          <w:rFonts w:ascii="Times New Roman" w:cs="Times New Roman" w:eastAsia="Times New Roman" w:hAnsi="Times New Roman"/>
          <w:sz w:val="20"/>
          <w:szCs w:val="20"/>
          <w:b w:val="1"/>
          <w:bCs w:val="1"/>
          <w:i w:val="1"/>
          <w:iCs w:val="1"/>
          <w:color w:val="auto"/>
        </w:rPr>
        <w:t xml:space="preserve"> FactSet, acting as controller </w:t>
      </w:r>
      <w:r>
        <w:rPr>
          <w:rFonts w:ascii="Times New Roman" w:cs="Times New Roman" w:eastAsia="Times New Roman" w:hAnsi="Times New Roman"/>
          <w:sz w:val="21"/>
          <w:szCs w:val="21"/>
          <w:b w:val="1"/>
          <w:bCs w:val="1"/>
          <w:i w:val="1"/>
          <w:iCs w:val="1"/>
          <w:color w:val="auto"/>
        </w:rPr>
        <w:t>may collect, to the extent</w:t>
      </w:r>
      <w:r>
        <w:rPr>
          <w:rFonts w:ascii="Times New Roman" w:cs="Times New Roman" w:eastAsia="Times New Roman" w:hAnsi="Times New Roman"/>
          <w:sz w:val="20"/>
          <w:szCs w:val="20"/>
          <w:b w:val="1"/>
          <w:bCs w:val="1"/>
          <w:i w:val="1"/>
          <w:iCs w:val="1"/>
          <w:color w:val="auto"/>
        </w:rPr>
        <w:t xml:space="preserve"> permissible under applicable </w:t>
      </w:r>
      <w:r>
        <w:rPr>
          <w:rFonts w:ascii="Times New Roman" w:cs="Times New Roman" w:eastAsia="Times New Roman" w:hAnsi="Times New Roman"/>
          <w:sz w:val="21"/>
          <w:szCs w:val="21"/>
          <w:b w:val="1"/>
          <w:bCs w:val="1"/>
          <w:i w:val="1"/>
          <w:iCs w:val="1"/>
          <w:color w:val="auto"/>
        </w:rPr>
        <w:t>law,</w:t>
      </w:r>
      <w:r>
        <w:rPr>
          <w:rFonts w:ascii="Times New Roman" w:cs="Times New Roman" w:eastAsia="Times New Roman" w:hAnsi="Times New Roman"/>
          <w:sz w:val="20"/>
          <w:szCs w:val="20"/>
          <w:b w:val="1"/>
          <w:bCs w:val="1"/>
          <w:i w:val="1"/>
          <w:iCs w:val="1"/>
          <w:color w:val="auto"/>
        </w:rPr>
        <w:t xml:space="preserve"> certain </w:t>
      </w:r>
      <w:r>
        <w:rPr>
          <w:rFonts w:ascii="Times New Roman" w:cs="Times New Roman" w:eastAsia="Times New Roman" w:hAnsi="Times New Roman"/>
          <w:sz w:val="21"/>
          <w:szCs w:val="21"/>
          <w:b w:val="1"/>
          <w:bCs w:val="1"/>
          <w:i w:val="1"/>
          <w:iCs w:val="1"/>
          <w:color w:val="auto"/>
        </w:rPr>
        <w:t>Data (as</w:t>
      </w:r>
      <w:r>
        <w:rPr>
          <w:rFonts w:ascii="Times New Roman" w:cs="Times New Roman" w:eastAsia="Times New Roman" w:hAnsi="Times New Roman"/>
          <w:sz w:val="20"/>
          <w:szCs w:val="20"/>
          <w:b w:val="1"/>
          <w:bCs w:val="1"/>
          <w:i w:val="1"/>
          <w:iCs w:val="1"/>
          <w:color w:val="auto"/>
        </w:rPr>
        <w:t xml:space="preserve"> defined above). The Data is collected </w:t>
      </w:r>
      <w:r>
        <w:rPr>
          <w:rFonts w:ascii="Times New Roman" w:cs="Times New Roman" w:eastAsia="Times New Roman" w:hAnsi="Times New Roman"/>
          <w:sz w:val="21"/>
          <w:szCs w:val="21"/>
          <w:b w:val="1"/>
          <w:bCs w:val="1"/>
          <w:i w:val="1"/>
          <w:iCs w:val="1"/>
          <w:color w:val="auto"/>
        </w:rPr>
        <w:t>from you and</w:t>
      </w:r>
      <w:r>
        <w:rPr>
          <w:rFonts w:ascii="Times New Roman" w:cs="Times New Roman" w:eastAsia="Times New Roman" w:hAnsi="Times New Roman"/>
          <w:sz w:val="20"/>
          <w:szCs w:val="20"/>
          <w:b w:val="1"/>
          <w:bCs w:val="1"/>
          <w:i w:val="1"/>
          <w:iCs w:val="1"/>
          <w:color w:val="auto"/>
        </w:rPr>
        <w:t xml:space="preserve"> FactSet </w:t>
      </w:r>
      <w:r>
        <w:rPr>
          <w:rFonts w:ascii="Times New Roman" w:cs="Times New Roman" w:eastAsia="Times New Roman" w:hAnsi="Times New Roman"/>
          <w:sz w:val="21"/>
          <w:szCs w:val="21"/>
          <w:b w:val="1"/>
          <w:bCs w:val="1"/>
          <w:i w:val="1"/>
          <w:iCs w:val="1"/>
          <w:color w:val="auto"/>
        </w:rPr>
        <w:t>for the</w:t>
      </w:r>
      <w:r>
        <w:rPr>
          <w:rFonts w:ascii="Times New Roman" w:cs="Times New Roman" w:eastAsia="Times New Roman" w:hAnsi="Times New Roman"/>
          <w:sz w:val="20"/>
          <w:szCs w:val="20"/>
          <w:b w:val="1"/>
          <w:bCs w:val="1"/>
          <w:i w:val="1"/>
          <w:iCs w:val="1"/>
          <w:color w:val="auto"/>
        </w:rPr>
        <w:t xml:space="preserve"> exclusive purpose of implementing, administering </w:t>
      </w:r>
      <w:r>
        <w:rPr>
          <w:rFonts w:ascii="Times New Roman" w:cs="Times New Roman" w:eastAsia="Times New Roman" w:hAnsi="Times New Roman"/>
          <w:sz w:val="21"/>
          <w:szCs w:val="21"/>
          <w:b w:val="1"/>
          <w:bCs w:val="1"/>
          <w:i w:val="1"/>
          <w:iCs w:val="1"/>
          <w:color w:val="auto"/>
        </w:rPr>
        <w:t>and managing the Plan</w:t>
      </w:r>
    </w:p>
    <w:p>
      <w:pPr>
        <w:ind w:right="360"/>
        <w:spacing w:after="0" w:line="211" w:lineRule="auto"/>
        <w:rPr>
          <w:sz w:val="20"/>
          <w:szCs w:val="20"/>
          <w:color w:val="auto"/>
        </w:rPr>
      </w:pPr>
      <w:r>
        <w:rPr>
          <w:rFonts w:ascii="Times New Roman" w:cs="Times New Roman" w:eastAsia="Times New Roman" w:hAnsi="Times New Roman"/>
          <w:sz w:val="22"/>
          <w:szCs w:val="22"/>
          <w:b w:val="1"/>
          <w:bCs w:val="1"/>
          <w:i w:val="1"/>
          <w:iCs w:val="1"/>
          <w:color w:val="auto"/>
        </w:rPr>
        <w:t xml:space="preserve">pursuant </w:t>
      </w:r>
      <w:r>
        <w:rPr>
          <w:rFonts w:ascii="Times New Roman" w:cs="Times New Roman" w:eastAsia="Times New Roman" w:hAnsi="Times New Roman"/>
          <w:sz w:val="19"/>
          <w:szCs w:val="19"/>
          <w:b w:val="1"/>
          <w:bCs w:val="1"/>
          <w:i w:val="1"/>
          <w:iCs w:val="1"/>
          <w:color w:val="auto"/>
        </w:rPr>
        <w:t>to</w:t>
      </w:r>
      <w:r>
        <w:rPr>
          <w:rFonts w:ascii="Times New Roman" w:cs="Times New Roman" w:eastAsia="Times New Roman" w:hAnsi="Times New Roman"/>
          <w:sz w:val="22"/>
          <w:szCs w:val="22"/>
          <w:b w:val="1"/>
          <w:bCs w:val="1"/>
          <w:i w:val="1"/>
          <w:iCs w:val="1"/>
          <w:color w:val="auto"/>
        </w:rPr>
        <w:t xml:space="preserve"> the </w:t>
      </w:r>
      <w:r>
        <w:rPr>
          <w:rFonts w:ascii="Times New Roman" w:cs="Times New Roman" w:eastAsia="Times New Roman" w:hAnsi="Times New Roman"/>
          <w:sz w:val="19"/>
          <w:szCs w:val="19"/>
          <w:b w:val="1"/>
          <w:bCs w:val="1"/>
          <w:i w:val="1"/>
          <w:iCs w:val="1"/>
          <w:color w:val="auto"/>
        </w:rPr>
        <w:t>terms</w:t>
      </w:r>
      <w:r>
        <w:rPr>
          <w:rFonts w:ascii="Times New Roman" w:cs="Times New Roman" w:eastAsia="Times New Roman" w:hAnsi="Times New Roman"/>
          <w:sz w:val="22"/>
          <w:szCs w:val="22"/>
          <w:b w:val="1"/>
          <w:bCs w:val="1"/>
          <w:i w:val="1"/>
          <w:iCs w:val="1"/>
          <w:color w:val="auto"/>
        </w:rPr>
        <w:t xml:space="preserve"> of this </w:t>
      </w:r>
      <w:r>
        <w:rPr>
          <w:rFonts w:ascii="Times New Roman" w:cs="Times New Roman" w:eastAsia="Times New Roman" w:hAnsi="Times New Roman"/>
          <w:sz w:val="19"/>
          <w:szCs w:val="19"/>
          <w:b w:val="1"/>
          <w:bCs w:val="1"/>
          <w:i w:val="1"/>
          <w:iCs w:val="1"/>
          <w:color w:val="auto"/>
        </w:rPr>
        <w:t>agreement. The legal</w:t>
      </w:r>
      <w:r>
        <w:rPr>
          <w:rFonts w:ascii="Times New Roman" w:cs="Times New Roman" w:eastAsia="Times New Roman" w:hAnsi="Times New Roman"/>
          <w:sz w:val="22"/>
          <w:szCs w:val="22"/>
          <w:b w:val="1"/>
          <w:bCs w:val="1"/>
          <w:i w:val="1"/>
          <w:iCs w:val="1"/>
          <w:color w:val="auto"/>
        </w:rPr>
        <w:t xml:space="preserve"> basis </w:t>
      </w:r>
      <w:r>
        <w:rPr>
          <w:rFonts w:ascii="Times New Roman" w:cs="Times New Roman" w:eastAsia="Times New Roman" w:hAnsi="Times New Roman"/>
          <w:sz w:val="19"/>
          <w:szCs w:val="19"/>
          <w:b w:val="1"/>
          <w:bCs w:val="1"/>
          <w:i w:val="1"/>
          <w:iCs w:val="1"/>
          <w:color w:val="auto"/>
        </w:rPr>
        <w:t>(that is,</w:t>
      </w:r>
      <w:r>
        <w:rPr>
          <w:rFonts w:ascii="Times New Roman" w:cs="Times New Roman" w:eastAsia="Times New Roman" w:hAnsi="Times New Roman"/>
          <w:sz w:val="22"/>
          <w:szCs w:val="22"/>
          <w:b w:val="1"/>
          <w:bCs w:val="1"/>
          <w:i w:val="1"/>
          <w:iCs w:val="1"/>
          <w:color w:val="auto"/>
        </w:rPr>
        <w:t xml:space="preserve"> the </w:t>
      </w:r>
      <w:r>
        <w:rPr>
          <w:rFonts w:ascii="Times New Roman" w:cs="Times New Roman" w:eastAsia="Times New Roman" w:hAnsi="Times New Roman"/>
          <w:sz w:val="19"/>
          <w:szCs w:val="19"/>
          <w:b w:val="1"/>
          <w:bCs w:val="1"/>
          <w:i w:val="1"/>
          <w:iCs w:val="1"/>
          <w:color w:val="auto"/>
        </w:rPr>
        <w:t>legal</w:t>
      </w:r>
      <w:r>
        <w:rPr>
          <w:rFonts w:ascii="Times New Roman" w:cs="Times New Roman" w:eastAsia="Times New Roman" w:hAnsi="Times New Roman"/>
          <w:sz w:val="22"/>
          <w:szCs w:val="22"/>
          <w:b w:val="1"/>
          <w:bCs w:val="1"/>
          <w:i w:val="1"/>
          <w:iCs w:val="1"/>
          <w:color w:val="auto"/>
        </w:rPr>
        <w:t xml:space="preserve"> justification) </w:t>
      </w:r>
      <w:r>
        <w:rPr>
          <w:rFonts w:ascii="Times New Roman" w:cs="Times New Roman" w:eastAsia="Times New Roman" w:hAnsi="Times New Roman"/>
          <w:sz w:val="19"/>
          <w:szCs w:val="19"/>
          <w:b w:val="1"/>
          <w:bCs w:val="1"/>
          <w:i w:val="1"/>
          <w:iCs w:val="1"/>
          <w:color w:val="auto"/>
        </w:rPr>
        <w:t>for processing the Data is</w:t>
      </w:r>
      <w:r>
        <w:rPr>
          <w:rFonts w:ascii="Times New Roman" w:cs="Times New Roman" w:eastAsia="Times New Roman" w:hAnsi="Times New Roman"/>
          <w:sz w:val="22"/>
          <w:szCs w:val="22"/>
          <w:b w:val="1"/>
          <w:bCs w:val="1"/>
          <w:i w:val="1"/>
          <w:iCs w:val="1"/>
          <w:color w:val="auto"/>
        </w:rPr>
        <w:t xml:space="preserve"> to </w:t>
      </w:r>
      <w:r>
        <w:rPr>
          <w:rFonts w:ascii="Times New Roman" w:cs="Times New Roman" w:eastAsia="Times New Roman" w:hAnsi="Times New Roman"/>
          <w:sz w:val="19"/>
          <w:szCs w:val="19"/>
          <w:b w:val="1"/>
          <w:bCs w:val="1"/>
          <w:i w:val="1"/>
          <w:iCs w:val="1"/>
          <w:color w:val="auto"/>
        </w:rPr>
        <w:t>perform</w:t>
      </w:r>
      <w:r>
        <w:rPr>
          <w:rFonts w:ascii="Times New Roman" w:cs="Times New Roman" w:eastAsia="Times New Roman" w:hAnsi="Times New Roman"/>
          <w:sz w:val="22"/>
          <w:szCs w:val="22"/>
          <w:b w:val="1"/>
          <w:bCs w:val="1"/>
          <w:i w:val="1"/>
          <w:iCs w:val="1"/>
          <w:color w:val="auto"/>
        </w:rPr>
        <w:t xml:space="preserve"> the </w:t>
      </w:r>
      <w:r>
        <w:rPr>
          <w:rFonts w:ascii="Times New Roman" w:cs="Times New Roman" w:eastAsia="Times New Roman" w:hAnsi="Times New Roman"/>
          <w:sz w:val="19"/>
          <w:szCs w:val="19"/>
          <w:b w:val="1"/>
          <w:bCs w:val="1"/>
          <w:i w:val="1"/>
          <w:iCs w:val="1"/>
          <w:color w:val="auto"/>
        </w:rPr>
        <w:t xml:space="preserve">Agreement. The Data </w:t>
      </w:r>
      <w:r>
        <w:rPr>
          <w:rFonts w:ascii="Times New Roman" w:cs="Times New Roman" w:eastAsia="Times New Roman" w:hAnsi="Times New Roman"/>
          <w:sz w:val="21"/>
          <w:szCs w:val="21"/>
          <w:b w:val="1"/>
          <w:bCs w:val="1"/>
          <w:i w:val="1"/>
          <w:iCs w:val="1"/>
          <w:color w:val="auto"/>
        </w:rPr>
        <w:t>must</w:t>
      </w:r>
      <w:r>
        <w:rPr>
          <w:rFonts w:ascii="Times New Roman" w:cs="Times New Roman" w:eastAsia="Times New Roman" w:hAnsi="Times New Roman"/>
          <w:sz w:val="19"/>
          <w:szCs w:val="19"/>
          <w:b w:val="1"/>
          <w:bCs w:val="1"/>
          <w:i w:val="1"/>
          <w:iCs w:val="1"/>
          <w:color w:val="auto"/>
        </w:rPr>
        <w:t xml:space="preserve"> be provided in order </w:t>
      </w:r>
      <w:r>
        <w:rPr>
          <w:rFonts w:ascii="Times New Roman" w:cs="Times New Roman" w:eastAsia="Times New Roman" w:hAnsi="Times New Roman"/>
          <w:sz w:val="21"/>
          <w:szCs w:val="21"/>
          <w:b w:val="1"/>
          <w:bCs w:val="1"/>
          <w:i w:val="1"/>
          <w:iCs w:val="1"/>
          <w:color w:val="auto"/>
        </w:rPr>
        <w:t>for</w:t>
      </w:r>
      <w:r>
        <w:rPr>
          <w:rFonts w:ascii="Times New Roman" w:cs="Times New Roman" w:eastAsia="Times New Roman" w:hAnsi="Times New Roman"/>
          <w:sz w:val="19"/>
          <w:szCs w:val="19"/>
          <w:b w:val="1"/>
          <w:bCs w:val="1"/>
          <w:i w:val="1"/>
          <w:iCs w:val="1"/>
          <w:color w:val="auto"/>
        </w:rPr>
        <w:t xml:space="preserve"> you to participate </w:t>
      </w:r>
      <w:r>
        <w:rPr>
          <w:rFonts w:ascii="Times New Roman" w:cs="Times New Roman" w:eastAsia="Times New Roman" w:hAnsi="Times New Roman"/>
          <w:sz w:val="21"/>
          <w:szCs w:val="21"/>
          <w:b w:val="1"/>
          <w:bCs w:val="1"/>
          <w:i w:val="1"/>
          <w:iCs w:val="1"/>
          <w:color w:val="auto"/>
        </w:rPr>
        <w:t>in the Plan and for the</w:t>
      </w:r>
      <w:r>
        <w:rPr>
          <w:rFonts w:ascii="Times New Roman" w:cs="Times New Roman" w:eastAsia="Times New Roman" w:hAnsi="Times New Roman"/>
          <w:sz w:val="19"/>
          <w:szCs w:val="19"/>
          <w:b w:val="1"/>
          <w:bCs w:val="1"/>
          <w:i w:val="1"/>
          <w:iCs w:val="1"/>
          <w:color w:val="auto"/>
        </w:rPr>
        <w:t xml:space="preserve"> parties to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19"/>
          <w:szCs w:val="19"/>
          <w:b w:val="1"/>
          <w:bCs w:val="1"/>
          <w:i w:val="1"/>
          <w:iCs w:val="1"/>
          <w:color w:val="auto"/>
        </w:rPr>
        <w:t xml:space="preserve"> Agreement to </w:t>
      </w:r>
      <w:r>
        <w:rPr>
          <w:rFonts w:ascii="Times New Roman" w:cs="Times New Roman" w:eastAsia="Times New Roman" w:hAnsi="Times New Roman"/>
          <w:sz w:val="21"/>
          <w:szCs w:val="21"/>
          <w:b w:val="1"/>
          <w:bCs w:val="1"/>
          <w:i w:val="1"/>
          <w:iCs w:val="1"/>
          <w:color w:val="auto"/>
        </w:rPr>
        <w:t>perform</w:t>
      </w:r>
    </w:p>
    <w:p>
      <w:pPr>
        <w:spacing w:after="0" w:line="1"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 xml:space="preserve">their </w:t>
      </w:r>
      <w:r>
        <w:rPr>
          <w:rFonts w:ascii="Times New Roman" w:cs="Times New Roman" w:eastAsia="Times New Roman" w:hAnsi="Times New Roman"/>
          <w:sz w:val="19"/>
          <w:szCs w:val="19"/>
          <w:b w:val="1"/>
          <w:bCs w:val="1"/>
          <w:i w:val="1"/>
          <w:iCs w:val="1"/>
          <w:color w:val="auto"/>
        </w:rPr>
        <w:t>respective</w:t>
      </w:r>
      <w:r>
        <w:rPr>
          <w:rFonts w:ascii="Times New Roman" w:cs="Times New Roman" w:eastAsia="Times New Roman" w:hAnsi="Times New Roman"/>
          <w:sz w:val="22"/>
          <w:szCs w:val="22"/>
          <w:b w:val="1"/>
          <w:bCs w:val="1"/>
          <w:i w:val="1"/>
          <w:iCs w:val="1"/>
          <w:color w:val="auto"/>
        </w:rPr>
        <w:t xml:space="preserve"> obligations </w:t>
      </w:r>
      <w:r>
        <w:rPr>
          <w:rFonts w:ascii="Times New Roman" w:cs="Times New Roman" w:eastAsia="Times New Roman" w:hAnsi="Times New Roman"/>
          <w:sz w:val="19"/>
          <w:szCs w:val="19"/>
          <w:b w:val="1"/>
          <w:bCs w:val="1"/>
          <w:i w:val="1"/>
          <w:iCs w:val="1"/>
          <w:color w:val="auto"/>
        </w:rPr>
        <w:t>thereunder. If</w:t>
      </w:r>
      <w:r>
        <w:rPr>
          <w:rFonts w:ascii="Times New Roman" w:cs="Times New Roman" w:eastAsia="Times New Roman" w:hAnsi="Times New Roman"/>
          <w:sz w:val="22"/>
          <w:szCs w:val="22"/>
          <w:b w:val="1"/>
          <w:bCs w:val="1"/>
          <w:i w:val="1"/>
          <w:iCs w:val="1"/>
          <w:color w:val="auto"/>
        </w:rPr>
        <w:t xml:space="preserve"> you </w:t>
      </w:r>
      <w:r>
        <w:rPr>
          <w:rFonts w:ascii="Times New Roman" w:cs="Times New Roman" w:eastAsia="Times New Roman" w:hAnsi="Times New Roman"/>
          <w:sz w:val="19"/>
          <w:szCs w:val="19"/>
          <w:b w:val="1"/>
          <w:bCs w:val="1"/>
          <w:i w:val="1"/>
          <w:iCs w:val="1"/>
          <w:color w:val="auto"/>
        </w:rPr>
        <w:t>do not provide your Data,</w:t>
      </w:r>
      <w:r>
        <w:rPr>
          <w:rFonts w:ascii="Times New Roman" w:cs="Times New Roman" w:eastAsia="Times New Roman" w:hAnsi="Times New Roman"/>
          <w:sz w:val="22"/>
          <w:szCs w:val="22"/>
          <w:b w:val="1"/>
          <w:bCs w:val="1"/>
          <w:i w:val="1"/>
          <w:iCs w:val="1"/>
          <w:color w:val="auto"/>
        </w:rPr>
        <w:t xml:space="preserve"> you will not be </w:t>
      </w:r>
      <w:r>
        <w:rPr>
          <w:rFonts w:ascii="Times New Roman" w:cs="Times New Roman" w:eastAsia="Times New Roman" w:hAnsi="Times New Roman"/>
          <w:sz w:val="19"/>
          <w:szCs w:val="19"/>
          <w:b w:val="1"/>
          <w:bCs w:val="1"/>
          <w:i w:val="1"/>
          <w:iCs w:val="1"/>
          <w:color w:val="auto"/>
        </w:rPr>
        <w:t>able to</w:t>
      </w:r>
      <w:r>
        <w:rPr>
          <w:rFonts w:ascii="Times New Roman" w:cs="Times New Roman" w:eastAsia="Times New Roman" w:hAnsi="Times New Roman"/>
          <w:sz w:val="22"/>
          <w:szCs w:val="22"/>
          <w:b w:val="1"/>
          <w:bCs w:val="1"/>
          <w:i w:val="1"/>
          <w:iCs w:val="1"/>
          <w:color w:val="auto"/>
        </w:rPr>
        <w:t xml:space="preserve"> participate in the Plan </w:t>
      </w:r>
      <w:r>
        <w:rPr>
          <w:rFonts w:ascii="Times New Roman" w:cs="Times New Roman" w:eastAsia="Times New Roman" w:hAnsi="Times New Roman"/>
          <w:sz w:val="19"/>
          <w:szCs w:val="19"/>
          <w:b w:val="1"/>
          <w:bCs w:val="1"/>
          <w:i w:val="1"/>
          <w:iCs w:val="1"/>
          <w:color w:val="auto"/>
        </w:rPr>
        <w:t>and</w:t>
      </w:r>
      <w:r>
        <w:rPr>
          <w:rFonts w:ascii="Times New Roman" w:cs="Times New Roman" w:eastAsia="Times New Roman" w:hAnsi="Times New Roman"/>
          <w:sz w:val="22"/>
          <w:szCs w:val="22"/>
          <w:b w:val="1"/>
          <w:bCs w:val="1"/>
          <w:i w:val="1"/>
          <w:iCs w:val="1"/>
          <w:color w:val="auto"/>
        </w:rPr>
        <w:t xml:space="preserve"> become </w:t>
      </w:r>
      <w:r>
        <w:rPr>
          <w:rFonts w:ascii="Times New Roman" w:cs="Times New Roman" w:eastAsia="Times New Roman" w:hAnsi="Times New Roman"/>
          <w:sz w:val="19"/>
          <w:szCs w:val="19"/>
          <w:b w:val="1"/>
          <w:bCs w:val="1"/>
          <w:i w:val="1"/>
          <w:iCs w:val="1"/>
          <w:color w:val="auto"/>
        </w:rPr>
        <w:t xml:space="preserve">a party to </w:t>
      </w:r>
      <w:r>
        <w:rPr>
          <w:rFonts w:ascii="Times New Roman" w:cs="Times New Roman" w:eastAsia="Times New Roman" w:hAnsi="Times New Roman"/>
          <w:sz w:val="21"/>
          <w:szCs w:val="21"/>
          <w:b w:val="1"/>
          <w:bCs w:val="1"/>
          <w:i w:val="1"/>
          <w:iCs w:val="1"/>
          <w:color w:val="auto"/>
        </w:rPr>
        <w:t>the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Transfers </w:t>
      </w:r>
      <w:r>
        <w:rPr>
          <w:rFonts w:ascii="Times New Roman" w:cs="Times New Roman" w:eastAsia="Times New Roman" w:hAnsi="Times New Roman"/>
          <w:sz w:val="21"/>
          <w:szCs w:val="21"/>
          <w:b w:val="1"/>
          <w:bCs w:val="1"/>
          <w:i w:val="1"/>
          <w:iCs w:val="1"/>
          <w:color w:val="auto"/>
        </w:rPr>
        <w:t>and</w:t>
      </w:r>
      <w:r>
        <w:rPr>
          <w:rFonts w:ascii="Times New Roman" w:cs="Times New Roman" w:eastAsia="Times New Roman" w:hAnsi="Times New Roman"/>
          <w:sz w:val="20"/>
          <w:szCs w:val="20"/>
          <w:b w:val="1"/>
          <w:bCs w:val="1"/>
          <w:i w:val="1"/>
          <w:iCs w:val="1"/>
          <w:color w:val="auto"/>
        </w:rPr>
        <w:t xml:space="preserve"> Retention </w:t>
      </w:r>
      <w:r>
        <w:rPr>
          <w:rFonts w:ascii="Times New Roman" w:cs="Times New Roman" w:eastAsia="Times New Roman" w:hAnsi="Times New Roman"/>
          <w:sz w:val="21"/>
          <w:szCs w:val="21"/>
          <w:b w:val="1"/>
          <w:bCs w:val="1"/>
          <w:i w:val="1"/>
          <w:iCs w:val="1"/>
          <w:color w:val="auto"/>
        </w:rPr>
        <w:t>of Data</w:t>
      </w:r>
    </w:p>
    <w:p>
      <w:pPr>
        <w:spacing w:after="0" w:line="218"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 xml:space="preserve">You understand </w:t>
      </w:r>
      <w:r>
        <w:rPr>
          <w:rFonts w:ascii="Times New Roman" w:cs="Times New Roman" w:eastAsia="Times New Roman" w:hAnsi="Times New Roman"/>
          <w:sz w:val="21"/>
          <w:szCs w:val="21"/>
          <w:b w:val="1"/>
          <w:bCs w:val="1"/>
          <w:i w:val="1"/>
          <w:iCs w:val="1"/>
          <w:color w:val="auto"/>
        </w:rPr>
        <w:t>that</w:t>
      </w:r>
      <w:r>
        <w:rPr>
          <w:rFonts w:ascii="Times New Roman" w:cs="Times New Roman" w:eastAsia="Times New Roman" w:hAnsi="Times New Roman"/>
          <w:sz w:val="20"/>
          <w:szCs w:val="20"/>
          <w:b w:val="1"/>
          <w:bCs w:val="1"/>
          <w:i w:val="1"/>
          <w:iCs w:val="1"/>
          <w:color w:val="auto"/>
        </w:rPr>
        <w:t xml:space="preserve"> your </w:t>
      </w:r>
      <w:r>
        <w:rPr>
          <w:rFonts w:ascii="Times New Roman" w:cs="Times New Roman" w:eastAsia="Times New Roman" w:hAnsi="Times New Roman"/>
          <w:sz w:val="21"/>
          <w:szCs w:val="21"/>
          <w:b w:val="1"/>
          <w:bCs w:val="1"/>
          <w:i w:val="1"/>
          <w:iCs w:val="1"/>
          <w:color w:val="auto"/>
        </w:rPr>
        <w:t>employer</w:t>
      </w:r>
      <w:r>
        <w:rPr>
          <w:rFonts w:ascii="Times New Roman" w:cs="Times New Roman" w:eastAsia="Times New Roman" w:hAnsi="Times New Roman"/>
          <w:sz w:val="20"/>
          <w:szCs w:val="20"/>
          <w:b w:val="1"/>
          <w:bCs w:val="1"/>
          <w:i w:val="1"/>
          <w:iCs w:val="1"/>
          <w:color w:val="auto"/>
        </w:rPr>
        <w:t xml:space="preserve"> will transfer your Data to FactSet for purposes of plan administration. </w:t>
      </w:r>
      <w:r>
        <w:rPr>
          <w:rFonts w:ascii="Times New Roman" w:cs="Times New Roman" w:eastAsia="Times New Roman" w:hAnsi="Times New Roman"/>
          <w:sz w:val="21"/>
          <w:szCs w:val="21"/>
          <w:b w:val="1"/>
          <w:bCs w:val="1"/>
          <w:i w:val="1"/>
          <w:iCs w:val="1"/>
          <w:color w:val="auto"/>
        </w:rPr>
        <w:t>The Company and your</w:t>
      </w:r>
      <w:r>
        <w:rPr>
          <w:rFonts w:ascii="Times New Roman" w:cs="Times New Roman" w:eastAsia="Times New Roman" w:hAnsi="Times New Roman"/>
          <w:sz w:val="20"/>
          <w:szCs w:val="20"/>
          <w:b w:val="1"/>
          <w:bCs w:val="1"/>
          <w:i w:val="1"/>
          <w:iCs w:val="1"/>
          <w:color w:val="auto"/>
        </w:rPr>
        <w:t xml:space="preserve"> employer </w:t>
      </w:r>
      <w:r>
        <w:rPr>
          <w:rFonts w:ascii="Times New Roman" w:cs="Times New Roman" w:eastAsia="Times New Roman" w:hAnsi="Times New Roman"/>
          <w:sz w:val="21"/>
          <w:szCs w:val="21"/>
          <w:b w:val="1"/>
          <w:bCs w:val="1"/>
          <w:i w:val="1"/>
          <w:iCs w:val="1"/>
          <w:color w:val="auto"/>
        </w:rPr>
        <w:t>may also</w:t>
      </w:r>
      <w:r>
        <w:rPr>
          <w:rFonts w:ascii="Times New Roman" w:cs="Times New Roman" w:eastAsia="Times New Roman" w:hAnsi="Times New Roman"/>
          <w:sz w:val="20"/>
          <w:szCs w:val="20"/>
          <w:b w:val="1"/>
          <w:bCs w:val="1"/>
          <w:i w:val="1"/>
          <w:iCs w:val="1"/>
          <w:color w:val="auto"/>
        </w:rPr>
        <w:t xml:space="preserve"> transfer </w:t>
      </w:r>
      <w:r>
        <w:rPr>
          <w:rFonts w:ascii="Times New Roman" w:cs="Times New Roman" w:eastAsia="Times New Roman" w:hAnsi="Times New Roman"/>
          <w:sz w:val="21"/>
          <w:szCs w:val="21"/>
          <w:b w:val="1"/>
          <w:bCs w:val="1"/>
          <w:i w:val="1"/>
          <w:iCs w:val="1"/>
          <w:color w:val="auto"/>
        </w:rPr>
        <w:t>your Data</w:t>
      </w:r>
      <w:r>
        <w:rPr>
          <w:rFonts w:ascii="Times New Roman" w:cs="Times New Roman" w:eastAsia="Times New Roman" w:hAnsi="Times New Roman"/>
          <w:sz w:val="20"/>
          <w:szCs w:val="20"/>
          <w:b w:val="1"/>
          <w:bCs w:val="1"/>
          <w:i w:val="1"/>
          <w:iCs w:val="1"/>
          <w:color w:val="auto"/>
        </w:rPr>
        <w:t xml:space="preserve"> to other service providers (such as accounting firms, payroll processing firms </w:t>
      </w:r>
      <w:r>
        <w:rPr>
          <w:rFonts w:ascii="Times New Roman" w:cs="Times New Roman" w:eastAsia="Times New Roman" w:hAnsi="Times New Roman"/>
          <w:sz w:val="21"/>
          <w:szCs w:val="21"/>
          <w:b w:val="1"/>
          <w:bCs w:val="1"/>
          <w:i w:val="1"/>
          <w:iCs w:val="1"/>
          <w:color w:val="auto"/>
        </w:rPr>
        <w:t>or tax firms),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1"/>
          <w:szCs w:val="21"/>
          <w:b w:val="1"/>
          <w:bCs w:val="1"/>
          <w:i w:val="1"/>
          <w:iCs w:val="1"/>
          <w:color w:val="auto"/>
        </w:rPr>
        <w:t xml:space="preserve">may be </w:t>
      </w:r>
      <w:r>
        <w:rPr>
          <w:rFonts w:ascii="Times New Roman" w:cs="Times New Roman" w:eastAsia="Times New Roman" w:hAnsi="Times New Roman"/>
          <w:sz w:val="19"/>
          <w:szCs w:val="19"/>
          <w:b w:val="1"/>
          <w:bCs w:val="1"/>
          <w:i w:val="1"/>
          <w:iCs w:val="1"/>
          <w:color w:val="auto"/>
        </w:rPr>
        <w:t>selected by</w:t>
      </w:r>
      <w:r>
        <w:rPr>
          <w:rFonts w:ascii="Times New Roman" w:cs="Times New Roman" w:eastAsia="Times New Roman" w:hAnsi="Times New Roman"/>
          <w:sz w:val="21"/>
          <w:szCs w:val="21"/>
          <w:b w:val="1"/>
          <w:bCs w:val="1"/>
          <w:i w:val="1"/>
          <w:iCs w:val="1"/>
          <w:color w:val="auto"/>
        </w:rPr>
        <w:t xml:space="preserve"> the Company in the future, </w:t>
      </w:r>
      <w:r>
        <w:rPr>
          <w:rFonts w:ascii="Times New Roman" w:cs="Times New Roman" w:eastAsia="Times New Roman" w:hAnsi="Times New Roman"/>
          <w:sz w:val="19"/>
          <w:szCs w:val="19"/>
          <w:b w:val="1"/>
          <w:bCs w:val="1"/>
          <w:i w:val="1"/>
          <w:iCs w:val="1"/>
          <w:color w:val="auto"/>
        </w:rPr>
        <w:t>to</w:t>
      </w:r>
      <w:r>
        <w:rPr>
          <w:rFonts w:ascii="Times New Roman" w:cs="Times New Roman" w:eastAsia="Times New Roman" w:hAnsi="Times New Roman"/>
          <w:sz w:val="21"/>
          <w:szCs w:val="21"/>
          <w:b w:val="1"/>
          <w:bCs w:val="1"/>
          <w:i w:val="1"/>
          <w:iCs w:val="1"/>
          <w:color w:val="auto"/>
        </w:rPr>
        <w:t xml:space="preserve"> assist </w:t>
      </w:r>
      <w:r>
        <w:rPr>
          <w:rFonts w:ascii="Times New Roman" w:cs="Times New Roman" w:eastAsia="Times New Roman" w:hAnsi="Times New Roman"/>
          <w:sz w:val="19"/>
          <w:szCs w:val="19"/>
          <w:b w:val="1"/>
          <w:bCs w:val="1"/>
          <w:i w:val="1"/>
          <w:iCs w:val="1"/>
          <w:color w:val="auto"/>
        </w:rPr>
        <w:t>the</w:t>
      </w:r>
      <w:r>
        <w:rPr>
          <w:rFonts w:ascii="Times New Roman" w:cs="Times New Roman" w:eastAsia="Times New Roman" w:hAnsi="Times New Roman"/>
          <w:sz w:val="21"/>
          <w:szCs w:val="21"/>
          <w:b w:val="1"/>
          <w:bCs w:val="1"/>
          <w:i w:val="1"/>
          <w:iCs w:val="1"/>
          <w:color w:val="auto"/>
        </w:rPr>
        <w:t xml:space="preserve"> Company </w:t>
      </w:r>
      <w:r>
        <w:rPr>
          <w:rFonts w:ascii="Times New Roman" w:cs="Times New Roman" w:eastAsia="Times New Roman" w:hAnsi="Times New Roman"/>
          <w:sz w:val="19"/>
          <w:szCs w:val="19"/>
          <w:b w:val="1"/>
          <w:bCs w:val="1"/>
          <w:i w:val="1"/>
          <w:iCs w:val="1"/>
          <w:color w:val="auto"/>
        </w:rPr>
        <w:t>with the implementation, administration</w:t>
      </w:r>
      <w:r>
        <w:rPr>
          <w:rFonts w:ascii="Times New Roman" w:cs="Times New Roman" w:eastAsia="Times New Roman" w:hAnsi="Times New Roman"/>
          <w:sz w:val="21"/>
          <w:szCs w:val="21"/>
          <w:b w:val="1"/>
          <w:bCs w:val="1"/>
          <w:i w:val="1"/>
          <w:iCs w:val="1"/>
          <w:color w:val="auto"/>
        </w:rPr>
        <w:t xml:space="preserve"> and management of</w:t>
      </w:r>
    </w:p>
    <w:p>
      <w:pPr>
        <w:ind w:right="2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Agreement.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0"/>
          <w:szCs w:val="20"/>
          <w:b w:val="1"/>
          <w:bCs w:val="1"/>
          <w:i w:val="1"/>
          <w:iCs w:val="1"/>
          <w:color w:val="auto"/>
        </w:rPr>
        <w:t xml:space="preserve"> understand </w:t>
      </w:r>
      <w:r>
        <w:rPr>
          <w:rFonts w:ascii="Times New Roman" w:cs="Times New Roman" w:eastAsia="Times New Roman" w:hAnsi="Times New Roman"/>
          <w:sz w:val="21"/>
          <w:szCs w:val="21"/>
          <w:b w:val="1"/>
          <w:bCs w:val="1"/>
          <w:i w:val="1"/>
          <w:iCs w:val="1"/>
          <w:color w:val="auto"/>
        </w:rPr>
        <w:t>that</w:t>
      </w:r>
      <w:r>
        <w:rPr>
          <w:rFonts w:ascii="Times New Roman" w:cs="Times New Roman" w:eastAsia="Times New Roman" w:hAnsi="Times New Roman"/>
          <w:sz w:val="20"/>
          <w:szCs w:val="20"/>
          <w:b w:val="1"/>
          <w:bCs w:val="1"/>
          <w:i w:val="1"/>
          <w:iCs w:val="1"/>
          <w:color w:val="auto"/>
        </w:rPr>
        <w:t xml:space="preserve"> the recipients </w:t>
      </w:r>
      <w:r>
        <w:rPr>
          <w:rFonts w:ascii="Times New Roman" w:cs="Times New Roman" w:eastAsia="Times New Roman" w:hAnsi="Times New Roman"/>
          <w:sz w:val="21"/>
          <w:szCs w:val="21"/>
          <w:b w:val="1"/>
          <w:bCs w:val="1"/>
          <w:i w:val="1"/>
          <w:iCs w:val="1"/>
          <w:color w:val="auto"/>
        </w:rPr>
        <w:t>of</w:t>
      </w:r>
      <w:r>
        <w:rPr>
          <w:rFonts w:ascii="Times New Roman" w:cs="Times New Roman" w:eastAsia="Times New Roman" w:hAnsi="Times New Roman"/>
          <w:sz w:val="20"/>
          <w:szCs w:val="20"/>
          <w:b w:val="1"/>
          <w:bCs w:val="1"/>
          <w:i w:val="1"/>
          <w:iCs w:val="1"/>
          <w:color w:val="auto"/>
        </w:rPr>
        <w:t xml:space="preserve"> the </w:t>
      </w:r>
      <w:r>
        <w:rPr>
          <w:rFonts w:ascii="Times New Roman" w:cs="Times New Roman" w:eastAsia="Times New Roman" w:hAnsi="Times New Roman"/>
          <w:sz w:val="21"/>
          <w:szCs w:val="21"/>
          <w:b w:val="1"/>
          <w:bCs w:val="1"/>
          <w:i w:val="1"/>
          <w:iCs w:val="1"/>
          <w:color w:val="auto"/>
        </w:rPr>
        <w:t>Data may be</w:t>
      </w:r>
      <w:r>
        <w:rPr>
          <w:rFonts w:ascii="Times New Roman" w:cs="Times New Roman" w:eastAsia="Times New Roman" w:hAnsi="Times New Roman"/>
          <w:sz w:val="20"/>
          <w:szCs w:val="20"/>
          <w:b w:val="1"/>
          <w:bCs w:val="1"/>
          <w:i w:val="1"/>
          <w:iCs w:val="1"/>
          <w:color w:val="auto"/>
        </w:rPr>
        <w:t xml:space="preserve"> located in the United States, </w:t>
      </w:r>
      <w:r>
        <w:rPr>
          <w:rFonts w:ascii="Times New Roman" w:cs="Times New Roman" w:eastAsia="Times New Roman" w:hAnsi="Times New Roman"/>
          <w:sz w:val="21"/>
          <w:szCs w:val="21"/>
          <w:b w:val="1"/>
          <w:bCs w:val="1"/>
          <w:i w:val="1"/>
          <w:iCs w:val="1"/>
          <w:color w:val="auto"/>
        </w:rPr>
        <w:t>a</w:t>
      </w:r>
      <w:r>
        <w:rPr>
          <w:rFonts w:ascii="Times New Roman" w:cs="Times New Roman" w:eastAsia="Times New Roman" w:hAnsi="Times New Roman"/>
          <w:sz w:val="20"/>
          <w:szCs w:val="20"/>
          <w:b w:val="1"/>
          <w:bCs w:val="1"/>
          <w:i w:val="1"/>
          <w:iCs w:val="1"/>
          <w:color w:val="auto"/>
        </w:rPr>
        <w:t xml:space="preserve"> country </w:t>
      </w:r>
      <w:r>
        <w:rPr>
          <w:rFonts w:ascii="Times New Roman" w:cs="Times New Roman" w:eastAsia="Times New Roman" w:hAnsi="Times New Roman"/>
          <w:sz w:val="21"/>
          <w:szCs w:val="21"/>
          <w:b w:val="1"/>
          <w:bCs w:val="1"/>
          <w:i w:val="1"/>
          <w:iCs w:val="1"/>
          <w:color w:val="auto"/>
        </w:rPr>
        <w:t>that</w:t>
      </w:r>
      <w:r>
        <w:rPr>
          <w:rFonts w:ascii="Times New Roman" w:cs="Times New Roman" w:eastAsia="Times New Roman" w:hAnsi="Times New Roman"/>
          <w:sz w:val="20"/>
          <w:szCs w:val="20"/>
          <w:b w:val="1"/>
          <w:bCs w:val="1"/>
          <w:i w:val="1"/>
          <w:iCs w:val="1"/>
          <w:color w:val="auto"/>
        </w:rPr>
        <w:t xml:space="preserve"> does </w:t>
      </w:r>
      <w:r>
        <w:rPr>
          <w:rFonts w:ascii="Times New Roman" w:cs="Times New Roman" w:eastAsia="Times New Roman" w:hAnsi="Times New Roman"/>
          <w:sz w:val="21"/>
          <w:szCs w:val="21"/>
          <w:b w:val="1"/>
          <w:bCs w:val="1"/>
          <w:i w:val="1"/>
          <w:iCs w:val="1"/>
          <w:color w:val="auto"/>
        </w:rPr>
        <w:t>not benefit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1"/>
          <w:szCs w:val="21"/>
          <w:b w:val="1"/>
          <w:bCs w:val="1"/>
          <w:i w:val="1"/>
          <w:iCs w:val="1"/>
          <w:color w:val="auto"/>
        </w:rPr>
        <w:t xml:space="preserve">from an </w:t>
      </w:r>
      <w:r>
        <w:rPr>
          <w:rFonts w:ascii="Times New Roman" w:cs="Times New Roman" w:eastAsia="Times New Roman" w:hAnsi="Times New Roman"/>
          <w:sz w:val="19"/>
          <w:szCs w:val="19"/>
          <w:b w:val="1"/>
          <w:bCs w:val="1"/>
          <w:i w:val="1"/>
          <w:iCs w:val="1"/>
          <w:color w:val="auto"/>
        </w:rPr>
        <w:t>adequacy decision issued</w:t>
      </w:r>
      <w:r>
        <w:rPr>
          <w:rFonts w:ascii="Times New Roman" w:cs="Times New Roman" w:eastAsia="Times New Roman" w:hAnsi="Times New Roman"/>
          <w:sz w:val="21"/>
          <w:szCs w:val="21"/>
          <w:b w:val="1"/>
          <w:bCs w:val="1"/>
          <w:i w:val="1"/>
          <w:iCs w:val="1"/>
          <w:color w:val="auto"/>
        </w:rPr>
        <w:t xml:space="preserve"> by the European Commission. </w:t>
      </w:r>
      <w:r>
        <w:rPr>
          <w:rFonts w:ascii="Times New Roman" w:cs="Times New Roman" w:eastAsia="Times New Roman" w:hAnsi="Times New Roman"/>
          <w:sz w:val="19"/>
          <w:szCs w:val="19"/>
          <w:b w:val="1"/>
          <w:bCs w:val="1"/>
          <w:i w:val="1"/>
          <w:iCs w:val="1"/>
          <w:color w:val="auto"/>
        </w:rPr>
        <w:t>Where a</w:t>
      </w:r>
      <w:r>
        <w:rPr>
          <w:rFonts w:ascii="Times New Roman" w:cs="Times New Roman" w:eastAsia="Times New Roman" w:hAnsi="Times New Roman"/>
          <w:sz w:val="21"/>
          <w:szCs w:val="21"/>
          <w:b w:val="1"/>
          <w:bCs w:val="1"/>
          <w:i w:val="1"/>
          <w:iCs w:val="1"/>
          <w:color w:val="auto"/>
        </w:rPr>
        <w:t xml:space="preserve"> recipient </w:t>
      </w:r>
      <w:r>
        <w:rPr>
          <w:rFonts w:ascii="Times New Roman" w:cs="Times New Roman" w:eastAsia="Times New Roman" w:hAnsi="Times New Roman"/>
          <w:sz w:val="19"/>
          <w:szCs w:val="19"/>
          <w:b w:val="1"/>
          <w:bCs w:val="1"/>
          <w:i w:val="1"/>
          <w:iCs w:val="1"/>
          <w:color w:val="auto"/>
        </w:rPr>
        <w:t>is located</w:t>
      </w:r>
      <w:r>
        <w:rPr>
          <w:rFonts w:ascii="Times New Roman" w:cs="Times New Roman" w:eastAsia="Times New Roman" w:hAnsi="Times New Roman"/>
          <w:sz w:val="21"/>
          <w:szCs w:val="21"/>
          <w:b w:val="1"/>
          <w:bCs w:val="1"/>
          <w:i w:val="1"/>
          <w:iCs w:val="1"/>
          <w:color w:val="auto"/>
        </w:rPr>
        <w:t xml:space="preserve"> in </w:t>
      </w:r>
      <w:r>
        <w:rPr>
          <w:rFonts w:ascii="Times New Roman" w:cs="Times New Roman" w:eastAsia="Times New Roman" w:hAnsi="Times New Roman"/>
          <w:sz w:val="19"/>
          <w:szCs w:val="19"/>
          <w:b w:val="1"/>
          <w:bCs w:val="1"/>
          <w:i w:val="1"/>
          <w:iCs w:val="1"/>
          <w:color w:val="auto"/>
        </w:rPr>
        <w:t>a country that does not benefit</w:t>
      </w:r>
      <w:r>
        <w:rPr>
          <w:rFonts w:ascii="Times New Roman" w:cs="Times New Roman" w:eastAsia="Times New Roman" w:hAnsi="Times New Roman"/>
          <w:sz w:val="21"/>
          <w:szCs w:val="21"/>
          <w:b w:val="1"/>
          <w:bCs w:val="1"/>
          <w:i w:val="1"/>
          <w:iCs w:val="1"/>
          <w:color w:val="auto"/>
        </w:rPr>
        <w:t xml:space="preserve"> from</w:t>
      </w:r>
    </w:p>
    <w:p>
      <w:pPr>
        <w:spacing w:after="0" w:line="1"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 xml:space="preserve">an </w:t>
      </w:r>
      <w:r>
        <w:rPr>
          <w:rFonts w:ascii="Times New Roman" w:cs="Times New Roman" w:eastAsia="Times New Roman" w:hAnsi="Times New Roman"/>
          <w:sz w:val="21"/>
          <w:szCs w:val="21"/>
          <w:b w:val="1"/>
          <w:bCs w:val="1"/>
          <w:i w:val="1"/>
          <w:iCs w:val="1"/>
          <w:color w:val="auto"/>
        </w:rPr>
        <w:t>adequacy decision, the</w:t>
      </w:r>
      <w:r>
        <w:rPr>
          <w:rFonts w:ascii="Times New Roman" w:cs="Times New Roman" w:eastAsia="Times New Roman" w:hAnsi="Times New Roman"/>
          <w:sz w:val="20"/>
          <w:szCs w:val="20"/>
          <w:b w:val="1"/>
          <w:bCs w:val="1"/>
          <w:i w:val="1"/>
          <w:iCs w:val="1"/>
          <w:color w:val="auto"/>
        </w:rPr>
        <w:t xml:space="preserve"> transfer of </w:t>
      </w:r>
      <w:r>
        <w:rPr>
          <w:rFonts w:ascii="Times New Roman" w:cs="Times New Roman" w:eastAsia="Times New Roman" w:hAnsi="Times New Roman"/>
          <w:sz w:val="21"/>
          <w:szCs w:val="21"/>
          <w:b w:val="1"/>
          <w:bCs w:val="1"/>
          <w:i w:val="1"/>
          <w:iCs w:val="1"/>
          <w:color w:val="auto"/>
        </w:rPr>
        <w:t>the Data to</w:t>
      </w:r>
      <w:r>
        <w:rPr>
          <w:rFonts w:ascii="Times New Roman" w:cs="Times New Roman" w:eastAsia="Times New Roman" w:hAnsi="Times New Roman"/>
          <w:sz w:val="20"/>
          <w:szCs w:val="20"/>
          <w:b w:val="1"/>
          <w:bCs w:val="1"/>
          <w:i w:val="1"/>
          <w:iCs w:val="1"/>
          <w:color w:val="auto"/>
        </w:rPr>
        <w:t xml:space="preserve"> that </w:t>
      </w:r>
      <w:r>
        <w:rPr>
          <w:rFonts w:ascii="Times New Roman" w:cs="Times New Roman" w:eastAsia="Times New Roman" w:hAnsi="Times New Roman"/>
          <w:sz w:val="21"/>
          <w:szCs w:val="21"/>
          <w:b w:val="1"/>
          <w:bCs w:val="1"/>
          <w:i w:val="1"/>
          <w:iCs w:val="1"/>
          <w:color w:val="auto"/>
        </w:rPr>
        <w:t>recipient will</w:t>
      </w:r>
      <w:r>
        <w:rPr>
          <w:rFonts w:ascii="Times New Roman" w:cs="Times New Roman" w:eastAsia="Times New Roman" w:hAnsi="Times New Roman"/>
          <w:sz w:val="20"/>
          <w:szCs w:val="20"/>
          <w:b w:val="1"/>
          <w:bCs w:val="1"/>
          <w:i w:val="1"/>
          <w:iCs w:val="1"/>
          <w:color w:val="auto"/>
        </w:rPr>
        <w:t xml:space="preserve"> be </w:t>
      </w:r>
      <w:r>
        <w:rPr>
          <w:rFonts w:ascii="Times New Roman" w:cs="Times New Roman" w:eastAsia="Times New Roman" w:hAnsi="Times New Roman"/>
          <w:sz w:val="21"/>
          <w:szCs w:val="21"/>
          <w:b w:val="1"/>
          <w:bCs w:val="1"/>
          <w:i w:val="1"/>
          <w:iCs w:val="1"/>
          <w:color w:val="auto"/>
        </w:rPr>
        <w:t>made</w:t>
      </w:r>
      <w:r>
        <w:rPr>
          <w:rFonts w:ascii="Times New Roman" w:cs="Times New Roman" w:eastAsia="Times New Roman" w:hAnsi="Times New Roman"/>
          <w:sz w:val="20"/>
          <w:szCs w:val="20"/>
          <w:b w:val="1"/>
          <w:bCs w:val="1"/>
          <w:i w:val="1"/>
          <w:iCs w:val="1"/>
          <w:color w:val="auto"/>
        </w:rPr>
        <w:t xml:space="preserve"> pursuant </w:t>
      </w:r>
      <w:r>
        <w:rPr>
          <w:rFonts w:ascii="Times New Roman" w:cs="Times New Roman" w:eastAsia="Times New Roman" w:hAnsi="Times New Roman"/>
          <w:sz w:val="21"/>
          <w:szCs w:val="21"/>
          <w:b w:val="1"/>
          <w:bCs w:val="1"/>
          <w:i w:val="1"/>
          <w:iCs w:val="1"/>
          <w:color w:val="auto"/>
        </w:rPr>
        <w:t>to</w:t>
      </w:r>
      <w:r>
        <w:rPr>
          <w:rFonts w:ascii="Times New Roman" w:cs="Times New Roman" w:eastAsia="Times New Roman" w:hAnsi="Times New Roman"/>
          <w:sz w:val="20"/>
          <w:szCs w:val="20"/>
          <w:b w:val="1"/>
          <w:bCs w:val="1"/>
          <w:i w:val="1"/>
          <w:iCs w:val="1"/>
          <w:color w:val="auto"/>
        </w:rPr>
        <w:t xml:space="preserve"> European </w:t>
      </w:r>
      <w:r>
        <w:rPr>
          <w:rFonts w:ascii="Times New Roman" w:cs="Times New Roman" w:eastAsia="Times New Roman" w:hAnsi="Times New Roman"/>
          <w:sz w:val="21"/>
          <w:szCs w:val="21"/>
          <w:b w:val="1"/>
          <w:bCs w:val="1"/>
          <w:i w:val="1"/>
          <w:iCs w:val="1"/>
          <w:color w:val="auto"/>
        </w:rPr>
        <w:t>Commission-</w:t>
      </w:r>
      <w:r>
        <w:rPr>
          <w:rFonts w:ascii="Times New Roman" w:cs="Times New Roman" w:eastAsia="Times New Roman" w:hAnsi="Times New Roman"/>
          <w:sz w:val="20"/>
          <w:szCs w:val="20"/>
          <w:b w:val="1"/>
          <w:bCs w:val="1"/>
          <w:i w:val="1"/>
          <w:iCs w:val="1"/>
          <w:color w:val="auto"/>
        </w:rPr>
        <w:t xml:space="preserve"> approved standard contractual </w:t>
      </w:r>
      <w:r>
        <w:rPr>
          <w:rFonts w:ascii="Times New Roman" w:cs="Times New Roman" w:eastAsia="Times New Roman" w:hAnsi="Times New Roman"/>
          <w:sz w:val="21"/>
          <w:szCs w:val="21"/>
          <w:b w:val="1"/>
          <w:bCs w:val="1"/>
          <w:i w:val="1"/>
          <w:iCs w:val="1"/>
          <w:color w:val="auto"/>
        </w:rPr>
        <w:t>clauses,</w:t>
      </w:r>
      <w:r>
        <w:rPr>
          <w:rFonts w:ascii="Times New Roman" w:cs="Times New Roman" w:eastAsia="Times New Roman" w:hAnsi="Times New Roman"/>
          <w:sz w:val="20"/>
          <w:szCs w:val="20"/>
          <w:b w:val="1"/>
          <w:bCs w:val="1"/>
          <w:i w:val="1"/>
          <w:iCs w:val="1"/>
          <w:color w:val="auto"/>
        </w:rPr>
        <w:t xml:space="preserve"> a copy of </w:t>
      </w:r>
      <w:r>
        <w:rPr>
          <w:rFonts w:ascii="Times New Roman" w:cs="Times New Roman" w:eastAsia="Times New Roman" w:hAnsi="Times New Roman"/>
          <w:sz w:val="21"/>
          <w:szCs w:val="21"/>
          <w:b w:val="1"/>
          <w:bCs w:val="1"/>
          <w:i w:val="1"/>
          <w:iCs w:val="1"/>
          <w:color w:val="auto"/>
        </w:rPr>
        <w:t>which</w:t>
      </w:r>
      <w:r>
        <w:rPr>
          <w:rFonts w:ascii="Times New Roman" w:cs="Times New Roman" w:eastAsia="Times New Roman" w:hAnsi="Times New Roman"/>
          <w:sz w:val="20"/>
          <w:szCs w:val="20"/>
          <w:b w:val="1"/>
          <w:bCs w:val="1"/>
          <w:i w:val="1"/>
          <w:iCs w:val="1"/>
          <w:color w:val="auto"/>
        </w:rPr>
        <w:t xml:space="preserve"> may </w:t>
      </w:r>
      <w:r>
        <w:rPr>
          <w:rFonts w:ascii="Times New Roman" w:cs="Times New Roman" w:eastAsia="Times New Roman" w:hAnsi="Times New Roman"/>
          <w:sz w:val="21"/>
          <w:szCs w:val="21"/>
          <w:b w:val="1"/>
          <w:bCs w:val="1"/>
          <w:i w:val="1"/>
          <w:iCs w:val="1"/>
          <w:color w:val="auto"/>
        </w:rPr>
        <w:t>be</w:t>
      </w:r>
      <w:r>
        <w:rPr>
          <w:rFonts w:ascii="Times New Roman" w:cs="Times New Roman" w:eastAsia="Times New Roman" w:hAnsi="Times New Roman"/>
          <w:sz w:val="20"/>
          <w:szCs w:val="20"/>
          <w:b w:val="1"/>
          <w:bCs w:val="1"/>
          <w:i w:val="1"/>
          <w:iCs w:val="1"/>
          <w:color w:val="auto"/>
        </w:rPr>
        <w:t xml:space="preserve"> obtained from the FactSet Legal Department, </w:t>
      </w:r>
      <w:r>
        <w:rPr>
          <w:rFonts w:ascii="Times New Roman" w:cs="Times New Roman" w:eastAsia="Times New Roman" w:hAnsi="Times New Roman"/>
          <w:sz w:val="21"/>
          <w:szCs w:val="21"/>
          <w:b w:val="1"/>
          <w:bCs w:val="1"/>
          <w:i w:val="1"/>
          <w:iCs w:val="1"/>
          <w:color w:val="auto"/>
        </w:rPr>
        <w:t>45</w:t>
      </w:r>
      <w:r>
        <w:rPr>
          <w:rFonts w:ascii="Times New Roman" w:cs="Times New Roman" w:eastAsia="Times New Roman" w:hAnsi="Times New Roman"/>
          <w:sz w:val="20"/>
          <w:szCs w:val="20"/>
          <w:b w:val="1"/>
          <w:bCs w:val="1"/>
          <w:i w:val="1"/>
          <w:iCs w:val="1"/>
          <w:color w:val="auto"/>
        </w:rPr>
        <w:t xml:space="preserve"> Glover Ave., Norwalk, CT, 06850. Such transfer </w:t>
      </w:r>
      <w:r>
        <w:rPr>
          <w:rFonts w:ascii="Times New Roman" w:cs="Times New Roman" w:eastAsia="Times New Roman" w:hAnsi="Times New Roman"/>
          <w:sz w:val="21"/>
          <w:szCs w:val="21"/>
          <w:b w:val="1"/>
          <w:bCs w:val="1"/>
          <w:i w:val="1"/>
          <w:iCs w:val="1"/>
          <w:color w:val="auto"/>
        </w:rPr>
        <w:t>mechanisms may</w:t>
      </w:r>
      <w:r>
        <w:rPr>
          <w:rFonts w:ascii="Times New Roman" w:cs="Times New Roman" w:eastAsia="Times New Roman" w:hAnsi="Times New Roman"/>
          <w:sz w:val="20"/>
          <w:szCs w:val="20"/>
          <w:b w:val="1"/>
          <w:bCs w:val="1"/>
          <w:i w:val="1"/>
          <w:iCs w:val="1"/>
          <w:color w:val="auto"/>
        </w:rPr>
        <w:t xml:space="preserve"> also include transfers </w:t>
      </w:r>
      <w:r>
        <w:rPr>
          <w:rFonts w:ascii="Times New Roman" w:cs="Times New Roman" w:eastAsia="Times New Roman" w:hAnsi="Times New Roman"/>
          <w:sz w:val="21"/>
          <w:szCs w:val="21"/>
          <w:b w:val="1"/>
          <w:bCs w:val="1"/>
          <w:i w:val="1"/>
          <w:iCs w:val="1"/>
          <w:color w:val="auto"/>
        </w:rPr>
        <w:t>made under the EU-U.S. Data</w:t>
      </w:r>
      <w:r>
        <w:rPr>
          <w:rFonts w:ascii="Times New Roman" w:cs="Times New Roman" w:eastAsia="Times New Roman" w:hAnsi="Times New Roman"/>
          <w:sz w:val="20"/>
          <w:szCs w:val="20"/>
          <w:b w:val="1"/>
          <w:bCs w:val="1"/>
          <w:i w:val="1"/>
          <w:iCs w:val="1"/>
          <w:color w:val="auto"/>
        </w:rPr>
        <w:t xml:space="preserve"> Privacy Framework.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0"/>
          <w:szCs w:val="20"/>
          <w:b w:val="1"/>
          <w:bCs w:val="1"/>
          <w:i w:val="1"/>
          <w:iCs w:val="1"/>
          <w:color w:val="auto"/>
        </w:rPr>
        <w:t xml:space="preserve"> understand</w:t>
      </w:r>
    </w:p>
    <w:p>
      <w:pPr>
        <w:ind w:right="62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that </w:t>
      </w:r>
      <w:r>
        <w:rPr>
          <w:rFonts w:ascii="Times New Roman" w:cs="Times New Roman" w:eastAsia="Times New Roman" w:hAnsi="Times New Roman"/>
          <w:sz w:val="21"/>
          <w:szCs w:val="21"/>
          <w:b w:val="1"/>
          <w:bCs w:val="1"/>
          <w:i w:val="1"/>
          <w:iCs w:val="1"/>
          <w:color w:val="auto"/>
        </w:rPr>
        <w:t>Data</w:t>
      </w:r>
      <w:r>
        <w:rPr>
          <w:rFonts w:ascii="Times New Roman" w:cs="Times New Roman" w:eastAsia="Times New Roman" w:hAnsi="Times New Roman"/>
          <w:sz w:val="20"/>
          <w:szCs w:val="20"/>
          <w:b w:val="1"/>
          <w:bCs w:val="1"/>
          <w:i w:val="1"/>
          <w:iCs w:val="1"/>
          <w:color w:val="auto"/>
        </w:rPr>
        <w:t xml:space="preserve"> will be held only </w:t>
      </w:r>
      <w:r>
        <w:rPr>
          <w:rFonts w:ascii="Times New Roman" w:cs="Times New Roman" w:eastAsia="Times New Roman" w:hAnsi="Times New Roman"/>
          <w:sz w:val="21"/>
          <w:szCs w:val="21"/>
          <w:b w:val="1"/>
          <w:bCs w:val="1"/>
          <w:i w:val="1"/>
          <w:iCs w:val="1"/>
          <w:color w:val="auto"/>
        </w:rPr>
        <w:t>as</w:t>
      </w:r>
      <w:r>
        <w:rPr>
          <w:rFonts w:ascii="Times New Roman" w:cs="Times New Roman" w:eastAsia="Times New Roman" w:hAnsi="Times New Roman"/>
          <w:sz w:val="20"/>
          <w:szCs w:val="20"/>
          <w:b w:val="1"/>
          <w:bCs w:val="1"/>
          <w:i w:val="1"/>
          <w:iCs w:val="1"/>
          <w:color w:val="auto"/>
        </w:rPr>
        <w:t xml:space="preserve"> long as is necessary to implement, administer </w:t>
      </w:r>
      <w:r>
        <w:rPr>
          <w:rFonts w:ascii="Times New Roman" w:cs="Times New Roman" w:eastAsia="Times New Roman" w:hAnsi="Times New Roman"/>
          <w:sz w:val="21"/>
          <w:szCs w:val="21"/>
          <w:b w:val="1"/>
          <w:bCs w:val="1"/>
          <w:i w:val="1"/>
          <w:iCs w:val="1"/>
          <w:color w:val="auto"/>
        </w:rPr>
        <w:t>and</w:t>
      </w:r>
      <w:r>
        <w:rPr>
          <w:rFonts w:ascii="Times New Roman" w:cs="Times New Roman" w:eastAsia="Times New Roman" w:hAnsi="Times New Roman"/>
          <w:sz w:val="20"/>
          <w:szCs w:val="20"/>
          <w:b w:val="1"/>
          <w:bCs w:val="1"/>
          <w:i w:val="1"/>
          <w:iCs w:val="1"/>
          <w:color w:val="auto"/>
        </w:rPr>
        <w:t xml:space="preserve"> manage your rights </w:t>
      </w:r>
      <w:r>
        <w:rPr>
          <w:rFonts w:ascii="Times New Roman" w:cs="Times New Roman" w:eastAsia="Times New Roman" w:hAnsi="Times New Roman"/>
          <w:sz w:val="21"/>
          <w:szCs w:val="21"/>
          <w:b w:val="1"/>
          <w:bCs w:val="1"/>
          <w:i w:val="1"/>
          <w:iCs w:val="1"/>
          <w:color w:val="auto"/>
        </w:rPr>
        <w:t>and</w:t>
      </w:r>
      <w:r>
        <w:rPr>
          <w:rFonts w:ascii="Times New Roman" w:cs="Times New Roman" w:eastAsia="Times New Roman" w:hAnsi="Times New Roman"/>
          <w:sz w:val="20"/>
          <w:szCs w:val="20"/>
          <w:b w:val="1"/>
          <w:bCs w:val="1"/>
          <w:i w:val="1"/>
          <w:iCs w:val="1"/>
          <w:color w:val="auto"/>
        </w:rPr>
        <w:t xml:space="preserve"> obligations </w:t>
      </w:r>
      <w:r>
        <w:rPr>
          <w:rFonts w:ascii="Times New Roman" w:cs="Times New Roman" w:eastAsia="Times New Roman" w:hAnsi="Times New Roman"/>
          <w:sz w:val="21"/>
          <w:szCs w:val="21"/>
          <w:b w:val="1"/>
          <w:bCs w:val="1"/>
          <w:i w:val="1"/>
          <w:iCs w:val="1"/>
          <w:color w:val="auto"/>
        </w:rPr>
        <w:t>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1"/>
          <w:szCs w:val="21"/>
          <w:b w:val="1"/>
          <w:bCs w:val="1"/>
          <w:i w:val="1"/>
          <w:iCs w:val="1"/>
          <w:color w:val="auto"/>
        </w:rPr>
        <w:t xml:space="preserve">Agreement, and for the </w:t>
      </w:r>
      <w:r>
        <w:rPr>
          <w:rFonts w:ascii="Times New Roman" w:cs="Times New Roman" w:eastAsia="Times New Roman" w:hAnsi="Times New Roman"/>
          <w:sz w:val="19"/>
          <w:szCs w:val="19"/>
          <w:b w:val="1"/>
          <w:bCs w:val="1"/>
          <w:i w:val="1"/>
          <w:iCs w:val="1"/>
          <w:color w:val="auto"/>
        </w:rPr>
        <w:t>duration</w:t>
      </w:r>
      <w:r>
        <w:rPr>
          <w:rFonts w:ascii="Times New Roman" w:cs="Times New Roman" w:eastAsia="Times New Roman" w:hAnsi="Times New Roman"/>
          <w:sz w:val="21"/>
          <w:szCs w:val="21"/>
          <w:b w:val="1"/>
          <w:bCs w:val="1"/>
          <w:i w:val="1"/>
          <w:iCs w:val="1"/>
          <w:color w:val="auto"/>
        </w:rPr>
        <w:t xml:space="preserve"> of </w:t>
      </w:r>
      <w:r>
        <w:rPr>
          <w:rFonts w:ascii="Times New Roman" w:cs="Times New Roman" w:eastAsia="Times New Roman" w:hAnsi="Times New Roman"/>
          <w:sz w:val="19"/>
          <w:szCs w:val="19"/>
          <w:b w:val="1"/>
          <w:bCs w:val="1"/>
          <w:i w:val="1"/>
          <w:iCs w:val="1"/>
          <w:color w:val="auto"/>
        </w:rPr>
        <w:t>the relevant</w:t>
      </w:r>
      <w:r>
        <w:rPr>
          <w:rFonts w:ascii="Times New Roman" w:cs="Times New Roman" w:eastAsia="Times New Roman" w:hAnsi="Times New Roman"/>
          <w:sz w:val="21"/>
          <w:szCs w:val="21"/>
          <w:b w:val="1"/>
          <w:bCs w:val="1"/>
          <w:i w:val="1"/>
          <w:iCs w:val="1"/>
          <w:color w:val="auto"/>
        </w:rPr>
        <w:t xml:space="preserve"> statutes of </w:t>
      </w:r>
      <w:r>
        <w:rPr>
          <w:rFonts w:ascii="Times New Roman" w:cs="Times New Roman" w:eastAsia="Times New Roman" w:hAnsi="Times New Roman"/>
          <w:sz w:val="19"/>
          <w:szCs w:val="19"/>
          <w:b w:val="1"/>
          <w:bCs w:val="1"/>
          <w:i w:val="1"/>
          <w:iCs w:val="1"/>
          <w:color w:val="auto"/>
        </w:rPr>
        <w:t>limitations,</w:t>
      </w:r>
      <w:r>
        <w:rPr>
          <w:rFonts w:ascii="Times New Roman" w:cs="Times New Roman" w:eastAsia="Times New Roman" w:hAnsi="Times New Roman"/>
          <w:sz w:val="21"/>
          <w:szCs w:val="21"/>
          <w:b w:val="1"/>
          <w:bCs w:val="1"/>
          <w:i w:val="1"/>
          <w:iCs w:val="1"/>
          <w:color w:val="auto"/>
        </w:rPr>
        <w:t xml:space="preserve"> which may be </w:t>
      </w:r>
      <w:r>
        <w:rPr>
          <w:rFonts w:ascii="Times New Roman" w:cs="Times New Roman" w:eastAsia="Times New Roman" w:hAnsi="Times New Roman"/>
          <w:sz w:val="19"/>
          <w:szCs w:val="19"/>
          <w:b w:val="1"/>
          <w:bCs w:val="1"/>
          <w:i w:val="1"/>
          <w:iCs w:val="1"/>
          <w:color w:val="auto"/>
        </w:rPr>
        <w:t>longer than</w:t>
      </w:r>
      <w:r>
        <w:rPr>
          <w:rFonts w:ascii="Times New Roman" w:cs="Times New Roman" w:eastAsia="Times New Roman" w:hAnsi="Times New Roman"/>
          <w:sz w:val="21"/>
          <w:szCs w:val="21"/>
          <w:b w:val="1"/>
          <w:bCs w:val="1"/>
          <w:i w:val="1"/>
          <w:iCs w:val="1"/>
          <w:color w:val="auto"/>
        </w:rPr>
        <w:t xml:space="preserve"> the term of </w:t>
      </w:r>
      <w:r>
        <w:rPr>
          <w:rFonts w:ascii="Times New Roman" w:cs="Times New Roman" w:eastAsia="Times New Roman" w:hAnsi="Times New Roman"/>
          <w:sz w:val="19"/>
          <w:szCs w:val="19"/>
          <w:b w:val="1"/>
          <w:bCs w:val="1"/>
          <w:i w:val="1"/>
          <w:iCs w:val="1"/>
          <w:color w:val="auto"/>
        </w:rPr>
        <w:t>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Your Rights in Respect of Data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b w:val="1"/>
          <w:bCs w:val="1"/>
          <w:i w:val="1"/>
          <w:iCs w:val="1"/>
          <w:color w:val="auto"/>
        </w:rPr>
        <w:t xml:space="preserve"> will </w:t>
      </w:r>
      <w:r>
        <w:rPr>
          <w:rFonts w:ascii="Times New Roman" w:cs="Times New Roman" w:eastAsia="Times New Roman" w:hAnsi="Times New Roman"/>
          <w:sz w:val="21"/>
          <w:szCs w:val="21"/>
          <w:b w:val="1"/>
          <w:bCs w:val="1"/>
          <w:i w:val="1"/>
          <w:iCs w:val="1"/>
          <w:color w:val="auto"/>
        </w:rPr>
        <w:t>take steps in</w:t>
      </w:r>
      <w:r>
        <w:rPr>
          <w:rFonts w:ascii="Times New Roman" w:cs="Times New Roman" w:eastAsia="Times New Roman" w:hAnsi="Times New Roman"/>
          <w:sz w:val="20"/>
          <w:szCs w:val="20"/>
          <w:b w:val="1"/>
          <w:bCs w:val="1"/>
          <w:i w:val="1"/>
          <w:iCs w:val="1"/>
          <w:color w:val="auto"/>
        </w:rPr>
        <w:t xml:space="preserve"> accordance </w:t>
      </w:r>
      <w:r>
        <w:rPr>
          <w:rFonts w:ascii="Times New Roman" w:cs="Times New Roman" w:eastAsia="Times New Roman" w:hAnsi="Times New Roman"/>
          <w:sz w:val="21"/>
          <w:szCs w:val="21"/>
          <w:b w:val="1"/>
          <w:bCs w:val="1"/>
          <w:i w:val="1"/>
          <w:iCs w:val="1"/>
          <w:color w:val="auto"/>
        </w:rPr>
        <w:t>with</w:t>
      </w:r>
      <w:r>
        <w:rPr>
          <w:rFonts w:ascii="Times New Roman" w:cs="Times New Roman" w:eastAsia="Times New Roman" w:hAnsi="Times New Roman"/>
          <w:sz w:val="20"/>
          <w:szCs w:val="20"/>
          <w:b w:val="1"/>
          <w:bCs w:val="1"/>
          <w:i w:val="1"/>
          <w:iCs w:val="1"/>
          <w:color w:val="auto"/>
        </w:rPr>
        <w:t xml:space="preserve"> applicable legislation to keep </w:t>
      </w:r>
      <w:r>
        <w:rPr>
          <w:rFonts w:ascii="Times New Roman" w:cs="Times New Roman" w:eastAsia="Times New Roman" w:hAnsi="Times New Roman"/>
          <w:sz w:val="21"/>
          <w:szCs w:val="21"/>
          <w:b w:val="1"/>
          <w:bCs w:val="1"/>
          <w:i w:val="1"/>
          <w:iCs w:val="1"/>
          <w:color w:val="auto"/>
        </w:rPr>
        <w:t>Data</w:t>
      </w:r>
      <w:r>
        <w:rPr>
          <w:rFonts w:ascii="Times New Roman" w:cs="Times New Roman" w:eastAsia="Times New Roman" w:hAnsi="Times New Roman"/>
          <w:sz w:val="20"/>
          <w:szCs w:val="20"/>
          <w:b w:val="1"/>
          <w:bCs w:val="1"/>
          <w:i w:val="1"/>
          <w:iCs w:val="1"/>
          <w:color w:val="auto"/>
        </w:rPr>
        <w:t xml:space="preserve"> accurate, complete </w:t>
      </w:r>
      <w:r>
        <w:rPr>
          <w:rFonts w:ascii="Times New Roman" w:cs="Times New Roman" w:eastAsia="Times New Roman" w:hAnsi="Times New Roman"/>
          <w:sz w:val="21"/>
          <w:szCs w:val="21"/>
          <w:b w:val="1"/>
          <w:bCs w:val="1"/>
          <w:i w:val="1"/>
          <w:iCs w:val="1"/>
          <w:color w:val="auto"/>
        </w:rPr>
        <w:t>and</w:t>
      </w:r>
      <w:r>
        <w:rPr>
          <w:rFonts w:ascii="Times New Roman" w:cs="Times New Roman" w:eastAsia="Times New Roman" w:hAnsi="Times New Roman"/>
          <w:sz w:val="20"/>
          <w:szCs w:val="20"/>
          <w:b w:val="1"/>
          <w:bCs w:val="1"/>
          <w:i w:val="1"/>
          <w:iCs w:val="1"/>
          <w:color w:val="auto"/>
        </w:rPr>
        <w:t xml:space="preserve"> up-to-date. </w:t>
      </w:r>
      <w:r>
        <w:rPr>
          <w:rFonts w:ascii="Times New Roman" w:cs="Times New Roman" w:eastAsia="Times New Roman" w:hAnsi="Times New Roman"/>
          <w:sz w:val="21"/>
          <w:szCs w:val="21"/>
          <w:b w:val="1"/>
          <w:bCs w:val="1"/>
          <w:i w:val="1"/>
          <w:iCs w:val="1"/>
          <w:color w:val="auto"/>
        </w:rPr>
        <w:t>You are</w:t>
      </w:r>
    </w:p>
    <w:p>
      <w:pPr>
        <w:spacing w:after="0" w:line="18"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entitled </w:t>
      </w:r>
      <w:r>
        <w:rPr>
          <w:rFonts w:ascii="Times New Roman" w:cs="Times New Roman" w:eastAsia="Times New Roman" w:hAnsi="Times New Roman"/>
          <w:sz w:val="21"/>
          <w:szCs w:val="21"/>
          <w:b w:val="1"/>
          <w:bCs w:val="1"/>
          <w:i w:val="1"/>
          <w:iCs w:val="1"/>
          <w:color w:val="auto"/>
        </w:rPr>
        <w:t>to have</w:t>
      </w:r>
      <w:r>
        <w:rPr>
          <w:rFonts w:ascii="Times New Roman" w:cs="Times New Roman" w:eastAsia="Times New Roman" w:hAnsi="Times New Roman"/>
          <w:sz w:val="20"/>
          <w:szCs w:val="20"/>
          <w:b w:val="1"/>
          <w:bCs w:val="1"/>
          <w:i w:val="1"/>
          <w:iCs w:val="1"/>
          <w:color w:val="auto"/>
        </w:rPr>
        <w:t xml:space="preserve"> any inadequate, incomplete or incorrect Data corrected </w:t>
      </w:r>
      <w:r>
        <w:rPr>
          <w:rFonts w:ascii="Times New Roman" w:cs="Times New Roman" w:eastAsia="Times New Roman" w:hAnsi="Times New Roman"/>
          <w:sz w:val="21"/>
          <w:szCs w:val="21"/>
          <w:b w:val="1"/>
          <w:bCs w:val="1"/>
          <w:i w:val="1"/>
          <w:iCs w:val="1"/>
          <w:color w:val="auto"/>
        </w:rPr>
        <w:t>(that is,</w:t>
      </w:r>
      <w:r>
        <w:rPr>
          <w:rFonts w:ascii="Times New Roman" w:cs="Times New Roman" w:eastAsia="Times New Roman" w:hAnsi="Times New Roman"/>
          <w:sz w:val="20"/>
          <w:szCs w:val="20"/>
          <w:b w:val="1"/>
          <w:bCs w:val="1"/>
          <w:i w:val="1"/>
          <w:iCs w:val="1"/>
          <w:color w:val="auto"/>
        </w:rPr>
        <w:t xml:space="preserve"> rectified).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0"/>
          <w:szCs w:val="20"/>
          <w:b w:val="1"/>
          <w:bCs w:val="1"/>
          <w:i w:val="1"/>
          <w:iCs w:val="1"/>
          <w:color w:val="auto"/>
        </w:rPr>
        <w:t xml:space="preserve"> also have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20"/>
          <w:szCs w:val="20"/>
          <w:b w:val="1"/>
          <w:bCs w:val="1"/>
          <w:i w:val="1"/>
          <w:iCs w:val="1"/>
          <w:color w:val="auto"/>
        </w:rPr>
        <w:t xml:space="preserve"> right to request access </w:t>
      </w:r>
      <w:r>
        <w:rPr>
          <w:rFonts w:ascii="Times New Roman" w:cs="Times New Roman" w:eastAsia="Times New Roman" w:hAnsi="Times New Roman"/>
          <w:sz w:val="21"/>
          <w:szCs w:val="21"/>
          <w:b w:val="1"/>
          <w:bCs w:val="1"/>
          <w:i w:val="1"/>
          <w:iCs w:val="1"/>
          <w:color w:val="auto"/>
        </w:rPr>
        <w:t>to</w:t>
      </w:r>
      <w:r>
        <w:rPr>
          <w:rFonts w:ascii="Times New Roman" w:cs="Times New Roman" w:eastAsia="Times New Roman" w:hAnsi="Times New Roman"/>
          <w:sz w:val="20"/>
          <w:szCs w:val="20"/>
          <w:b w:val="1"/>
          <w:bCs w:val="1"/>
          <w:i w:val="1"/>
          <w:iCs w:val="1"/>
          <w:color w:val="auto"/>
        </w:rPr>
        <w:t xml:space="preserve"> your Data as </w:t>
      </w:r>
      <w:r>
        <w:rPr>
          <w:rFonts w:ascii="Times New Roman" w:cs="Times New Roman" w:eastAsia="Times New Roman" w:hAnsi="Times New Roman"/>
          <w:sz w:val="21"/>
          <w:szCs w:val="21"/>
          <w:b w:val="1"/>
          <w:bCs w:val="1"/>
          <w:i w:val="1"/>
          <w:iCs w:val="1"/>
          <w:color w:val="auto"/>
        </w:rPr>
        <w:t>well as</w:t>
      </w:r>
      <w:r>
        <w:rPr>
          <w:rFonts w:ascii="Times New Roman" w:cs="Times New Roman" w:eastAsia="Times New Roman" w:hAnsi="Times New Roman"/>
          <w:sz w:val="20"/>
          <w:szCs w:val="20"/>
          <w:b w:val="1"/>
          <w:bCs w:val="1"/>
          <w:i w:val="1"/>
          <w:iCs w:val="1"/>
          <w:color w:val="auto"/>
        </w:rPr>
        <w:t xml:space="preserve"> additional information about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20"/>
          <w:szCs w:val="20"/>
          <w:b w:val="1"/>
          <w:bCs w:val="1"/>
          <w:i w:val="1"/>
          <w:iCs w:val="1"/>
          <w:color w:val="auto"/>
        </w:rPr>
        <w:t xml:space="preserve"> processing of that Data. Further, you are </w:t>
      </w:r>
      <w:r>
        <w:rPr>
          <w:rFonts w:ascii="Times New Roman" w:cs="Times New Roman" w:eastAsia="Times New Roman" w:hAnsi="Times New Roman"/>
          <w:sz w:val="21"/>
          <w:szCs w:val="21"/>
          <w:b w:val="1"/>
          <w:bCs w:val="1"/>
          <w:i w:val="1"/>
          <w:iCs w:val="1"/>
          <w:color w:val="auto"/>
        </w:rPr>
        <w:t>entitled to object</w:t>
      </w:r>
      <w:r>
        <w:rPr>
          <w:rFonts w:ascii="Times New Roman" w:cs="Times New Roman" w:eastAsia="Times New Roman" w:hAnsi="Times New Roman"/>
          <w:sz w:val="20"/>
          <w:szCs w:val="20"/>
          <w:b w:val="1"/>
          <w:bCs w:val="1"/>
          <w:i w:val="1"/>
          <w:iCs w:val="1"/>
          <w:color w:val="auto"/>
        </w:rPr>
        <w:t xml:space="preserve"> to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20"/>
          <w:szCs w:val="20"/>
          <w:b w:val="1"/>
          <w:bCs w:val="1"/>
          <w:i w:val="1"/>
          <w:iCs w:val="1"/>
          <w:color w:val="auto"/>
        </w:rPr>
        <w:t xml:space="preserve"> processing </w:t>
      </w:r>
      <w:r>
        <w:rPr>
          <w:rFonts w:ascii="Times New Roman" w:cs="Times New Roman" w:eastAsia="Times New Roman" w:hAnsi="Times New Roman"/>
          <w:sz w:val="21"/>
          <w:szCs w:val="21"/>
          <w:b w:val="1"/>
          <w:bCs w:val="1"/>
          <w:i w:val="1"/>
          <w:iCs w:val="1"/>
          <w:color w:val="auto"/>
        </w:rPr>
        <w:t>of</w:t>
      </w:r>
    </w:p>
    <w:p>
      <w:pPr>
        <w:spacing w:after="0" w:line="218" w:lineRule="auto"/>
        <w:rPr>
          <w:sz w:val="20"/>
          <w:szCs w:val="20"/>
          <w:color w:val="auto"/>
        </w:rPr>
      </w:pPr>
      <w:r>
        <w:rPr>
          <w:rFonts w:ascii="Times New Roman" w:cs="Times New Roman" w:eastAsia="Times New Roman" w:hAnsi="Times New Roman"/>
          <w:sz w:val="22"/>
          <w:szCs w:val="22"/>
          <w:b w:val="1"/>
          <w:bCs w:val="1"/>
          <w:i w:val="1"/>
          <w:iCs w:val="1"/>
          <w:color w:val="auto"/>
        </w:rPr>
        <w:t xml:space="preserve">Data or have </w:t>
      </w:r>
      <w:r>
        <w:rPr>
          <w:rFonts w:ascii="Times New Roman" w:cs="Times New Roman" w:eastAsia="Times New Roman" w:hAnsi="Times New Roman"/>
          <w:sz w:val="19"/>
          <w:szCs w:val="19"/>
          <w:b w:val="1"/>
          <w:bCs w:val="1"/>
          <w:i w:val="1"/>
          <w:iCs w:val="1"/>
          <w:color w:val="auto"/>
        </w:rPr>
        <w:t>your Data erased, under certain circumstances. Further,</w:t>
      </w:r>
      <w:r>
        <w:rPr>
          <w:rFonts w:ascii="Times New Roman" w:cs="Times New Roman" w:eastAsia="Times New Roman" w:hAnsi="Times New Roman"/>
          <w:sz w:val="22"/>
          <w:szCs w:val="22"/>
          <w:b w:val="1"/>
          <w:bCs w:val="1"/>
          <w:i w:val="1"/>
          <w:iCs w:val="1"/>
          <w:color w:val="auto"/>
        </w:rPr>
        <w:t xml:space="preserve"> and </w:t>
      </w:r>
      <w:r>
        <w:rPr>
          <w:rFonts w:ascii="Times New Roman" w:cs="Times New Roman" w:eastAsia="Times New Roman" w:hAnsi="Times New Roman"/>
          <w:sz w:val="19"/>
          <w:szCs w:val="19"/>
          <w:b w:val="1"/>
          <w:bCs w:val="1"/>
          <w:i w:val="1"/>
          <w:iCs w:val="1"/>
          <w:color w:val="auto"/>
        </w:rPr>
        <w:t>subject</w:t>
      </w:r>
      <w:r>
        <w:rPr>
          <w:rFonts w:ascii="Times New Roman" w:cs="Times New Roman" w:eastAsia="Times New Roman" w:hAnsi="Times New Roman"/>
          <w:sz w:val="22"/>
          <w:szCs w:val="22"/>
          <w:b w:val="1"/>
          <w:bCs w:val="1"/>
          <w:i w:val="1"/>
          <w:iCs w:val="1"/>
          <w:color w:val="auto"/>
        </w:rPr>
        <w:t xml:space="preserve"> to </w:t>
      </w:r>
      <w:r>
        <w:rPr>
          <w:rFonts w:ascii="Times New Roman" w:cs="Times New Roman" w:eastAsia="Times New Roman" w:hAnsi="Times New Roman"/>
          <w:sz w:val="19"/>
          <w:szCs w:val="19"/>
          <w:b w:val="1"/>
          <w:bCs w:val="1"/>
          <w:i w:val="1"/>
          <w:iCs w:val="1"/>
          <w:color w:val="auto"/>
        </w:rPr>
        <w:t>applicable</w:t>
      </w:r>
      <w:r>
        <w:rPr>
          <w:rFonts w:ascii="Times New Roman" w:cs="Times New Roman" w:eastAsia="Times New Roman" w:hAnsi="Times New Roman"/>
          <w:sz w:val="22"/>
          <w:szCs w:val="22"/>
          <w:b w:val="1"/>
          <w:bCs w:val="1"/>
          <w:i w:val="1"/>
          <w:iCs w:val="1"/>
          <w:color w:val="auto"/>
        </w:rPr>
        <w:t xml:space="preserve"> law, and under certain</w:t>
      </w:r>
    </w:p>
    <w:p>
      <w:pPr>
        <w:ind w:right="28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circumstances, you </w:t>
      </w:r>
      <w:r>
        <w:rPr>
          <w:rFonts w:ascii="Times New Roman" w:cs="Times New Roman" w:eastAsia="Times New Roman" w:hAnsi="Times New Roman"/>
          <w:sz w:val="21"/>
          <w:szCs w:val="21"/>
          <w:b w:val="1"/>
          <w:bCs w:val="1"/>
          <w:i w:val="1"/>
          <w:iCs w:val="1"/>
          <w:color w:val="auto"/>
        </w:rPr>
        <w:t>may be</w:t>
      </w:r>
      <w:r>
        <w:rPr>
          <w:rFonts w:ascii="Times New Roman" w:cs="Times New Roman" w:eastAsia="Times New Roman" w:hAnsi="Times New Roman"/>
          <w:sz w:val="20"/>
          <w:szCs w:val="20"/>
          <w:b w:val="1"/>
          <w:bCs w:val="1"/>
          <w:i w:val="1"/>
          <w:iCs w:val="1"/>
          <w:color w:val="auto"/>
        </w:rPr>
        <w:t xml:space="preserve"> entitled to the following rights </w:t>
      </w:r>
      <w:r>
        <w:rPr>
          <w:rFonts w:ascii="Times New Roman" w:cs="Times New Roman" w:eastAsia="Times New Roman" w:hAnsi="Times New Roman"/>
          <w:sz w:val="21"/>
          <w:szCs w:val="21"/>
          <w:b w:val="1"/>
          <w:bCs w:val="1"/>
          <w:i w:val="1"/>
          <w:iCs w:val="1"/>
          <w:color w:val="auto"/>
        </w:rPr>
        <w:t>in</w:t>
      </w:r>
      <w:r>
        <w:rPr>
          <w:rFonts w:ascii="Times New Roman" w:cs="Times New Roman" w:eastAsia="Times New Roman" w:hAnsi="Times New Roman"/>
          <w:sz w:val="20"/>
          <w:szCs w:val="20"/>
          <w:b w:val="1"/>
          <w:bCs w:val="1"/>
          <w:i w:val="1"/>
          <w:iCs w:val="1"/>
          <w:color w:val="auto"/>
        </w:rPr>
        <w:t xml:space="preserve"> regard to your Data: (a) </w:t>
      </w:r>
      <w:r>
        <w:rPr>
          <w:rFonts w:ascii="Times New Roman" w:cs="Times New Roman" w:eastAsia="Times New Roman" w:hAnsi="Times New Roman"/>
          <w:sz w:val="21"/>
          <w:szCs w:val="21"/>
          <w:b w:val="1"/>
          <w:bCs w:val="1"/>
          <w:i w:val="1"/>
          <w:iCs w:val="1"/>
          <w:color w:val="auto"/>
        </w:rPr>
        <w:t>to object to</w:t>
      </w:r>
      <w:r>
        <w:rPr>
          <w:rFonts w:ascii="Times New Roman" w:cs="Times New Roman" w:eastAsia="Times New Roman" w:hAnsi="Times New Roman"/>
          <w:sz w:val="20"/>
          <w:szCs w:val="20"/>
          <w:b w:val="1"/>
          <w:bCs w:val="1"/>
          <w:i w:val="1"/>
          <w:iCs w:val="1"/>
          <w:color w:val="auto"/>
        </w:rPr>
        <w:t xml:space="preserve"> the processing </w:t>
      </w:r>
      <w:r>
        <w:rPr>
          <w:rFonts w:ascii="Times New Roman" w:cs="Times New Roman" w:eastAsia="Times New Roman" w:hAnsi="Times New Roman"/>
          <w:sz w:val="21"/>
          <w:szCs w:val="21"/>
          <w:b w:val="1"/>
          <w:bCs w:val="1"/>
          <w:i w:val="1"/>
          <w:iCs w:val="1"/>
          <w:color w:val="auto"/>
        </w:rPr>
        <w:t>of</w:t>
      </w:r>
      <w:r>
        <w:rPr>
          <w:rFonts w:ascii="Times New Roman" w:cs="Times New Roman" w:eastAsia="Times New Roman" w:hAnsi="Times New Roman"/>
          <w:sz w:val="20"/>
          <w:szCs w:val="20"/>
          <w:b w:val="1"/>
          <w:bCs w:val="1"/>
          <w:i w:val="1"/>
          <w:iCs w:val="1"/>
          <w:color w:val="auto"/>
        </w:rPr>
        <w:t xml:space="preserve"> Data; </w:t>
      </w:r>
      <w:r>
        <w:rPr>
          <w:rFonts w:ascii="Times New Roman" w:cs="Times New Roman" w:eastAsia="Times New Roman" w:hAnsi="Times New Roman"/>
          <w:sz w:val="21"/>
          <w:szCs w:val="21"/>
          <w:b w:val="1"/>
          <w:bCs w:val="1"/>
          <w:i w:val="1"/>
          <w:iCs w:val="1"/>
          <w:color w:val="auto"/>
        </w:rPr>
        <w:t>(b) to</w:t>
      </w:r>
      <w:r>
        <w:rPr>
          <w:rFonts w:ascii="Times New Roman" w:cs="Times New Roman" w:eastAsia="Times New Roman" w:hAnsi="Times New Roman"/>
          <w:sz w:val="20"/>
          <w:szCs w:val="20"/>
          <w:b w:val="1"/>
          <w:bCs w:val="1"/>
          <w:i w:val="1"/>
          <w:iCs w:val="1"/>
          <w:color w:val="auto"/>
        </w:rPr>
        <w:t xml:space="preserve"> have </w:t>
      </w:r>
      <w:r>
        <w:rPr>
          <w:rFonts w:ascii="Times New Roman" w:cs="Times New Roman" w:eastAsia="Times New Roman" w:hAnsi="Times New Roman"/>
          <w:sz w:val="21"/>
          <w:szCs w:val="21"/>
          <w:b w:val="1"/>
          <w:bCs w:val="1"/>
          <w:i w:val="1"/>
          <w:iCs w:val="1"/>
          <w:color w:val="auto"/>
        </w:rPr>
        <w:t xml:space="preserve">your Data erased, such </w:t>
      </w:r>
      <w:r>
        <w:rPr>
          <w:rFonts w:ascii="Times New Roman" w:cs="Times New Roman" w:eastAsia="Times New Roman" w:hAnsi="Times New Roman"/>
          <w:sz w:val="19"/>
          <w:szCs w:val="19"/>
          <w:b w:val="1"/>
          <w:bCs w:val="1"/>
          <w:i w:val="1"/>
          <w:iCs w:val="1"/>
          <w:color w:val="auto"/>
        </w:rPr>
        <w:t>as where it is</w:t>
      </w:r>
      <w:r>
        <w:rPr>
          <w:rFonts w:ascii="Times New Roman" w:cs="Times New Roman" w:eastAsia="Times New Roman" w:hAnsi="Times New Roman"/>
          <w:sz w:val="21"/>
          <w:szCs w:val="21"/>
          <w:b w:val="1"/>
          <w:bCs w:val="1"/>
          <w:i w:val="1"/>
          <w:iCs w:val="1"/>
          <w:color w:val="auto"/>
        </w:rPr>
        <w:t xml:space="preserve"> no </w:t>
      </w:r>
      <w:r>
        <w:rPr>
          <w:rFonts w:ascii="Times New Roman" w:cs="Times New Roman" w:eastAsia="Times New Roman" w:hAnsi="Times New Roman"/>
          <w:sz w:val="19"/>
          <w:szCs w:val="19"/>
          <w:b w:val="1"/>
          <w:bCs w:val="1"/>
          <w:i w:val="1"/>
          <w:iCs w:val="1"/>
          <w:color w:val="auto"/>
        </w:rPr>
        <w:t>longer necessary in relation</w:t>
      </w:r>
      <w:r>
        <w:rPr>
          <w:rFonts w:ascii="Times New Roman" w:cs="Times New Roman" w:eastAsia="Times New Roman" w:hAnsi="Times New Roman"/>
          <w:sz w:val="21"/>
          <w:szCs w:val="21"/>
          <w:b w:val="1"/>
          <w:bCs w:val="1"/>
          <w:i w:val="1"/>
          <w:iCs w:val="1"/>
          <w:color w:val="auto"/>
        </w:rPr>
        <w:t xml:space="preserve"> to the </w:t>
      </w:r>
      <w:r>
        <w:rPr>
          <w:rFonts w:ascii="Times New Roman" w:cs="Times New Roman" w:eastAsia="Times New Roman" w:hAnsi="Times New Roman"/>
          <w:sz w:val="19"/>
          <w:szCs w:val="19"/>
          <w:b w:val="1"/>
          <w:bCs w:val="1"/>
          <w:i w:val="1"/>
          <w:iCs w:val="1"/>
          <w:color w:val="auto"/>
        </w:rPr>
        <w:t>purposes for</w:t>
      </w:r>
      <w:r>
        <w:rPr>
          <w:rFonts w:ascii="Times New Roman" w:cs="Times New Roman" w:eastAsia="Times New Roman" w:hAnsi="Times New Roman"/>
          <w:sz w:val="21"/>
          <w:szCs w:val="21"/>
          <w:b w:val="1"/>
          <w:bCs w:val="1"/>
          <w:i w:val="1"/>
          <w:iCs w:val="1"/>
          <w:color w:val="auto"/>
        </w:rPr>
        <w:t xml:space="preserve"> which it was </w:t>
      </w:r>
      <w:r>
        <w:rPr>
          <w:rFonts w:ascii="Times New Roman" w:cs="Times New Roman" w:eastAsia="Times New Roman" w:hAnsi="Times New Roman"/>
          <w:sz w:val="19"/>
          <w:szCs w:val="19"/>
          <w:b w:val="1"/>
          <w:bCs w:val="1"/>
          <w:i w:val="1"/>
          <w:iCs w:val="1"/>
          <w:color w:val="auto"/>
        </w:rPr>
        <w:t>processed; (c) to restrict the</w:t>
      </w:r>
    </w:p>
    <w:p>
      <w:pPr>
        <w:spacing w:after="0" w:line="1" w:lineRule="exact"/>
        <w:rPr>
          <w:sz w:val="20"/>
          <w:szCs w:val="20"/>
          <w:color w:val="auto"/>
        </w:rPr>
      </w:pPr>
    </w:p>
    <w:p>
      <w:pPr>
        <w:ind w:right="320"/>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 xml:space="preserve">processing </w:t>
      </w:r>
      <w:r>
        <w:rPr>
          <w:rFonts w:ascii="Times New Roman" w:cs="Times New Roman" w:eastAsia="Times New Roman" w:hAnsi="Times New Roman"/>
          <w:sz w:val="21"/>
          <w:szCs w:val="21"/>
          <w:b w:val="1"/>
          <w:bCs w:val="1"/>
          <w:i w:val="1"/>
          <w:iCs w:val="1"/>
          <w:color w:val="auto"/>
        </w:rPr>
        <w:t>of</w:t>
      </w:r>
      <w:r>
        <w:rPr>
          <w:rFonts w:ascii="Times New Roman" w:cs="Times New Roman" w:eastAsia="Times New Roman" w:hAnsi="Times New Roman"/>
          <w:sz w:val="20"/>
          <w:szCs w:val="20"/>
          <w:b w:val="1"/>
          <w:bCs w:val="1"/>
          <w:i w:val="1"/>
          <w:iCs w:val="1"/>
          <w:color w:val="auto"/>
        </w:rPr>
        <w:t xml:space="preserve"> your Data so </w:t>
      </w:r>
      <w:r>
        <w:rPr>
          <w:rFonts w:ascii="Times New Roman" w:cs="Times New Roman" w:eastAsia="Times New Roman" w:hAnsi="Times New Roman"/>
          <w:sz w:val="21"/>
          <w:szCs w:val="21"/>
          <w:b w:val="1"/>
          <w:bCs w:val="1"/>
          <w:i w:val="1"/>
          <w:iCs w:val="1"/>
          <w:color w:val="auto"/>
        </w:rPr>
        <w:t>that it is</w:t>
      </w:r>
      <w:r>
        <w:rPr>
          <w:rFonts w:ascii="Times New Roman" w:cs="Times New Roman" w:eastAsia="Times New Roman" w:hAnsi="Times New Roman"/>
          <w:sz w:val="20"/>
          <w:szCs w:val="20"/>
          <w:b w:val="1"/>
          <w:bCs w:val="1"/>
          <w:i w:val="1"/>
          <w:iCs w:val="1"/>
          <w:color w:val="auto"/>
        </w:rPr>
        <w:t xml:space="preserve"> stored </w:t>
      </w:r>
      <w:r>
        <w:rPr>
          <w:rFonts w:ascii="Times New Roman" w:cs="Times New Roman" w:eastAsia="Times New Roman" w:hAnsi="Times New Roman"/>
          <w:sz w:val="21"/>
          <w:szCs w:val="21"/>
          <w:b w:val="1"/>
          <w:bCs w:val="1"/>
          <w:i w:val="1"/>
          <w:iCs w:val="1"/>
          <w:color w:val="auto"/>
        </w:rPr>
        <w:t>but not actively</w:t>
      </w:r>
      <w:r>
        <w:rPr>
          <w:rFonts w:ascii="Times New Roman" w:cs="Times New Roman" w:eastAsia="Times New Roman" w:hAnsi="Times New Roman"/>
          <w:sz w:val="20"/>
          <w:szCs w:val="20"/>
          <w:b w:val="1"/>
          <w:bCs w:val="1"/>
          <w:i w:val="1"/>
          <w:iCs w:val="1"/>
          <w:color w:val="auto"/>
        </w:rPr>
        <w:t xml:space="preserve"> processed (e.g., while </w:t>
      </w:r>
      <w:r>
        <w:rPr>
          <w:rFonts w:ascii="Times New Roman" w:cs="Times New Roman" w:eastAsia="Times New Roman" w:hAnsi="Times New Roman"/>
          <w:sz w:val="21"/>
          <w:szCs w:val="21"/>
          <w:b w:val="1"/>
          <w:bCs w:val="1"/>
          <w:i w:val="1"/>
          <w:iCs w:val="1"/>
          <w:color w:val="auto"/>
        </w:rPr>
        <w:t>the</w:t>
      </w:r>
      <w:r>
        <w:rPr>
          <w:rFonts w:ascii="Times New Roman" w:cs="Times New Roman" w:eastAsia="Times New Roman" w:hAnsi="Times New Roman"/>
          <w:sz w:val="20"/>
          <w:szCs w:val="20"/>
          <w:b w:val="1"/>
          <w:bCs w:val="1"/>
          <w:i w:val="1"/>
          <w:iCs w:val="1"/>
          <w:color w:val="auto"/>
        </w:rPr>
        <w:t xml:space="preserve"> Company assesses </w:t>
      </w:r>
      <w:r>
        <w:rPr>
          <w:rFonts w:ascii="Times New Roman" w:cs="Times New Roman" w:eastAsia="Times New Roman" w:hAnsi="Times New Roman"/>
          <w:sz w:val="21"/>
          <w:szCs w:val="21"/>
          <w:b w:val="1"/>
          <w:bCs w:val="1"/>
          <w:i w:val="1"/>
          <w:iCs w:val="1"/>
          <w:color w:val="auto"/>
        </w:rPr>
        <w:t>whether</w:t>
      </w:r>
      <w:r>
        <w:rPr>
          <w:rFonts w:ascii="Times New Roman" w:cs="Times New Roman" w:eastAsia="Times New Roman" w:hAnsi="Times New Roman"/>
          <w:sz w:val="20"/>
          <w:szCs w:val="20"/>
          <w:b w:val="1"/>
          <w:bCs w:val="1"/>
          <w:i w:val="1"/>
          <w:iCs w:val="1"/>
          <w:color w:val="auto"/>
        </w:rPr>
        <w:t xml:space="preserve"> you are entitled </w:t>
      </w:r>
      <w:r>
        <w:rPr>
          <w:rFonts w:ascii="Times New Roman" w:cs="Times New Roman" w:eastAsia="Times New Roman" w:hAnsi="Times New Roman"/>
          <w:sz w:val="21"/>
          <w:szCs w:val="21"/>
          <w:b w:val="1"/>
          <w:bCs w:val="1"/>
          <w:i w:val="1"/>
          <w:iCs w:val="1"/>
          <w:color w:val="auto"/>
        </w:rPr>
        <w:t>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1"/>
          <w:szCs w:val="21"/>
          <w:b w:val="1"/>
          <w:bCs w:val="1"/>
          <w:i w:val="1"/>
          <w:iCs w:val="1"/>
          <w:color w:val="auto"/>
        </w:rPr>
        <w:t xml:space="preserve">have Data </w:t>
      </w:r>
      <w:r>
        <w:rPr>
          <w:rFonts w:ascii="Times New Roman" w:cs="Times New Roman" w:eastAsia="Times New Roman" w:hAnsi="Times New Roman"/>
          <w:sz w:val="19"/>
          <w:szCs w:val="19"/>
          <w:b w:val="1"/>
          <w:bCs w:val="1"/>
          <w:i w:val="1"/>
          <w:iCs w:val="1"/>
          <w:color w:val="auto"/>
        </w:rPr>
        <w:t>erased); and (d) to</w:t>
      </w:r>
      <w:r>
        <w:rPr>
          <w:rFonts w:ascii="Times New Roman" w:cs="Times New Roman" w:eastAsia="Times New Roman" w:hAnsi="Times New Roman"/>
          <w:sz w:val="21"/>
          <w:szCs w:val="21"/>
          <w:b w:val="1"/>
          <w:bCs w:val="1"/>
          <w:i w:val="1"/>
          <w:iCs w:val="1"/>
          <w:color w:val="auto"/>
        </w:rPr>
        <w:t xml:space="preserve"> port </w:t>
      </w:r>
      <w:r>
        <w:rPr>
          <w:rFonts w:ascii="Times New Roman" w:cs="Times New Roman" w:eastAsia="Times New Roman" w:hAnsi="Times New Roman"/>
          <w:sz w:val="19"/>
          <w:szCs w:val="19"/>
          <w:b w:val="1"/>
          <w:bCs w:val="1"/>
          <w:i w:val="1"/>
          <w:iCs w:val="1"/>
          <w:color w:val="auto"/>
        </w:rPr>
        <w:t>a</w:t>
      </w:r>
      <w:r>
        <w:rPr>
          <w:rFonts w:ascii="Times New Roman" w:cs="Times New Roman" w:eastAsia="Times New Roman" w:hAnsi="Times New Roman"/>
          <w:sz w:val="21"/>
          <w:szCs w:val="21"/>
          <w:b w:val="1"/>
          <w:bCs w:val="1"/>
          <w:i w:val="1"/>
          <w:iCs w:val="1"/>
          <w:color w:val="auto"/>
        </w:rPr>
        <w:t xml:space="preserve"> copy of </w:t>
      </w:r>
      <w:r>
        <w:rPr>
          <w:rFonts w:ascii="Times New Roman" w:cs="Times New Roman" w:eastAsia="Times New Roman" w:hAnsi="Times New Roman"/>
          <w:sz w:val="19"/>
          <w:szCs w:val="19"/>
          <w:b w:val="1"/>
          <w:bCs w:val="1"/>
          <w:i w:val="1"/>
          <w:iCs w:val="1"/>
          <w:color w:val="auto"/>
        </w:rPr>
        <w:t>the Data provided pursuant</w:t>
      </w:r>
      <w:r>
        <w:rPr>
          <w:rFonts w:ascii="Times New Roman" w:cs="Times New Roman" w:eastAsia="Times New Roman" w:hAnsi="Times New Roman"/>
          <w:sz w:val="21"/>
          <w:szCs w:val="21"/>
          <w:b w:val="1"/>
          <w:bCs w:val="1"/>
          <w:i w:val="1"/>
          <w:iCs w:val="1"/>
          <w:color w:val="auto"/>
        </w:rPr>
        <w:t xml:space="preserve"> to the Agreement or </w:t>
      </w:r>
      <w:r>
        <w:rPr>
          <w:rFonts w:ascii="Times New Roman" w:cs="Times New Roman" w:eastAsia="Times New Roman" w:hAnsi="Times New Roman"/>
          <w:sz w:val="19"/>
          <w:szCs w:val="19"/>
          <w:b w:val="1"/>
          <w:bCs w:val="1"/>
          <w:i w:val="1"/>
          <w:iCs w:val="1"/>
          <w:color w:val="auto"/>
        </w:rPr>
        <w:t>generated by you,</w:t>
      </w:r>
      <w:r>
        <w:rPr>
          <w:rFonts w:ascii="Times New Roman" w:cs="Times New Roman" w:eastAsia="Times New Roman" w:hAnsi="Times New Roman"/>
          <w:sz w:val="21"/>
          <w:szCs w:val="21"/>
          <w:b w:val="1"/>
          <w:bCs w:val="1"/>
          <w:i w:val="1"/>
          <w:iCs w:val="1"/>
          <w:color w:val="auto"/>
        </w:rPr>
        <w:t xml:space="preserve"> in </w:t>
      </w:r>
      <w:r>
        <w:rPr>
          <w:rFonts w:ascii="Times New Roman" w:cs="Times New Roman" w:eastAsia="Times New Roman" w:hAnsi="Times New Roman"/>
          <w:sz w:val="19"/>
          <w:szCs w:val="19"/>
          <w:b w:val="1"/>
          <w:bCs w:val="1"/>
          <w:i w:val="1"/>
          <w:iCs w:val="1"/>
          <w:color w:val="auto"/>
        </w:rPr>
        <w:t>a common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machine-readable </w:t>
      </w:r>
      <w:r>
        <w:rPr>
          <w:rFonts w:ascii="Times New Roman" w:cs="Times New Roman" w:eastAsia="Times New Roman" w:hAnsi="Times New Roman"/>
          <w:sz w:val="19"/>
          <w:szCs w:val="19"/>
          <w:b w:val="1"/>
          <w:bCs w:val="1"/>
          <w:i w:val="1"/>
          <w:iCs w:val="1"/>
          <w:color w:val="auto"/>
        </w:rPr>
        <w:t>format.</w:t>
      </w:r>
      <w:r>
        <w:rPr>
          <w:rFonts w:ascii="Times New Roman" w:cs="Times New Roman" w:eastAsia="Times New Roman" w:hAnsi="Times New Roman"/>
          <w:sz w:val="22"/>
          <w:szCs w:val="22"/>
          <w:b w:val="1"/>
          <w:bCs w:val="1"/>
          <w:i w:val="1"/>
          <w:iCs w:val="1"/>
          <w:color w:val="auto"/>
        </w:rPr>
        <w:t xml:space="preserve"> To</w:t>
      </w:r>
    </w:p>
    <w:p>
      <w:pPr>
        <w:sectPr>
          <w:pgSz w:w="11900" w:h="16838" w:orient="portrait"/>
          <w:cols w:equalWidth="0" w:num="1">
            <w:col w:w="11240"/>
          </w:cols>
          <w:pgMar w:left="320" w:top="11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2"/>
          <w:szCs w:val="22"/>
          <w:b w:val="1"/>
          <w:bCs w:val="1"/>
          <w:i w:val="1"/>
          <w:iCs w:val="1"/>
          <w:color w:val="auto"/>
        </w:rPr>
        <w:t xml:space="preserve">exercise </w:t>
      </w:r>
      <w:r>
        <w:rPr>
          <w:rFonts w:ascii="Times New Roman" w:cs="Times New Roman" w:eastAsia="Times New Roman" w:hAnsi="Times New Roman"/>
          <w:sz w:val="19"/>
          <w:szCs w:val="19"/>
          <w:b w:val="1"/>
          <w:bCs w:val="1"/>
          <w:i w:val="1"/>
          <w:iCs w:val="1"/>
          <w:color w:val="auto"/>
        </w:rPr>
        <w:t>your rights,</w:t>
      </w:r>
      <w:r>
        <w:rPr>
          <w:rFonts w:ascii="Times New Roman" w:cs="Times New Roman" w:eastAsia="Times New Roman" w:hAnsi="Times New Roman"/>
          <w:sz w:val="22"/>
          <w:szCs w:val="22"/>
          <w:b w:val="1"/>
          <w:bCs w:val="1"/>
          <w:i w:val="1"/>
          <w:iCs w:val="1"/>
          <w:color w:val="auto"/>
        </w:rPr>
        <w:t xml:space="preserve"> you may </w:t>
      </w:r>
      <w:r>
        <w:rPr>
          <w:rFonts w:ascii="Times New Roman" w:cs="Times New Roman" w:eastAsia="Times New Roman" w:hAnsi="Times New Roman"/>
          <w:sz w:val="19"/>
          <w:szCs w:val="19"/>
          <w:b w:val="1"/>
          <w:bCs w:val="1"/>
          <w:i w:val="1"/>
          <w:iCs w:val="1"/>
          <w:color w:val="auto"/>
        </w:rPr>
        <w:t>contact your</w:t>
      </w:r>
      <w:r>
        <w:rPr>
          <w:rFonts w:ascii="Times New Roman" w:cs="Times New Roman" w:eastAsia="Times New Roman" w:hAnsi="Times New Roman"/>
          <w:sz w:val="22"/>
          <w:szCs w:val="22"/>
          <w:b w:val="1"/>
          <w:bCs w:val="1"/>
          <w:i w:val="1"/>
          <w:iCs w:val="1"/>
          <w:color w:val="auto"/>
        </w:rPr>
        <w:t xml:space="preserve"> local human </w:t>
      </w:r>
      <w:r>
        <w:rPr>
          <w:rFonts w:ascii="Times New Roman" w:cs="Times New Roman" w:eastAsia="Times New Roman" w:hAnsi="Times New Roman"/>
          <w:sz w:val="19"/>
          <w:szCs w:val="19"/>
          <w:b w:val="1"/>
          <w:bCs w:val="1"/>
          <w:i w:val="1"/>
          <w:iCs w:val="1"/>
          <w:color w:val="auto"/>
        </w:rPr>
        <w:t>resources representative.</w:t>
      </w:r>
      <w:r>
        <w:rPr>
          <w:rFonts w:ascii="Times New Roman" w:cs="Times New Roman" w:eastAsia="Times New Roman" w:hAnsi="Times New Roman"/>
          <w:sz w:val="22"/>
          <w:szCs w:val="22"/>
          <w:b w:val="1"/>
          <w:bCs w:val="1"/>
          <w:i w:val="1"/>
          <w:iCs w:val="1"/>
          <w:color w:val="auto"/>
        </w:rPr>
        <w:t xml:space="preserve"> You may </w:t>
      </w:r>
      <w:r>
        <w:rPr>
          <w:rFonts w:ascii="Times New Roman" w:cs="Times New Roman" w:eastAsia="Times New Roman" w:hAnsi="Times New Roman"/>
          <w:sz w:val="19"/>
          <w:szCs w:val="19"/>
          <w:b w:val="1"/>
          <w:bCs w:val="1"/>
          <w:i w:val="1"/>
          <w:iCs w:val="1"/>
          <w:color w:val="auto"/>
        </w:rPr>
        <w:t>also contact the relevant</w:t>
      </w:r>
      <w:r>
        <w:rPr>
          <w:rFonts w:ascii="Times New Roman" w:cs="Times New Roman" w:eastAsia="Times New Roman" w:hAnsi="Times New Roman"/>
          <w:sz w:val="22"/>
          <w:szCs w:val="22"/>
          <w:b w:val="1"/>
          <w:bCs w:val="1"/>
          <w:i w:val="1"/>
          <w:iCs w:val="1"/>
          <w:color w:val="auto"/>
        </w:rPr>
        <w:t xml:space="preserve"> data </w:t>
      </w:r>
      <w:r>
        <w:rPr>
          <w:rFonts w:ascii="Times New Roman" w:cs="Times New Roman" w:eastAsia="Times New Roman" w:hAnsi="Times New Roman"/>
          <w:sz w:val="19"/>
          <w:szCs w:val="19"/>
          <w:b w:val="1"/>
          <w:bCs w:val="1"/>
          <w:i w:val="1"/>
          <w:iCs w:val="1"/>
          <w:color w:val="auto"/>
        </w:rPr>
        <w:t>protection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19"/>
          <w:szCs w:val="19"/>
          <w:b w:val="1"/>
          <w:bCs w:val="1"/>
          <w:i w:val="1"/>
          <w:iCs w:val="1"/>
          <w:color w:val="auto"/>
        </w:rPr>
        <w:t xml:space="preserve">supervisory authority, </w:t>
      </w:r>
      <w:r>
        <w:rPr>
          <w:rFonts w:ascii="Times New Roman" w:cs="Times New Roman" w:eastAsia="Times New Roman" w:hAnsi="Times New Roman"/>
          <w:sz w:val="21"/>
          <w:szCs w:val="21"/>
          <w:b w:val="1"/>
          <w:bCs w:val="1"/>
          <w:i w:val="1"/>
          <w:iCs w:val="1"/>
          <w:color w:val="auto"/>
        </w:rPr>
        <w:t>as you have the</w:t>
      </w:r>
      <w:r>
        <w:rPr>
          <w:rFonts w:ascii="Times New Roman" w:cs="Times New Roman" w:eastAsia="Times New Roman" w:hAnsi="Times New Roman"/>
          <w:sz w:val="19"/>
          <w:szCs w:val="19"/>
          <w:b w:val="1"/>
          <w:bCs w:val="1"/>
          <w:i w:val="1"/>
          <w:iCs w:val="1"/>
          <w:color w:val="auto"/>
        </w:rPr>
        <w:t xml:space="preserve"> right </w:t>
      </w:r>
      <w:r>
        <w:rPr>
          <w:rFonts w:ascii="Times New Roman" w:cs="Times New Roman" w:eastAsia="Times New Roman" w:hAnsi="Times New Roman"/>
          <w:sz w:val="21"/>
          <w:szCs w:val="21"/>
          <w:b w:val="1"/>
          <w:bCs w:val="1"/>
          <w:i w:val="1"/>
          <w:iCs w:val="1"/>
          <w:color w:val="auto"/>
        </w:rPr>
        <w:t>to</w:t>
      </w:r>
      <w:r>
        <w:rPr>
          <w:rFonts w:ascii="Times New Roman" w:cs="Times New Roman" w:eastAsia="Times New Roman" w:hAnsi="Times New Roman"/>
          <w:sz w:val="19"/>
          <w:szCs w:val="19"/>
          <w:b w:val="1"/>
          <w:bCs w:val="1"/>
          <w:i w:val="1"/>
          <w:iCs w:val="1"/>
          <w:color w:val="auto"/>
        </w:rPr>
        <w:t xml:space="preserve"> lodge </w:t>
      </w:r>
      <w:r>
        <w:rPr>
          <w:rFonts w:ascii="Times New Roman" w:cs="Times New Roman" w:eastAsia="Times New Roman" w:hAnsi="Times New Roman"/>
          <w:sz w:val="21"/>
          <w:szCs w:val="21"/>
          <w:b w:val="1"/>
          <w:bCs w:val="1"/>
          <w:i w:val="1"/>
          <w:iCs w:val="1"/>
          <w:color w:val="auto"/>
        </w:rPr>
        <w:t>a</w:t>
      </w:r>
      <w:r>
        <w:rPr>
          <w:rFonts w:ascii="Times New Roman" w:cs="Times New Roman" w:eastAsia="Times New Roman" w:hAnsi="Times New Roman"/>
          <w:sz w:val="19"/>
          <w:szCs w:val="19"/>
          <w:b w:val="1"/>
          <w:bCs w:val="1"/>
          <w:i w:val="1"/>
          <w:iCs w:val="1"/>
          <w:color w:val="auto"/>
        </w:rPr>
        <w:t xml:space="preserve"> complaint.</w:t>
      </w:r>
    </w:p>
    <w:p>
      <w:pPr>
        <w:spacing w:after="0" w:line="170" w:lineRule="exact"/>
        <w:rPr>
          <w:sz w:val="20"/>
          <w:szCs w:val="20"/>
          <w:color w:val="auto"/>
        </w:rPr>
      </w:pPr>
    </w:p>
    <w:p>
      <w:pPr>
        <w:ind w:left="300" w:hanging="292"/>
        <w:spacing w:after="0"/>
        <w:tabs>
          <w:tab w:leader="none" w:pos="3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Country-Specific Terms and Conditions and Notice</w:t>
      </w:r>
    </w:p>
    <w:p>
      <w:pPr>
        <w:spacing w:after="0" w:line="21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0"/>
          <w:szCs w:val="20"/>
          <w:color w:val="auto"/>
        </w:rPr>
        <w:t xml:space="preserve">Notwithstanding any other provision of this </w:t>
      </w:r>
      <w:r>
        <w:rPr>
          <w:rFonts w:ascii="Times New Roman" w:cs="Times New Roman" w:eastAsia="Times New Roman" w:hAnsi="Times New Roman"/>
          <w:sz w:val="21"/>
          <w:szCs w:val="21"/>
          <w:color w:val="auto"/>
        </w:rPr>
        <w:t>Agreement</w:t>
      </w:r>
      <w:r>
        <w:rPr>
          <w:rFonts w:ascii="Times New Roman" w:cs="Times New Roman" w:eastAsia="Times New Roman" w:hAnsi="Times New Roman"/>
          <w:sz w:val="20"/>
          <w:szCs w:val="20"/>
          <w:color w:val="auto"/>
        </w:rPr>
        <w:t xml:space="preserve"> to </w:t>
      </w:r>
      <w:r>
        <w:rPr>
          <w:rFonts w:ascii="Times New Roman" w:cs="Times New Roman" w:eastAsia="Times New Roman" w:hAnsi="Times New Roman"/>
          <w:sz w:val="21"/>
          <w:szCs w:val="21"/>
          <w:color w:val="auto"/>
        </w:rPr>
        <w:t>the contrary,</w:t>
      </w:r>
      <w:r>
        <w:rPr>
          <w:rFonts w:ascii="Times New Roman" w:cs="Times New Roman" w:eastAsia="Times New Roman" w:hAnsi="Times New Roman"/>
          <w:sz w:val="20"/>
          <w:szCs w:val="20"/>
          <w:color w:val="auto"/>
        </w:rPr>
        <w:t xml:space="preserve"> the PSUs shall </w:t>
      </w:r>
      <w:r>
        <w:rPr>
          <w:rFonts w:ascii="Times New Roman" w:cs="Times New Roman" w:eastAsia="Times New Roman" w:hAnsi="Times New Roman"/>
          <w:sz w:val="21"/>
          <w:szCs w:val="21"/>
          <w:color w:val="auto"/>
        </w:rPr>
        <w:t>be</w:t>
      </w:r>
      <w:r>
        <w:rPr>
          <w:rFonts w:ascii="Times New Roman" w:cs="Times New Roman" w:eastAsia="Times New Roman" w:hAnsi="Times New Roman"/>
          <w:sz w:val="20"/>
          <w:szCs w:val="20"/>
          <w:color w:val="auto"/>
        </w:rPr>
        <w:t xml:space="preserve"> subject to the </w:t>
      </w:r>
      <w:r>
        <w:rPr>
          <w:rFonts w:ascii="Times New Roman" w:cs="Times New Roman" w:eastAsia="Times New Roman" w:hAnsi="Times New Roman"/>
          <w:sz w:val="21"/>
          <w:szCs w:val="21"/>
          <w:color w:val="auto"/>
        </w:rPr>
        <w:t>specific terms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color w:val="auto"/>
        </w:rPr>
        <w:t>conditions,</w:t>
      </w:r>
      <w:r>
        <w:rPr>
          <w:rFonts w:ascii="Times New Roman" w:cs="Times New Roman" w:eastAsia="Times New Roman" w:hAnsi="Times New Roman"/>
          <w:sz w:val="20"/>
          <w:szCs w:val="20"/>
          <w:color w:val="auto"/>
        </w:rPr>
        <w:t xml:space="preserve"> if </w:t>
      </w:r>
      <w:r>
        <w:rPr>
          <w:rFonts w:ascii="Times New Roman" w:cs="Times New Roman" w:eastAsia="Times New Roman" w:hAnsi="Times New Roman"/>
          <w:sz w:val="21"/>
          <w:szCs w:val="21"/>
          <w:color w:val="auto"/>
        </w:rPr>
        <w:t xml:space="preserve">any, </w:t>
      </w:r>
      <w:r>
        <w:rPr>
          <w:rFonts w:ascii="Times New Roman" w:cs="Times New Roman" w:eastAsia="Times New Roman" w:hAnsi="Times New Roman"/>
          <w:sz w:val="19"/>
          <w:szCs w:val="19"/>
          <w:color w:val="auto"/>
        </w:rPr>
        <w:t>set forth</w:t>
      </w:r>
      <w:r>
        <w:rPr>
          <w:rFonts w:ascii="Times New Roman" w:cs="Times New Roman" w:eastAsia="Times New Roman" w:hAnsi="Times New Roman"/>
          <w:sz w:val="21"/>
          <w:szCs w:val="21"/>
          <w:color w:val="auto"/>
        </w:rPr>
        <w:t xml:space="preserve"> in the Appendix to </w:t>
      </w:r>
      <w:r>
        <w:rPr>
          <w:rFonts w:ascii="Times New Roman" w:cs="Times New Roman" w:eastAsia="Times New Roman" w:hAnsi="Times New Roman"/>
          <w:sz w:val="19"/>
          <w:szCs w:val="19"/>
          <w:color w:val="auto"/>
        </w:rPr>
        <w:t>this</w:t>
      </w:r>
      <w:r>
        <w:rPr>
          <w:rFonts w:ascii="Times New Roman" w:cs="Times New Roman" w:eastAsia="Times New Roman" w:hAnsi="Times New Roman"/>
          <w:sz w:val="21"/>
          <w:szCs w:val="21"/>
          <w:color w:val="auto"/>
        </w:rPr>
        <w:t xml:space="preserve"> Agreement which </w:t>
      </w:r>
      <w:r>
        <w:rPr>
          <w:rFonts w:ascii="Times New Roman" w:cs="Times New Roman" w:eastAsia="Times New Roman" w:hAnsi="Times New Roman"/>
          <w:sz w:val="19"/>
          <w:szCs w:val="19"/>
          <w:color w:val="auto"/>
        </w:rPr>
        <w:t>are applicable</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your country</w:t>
      </w:r>
      <w:r>
        <w:rPr>
          <w:rFonts w:ascii="Times New Roman" w:cs="Times New Roman" w:eastAsia="Times New Roman" w:hAnsi="Times New Roman"/>
          <w:sz w:val="21"/>
          <w:szCs w:val="21"/>
          <w:color w:val="auto"/>
        </w:rPr>
        <w:t xml:space="preserve"> of residence, </w:t>
      </w:r>
      <w:r>
        <w:rPr>
          <w:rFonts w:ascii="Times New Roman" w:cs="Times New Roman" w:eastAsia="Times New Roman" w:hAnsi="Times New Roman"/>
          <w:sz w:val="19"/>
          <w:szCs w:val="19"/>
          <w:color w:val="auto"/>
        </w:rPr>
        <w:t>the provisions of which</w:t>
      </w:r>
      <w:r>
        <w:rPr>
          <w:rFonts w:ascii="Times New Roman" w:cs="Times New Roman" w:eastAsia="Times New Roman" w:hAnsi="Times New Roman"/>
          <w:sz w:val="21"/>
          <w:szCs w:val="21"/>
          <w:color w:val="auto"/>
        </w:rPr>
        <w:t xml:space="preserve"> are </w:t>
      </w:r>
      <w:r>
        <w:rPr>
          <w:rFonts w:ascii="Times New Roman" w:cs="Times New Roman" w:eastAsia="Times New Roman" w:hAnsi="Times New Roman"/>
          <w:sz w:val="19"/>
          <w:szCs w:val="19"/>
          <w:color w:val="auto"/>
        </w:rPr>
        <w:t xml:space="preserve">incorporated </w:t>
      </w:r>
      <w:r>
        <w:rPr>
          <w:rFonts w:ascii="Times New Roman" w:cs="Times New Roman" w:eastAsia="Times New Roman" w:hAnsi="Times New Roman"/>
          <w:sz w:val="21"/>
          <w:szCs w:val="21"/>
          <w:color w:val="auto"/>
        </w:rPr>
        <w:t>in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1"/>
          <w:szCs w:val="21"/>
          <w:color w:val="auto"/>
        </w:rPr>
        <w:t>constitute</w:t>
      </w:r>
      <w:r>
        <w:rPr>
          <w:rFonts w:ascii="Times New Roman" w:cs="Times New Roman" w:eastAsia="Times New Roman" w:hAnsi="Times New Roman"/>
          <w:sz w:val="19"/>
          <w:szCs w:val="19"/>
          <w:color w:val="auto"/>
        </w:rPr>
        <w:t xml:space="preserve"> part </w:t>
      </w:r>
      <w:r>
        <w:rPr>
          <w:rFonts w:ascii="Times New Roman" w:cs="Times New Roman" w:eastAsia="Times New Roman" w:hAnsi="Times New Roman"/>
          <w:sz w:val="21"/>
          <w:szCs w:val="21"/>
          <w:color w:val="auto"/>
        </w:rPr>
        <w:t>of this Agreement. Moreover,</w:t>
      </w:r>
      <w:r>
        <w:rPr>
          <w:rFonts w:ascii="Times New Roman" w:cs="Times New Roman" w:eastAsia="Times New Roman" w:hAnsi="Times New Roman"/>
          <w:sz w:val="19"/>
          <w:szCs w:val="19"/>
          <w:color w:val="auto"/>
        </w:rPr>
        <w:t xml:space="preserve"> if </w:t>
      </w:r>
      <w:r>
        <w:rPr>
          <w:rFonts w:ascii="Times New Roman" w:cs="Times New Roman" w:eastAsia="Times New Roman" w:hAnsi="Times New Roman"/>
          <w:sz w:val="21"/>
          <w:szCs w:val="21"/>
          <w:color w:val="auto"/>
        </w:rPr>
        <w:t>you relocate to</w:t>
      </w:r>
      <w:r>
        <w:rPr>
          <w:rFonts w:ascii="Times New Roman" w:cs="Times New Roman" w:eastAsia="Times New Roman" w:hAnsi="Times New Roman"/>
          <w:sz w:val="19"/>
          <w:szCs w:val="19"/>
          <w:color w:val="auto"/>
        </w:rPr>
        <w:t xml:space="preserve"> one </w:t>
      </w:r>
      <w:r>
        <w:rPr>
          <w:rFonts w:ascii="Times New Roman" w:cs="Times New Roman" w:eastAsia="Times New Roman" w:hAnsi="Times New Roman"/>
          <w:sz w:val="21"/>
          <w:szCs w:val="21"/>
          <w:color w:val="auto"/>
        </w:rPr>
        <w:t>of</w:t>
      </w:r>
      <w:r>
        <w:rPr>
          <w:rFonts w:ascii="Times New Roman" w:cs="Times New Roman" w:eastAsia="Times New Roman" w:hAnsi="Times New Roman"/>
          <w:sz w:val="19"/>
          <w:szCs w:val="19"/>
          <w:color w:val="auto"/>
        </w:rPr>
        <w:t xml:space="preserve"> the countries included </w:t>
      </w:r>
      <w:r>
        <w:rPr>
          <w:rFonts w:ascii="Times New Roman" w:cs="Times New Roman" w:eastAsia="Times New Roman" w:hAnsi="Times New Roman"/>
          <w:sz w:val="21"/>
          <w:szCs w:val="21"/>
          <w:color w:val="auto"/>
        </w:rPr>
        <w:t>in</w:t>
      </w:r>
      <w:r>
        <w:rPr>
          <w:rFonts w:ascii="Times New Roman" w:cs="Times New Roman" w:eastAsia="Times New Roman" w:hAnsi="Times New Roman"/>
          <w:sz w:val="19"/>
          <w:szCs w:val="19"/>
          <w:color w:val="auto"/>
        </w:rPr>
        <w:t xml:space="preserve"> the Appendix, the </w:t>
      </w:r>
      <w:r>
        <w:rPr>
          <w:rFonts w:ascii="Times New Roman" w:cs="Times New Roman" w:eastAsia="Times New Roman" w:hAnsi="Times New Roman"/>
          <w:sz w:val="21"/>
          <w:szCs w:val="21"/>
          <w:color w:val="auto"/>
        </w:rPr>
        <w:t xml:space="preserve">specific </w:t>
      </w:r>
      <w:r>
        <w:rPr>
          <w:rFonts w:ascii="Times New Roman" w:cs="Times New Roman" w:eastAsia="Times New Roman" w:hAnsi="Times New Roman"/>
          <w:sz w:val="19"/>
          <w:szCs w:val="19"/>
          <w:color w:val="auto"/>
        </w:rPr>
        <w:t>terms and conditions applicable to</w:t>
      </w:r>
      <w:r>
        <w:rPr>
          <w:rFonts w:ascii="Times New Roman" w:cs="Times New Roman" w:eastAsia="Times New Roman" w:hAnsi="Times New Roman"/>
          <w:sz w:val="21"/>
          <w:szCs w:val="21"/>
          <w:color w:val="auto"/>
        </w:rPr>
        <w:t xml:space="preserve"> such </w:t>
      </w:r>
      <w:r>
        <w:rPr>
          <w:rFonts w:ascii="Times New Roman" w:cs="Times New Roman" w:eastAsia="Times New Roman" w:hAnsi="Times New Roman"/>
          <w:sz w:val="19"/>
          <w:szCs w:val="19"/>
          <w:color w:val="auto"/>
        </w:rPr>
        <w:t>country</w:t>
      </w:r>
      <w:r>
        <w:rPr>
          <w:rFonts w:ascii="Times New Roman" w:cs="Times New Roman" w:eastAsia="Times New Roman" w:hAnsi="Times New Roman"/>
          <w:sz w:val="21"/>
          <w:szCs w:val="21"/>
          <w:color w:val="auto"/>
        </w:rPr>
        <w:t xml:space="preserve"> will </w:t>
      </w:r>
      <w:r>
        <w:rPr>
          <w:rFonts w:ascii="Times New Roman" w:cs="Times New Roman" w:eastAsia="Times New Roman" w:hAnsi="Times New Roman"/>
          <w:sz w:val="19"/>
          <w:szCs w:val="19"/>
          <w:color w:val="auto"/>
        </w:rPr>
        <w:t>apply to</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19"/>
          <w:szCs w:val="19"/>
          <w:color w:val="auto"/>
        </w:rPr>
        <w:t>PSUs to</w:t>
      </w:r>
      <w:r>
        <w:rPr>
          <w:rFonts w:ascii="Times New Roman" w:cs="Times New Roman" w:eastAsia="Times New Roman" w:hAnsi="Times New Roman"/>
          <w:sz w:val="21"/>
          <w:szCs w:val="21"/>
          <w:color w:val="auto"/>
        </w:rPr>
        <w:t xml:space="preserve"> the extent </w:t>
      </w:r>
      <w:r>
        <w:rPr>
          <w:rFonts w:ascii="Times New Roman" w:cs="Times New Roman" w:eastAsia="Times New Roman" w:hAnsi="Times New Roman"/>
          <w:sz w:val="19"/>
          <w:szCs w:val="19"/>
          <w:color w:val="auto"/>
        </w:rPr>
        <w:t>FactSet determines that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19"/>
          <w:szCs w:val="19"/>
          <w:color w:val="auto"/>
        </w:rPr>
        <w:t>application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such terms and conditions is necessary </w:t>
      </w:r>
      <w:r>
        <w:rPr>
          <w:rFonts w:ascii="Times New Roman" w:cs="Times New Roman" w:eastAsia="Times New Roman" w:hAnsi="Times New Roman"/>
          <w:sz w:val="21"/>
          <w:szCs w:val="21"/>
          <w:color w:val="auto"/>
        </w:rPr>
        <w:t>or</w:t>
      </w:r>
      <w:r>
        <w:rPr>
          <w:rFonts w:ascii="Times New Roman" w:cs="Times New Roman" w:eastAsia="Times New Roman" w:hAnsi="Times New Roman"/>
          <w:sz w:val="19"/>
          <w:szCs w:val="19"/>
          <w:color w:val="auto"/>
        </w:rPr>
        <w:t xml:space="preserve"> advisable </w:t>
      </w:r>
      <w:r>
        <w:rPr>
          <w:rFonts w:ascii="Times New Roman" w:cs="Times New Roman" w:eastAsia="Times New Roman" w:hAnsi="Times New Roman"/>
          <w:sz w:val="21"/>
          <w:szCs w:val="21"/>
          <w:color w:val="auto"/>
        </w:rPr>
        <w:t>in</w:t>
      </w:r>
      <w:r>
        <w:rPr>
          <w:rFonts w:ascii="Times New Roman" w:cs="Times New Roman" w:eastAsia="Times New Roman" w:hAnsi="Times New Roman"/>
          <w:sz w:val="19"/>
          <w:szCs w:val="19"/>
          <w:color w:val="auto"/>
        </w:rPr>
        <w:t xml:space="preserve"> order </w:t>
      </w:r>
      <w:r>
        <w:rPr>
          <w:rFonts w:ascii="Times New Roman" w:cs="Times New Roman" w:eastAsia="Times New Roman" w:hAnsi="Times New Roman"/>
          <w:sz w:val="21"/>
          <w:szCs w:val="21"/>
          <w:color w:val="auto"/>
        </w:rPr>
        <w:t>to</w:t>
      </w:r>
      <w:r>
        <w:rPr>
          <w:rFonts w:ascii="Times New Roman" w:cs="Times New Roman" w:eastAsia="Times New Roman" w:hAnsi="Times New Roman"/>
          <w:sz w:val="19"/>
          <w:szCs w:val="19"/>
          <w:color w:val="auto"/>
        </w:rPr>
        <w:t xml:space="preserve"> comply with applicable </w:t>
      </w:r>
      <w:r>
        <w:rPr>
          <w:rFonts w:ascii="Times New Roman" w:cs="Times New Roman" w:eastAsia="Times New Roman" w:hAnsi="Times New Roman"/>
          <w:sz w:val="21"/>
          <w:szCs w:val="21"/>
          <w:color w:val="auto"/>
        </w:rPr>
        <w:t>law</w:t>
      </w:r>
      <w:r>
        <w:rPr>
          <w:rFonts w:ascii="Times New Roman" w:cs="Times New Roman" w:eastAsia="Times New Roman" w:hAnsi="Times New Roman"/>
          <w:sz w:val="19"/>
          <w:szCs w:val="19"/>
          <w:color w:val="auto"/>
        </w:rPr>
        <w:t xml:space="preserve"> or facilitate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9"/>
          <w:szCs w:val="19"/>
          <w:color w:val="auto"/>
        </w:rPr>
        <w:t xml:space="preserve"> administration </w:t>
      </w:r>
      <w:r>
        <w:rPr>
          <w:rFonts w:ascii="Times New Roman" w:cs="Times New Roman" w:eastAsia="Times New Roman" w:hAnsi="Times New Roman"/>
          <w:sz w:val="21"/>
          <w:szCs w:val="21"/>
          <w:color w:val="auto"/>
        </w:rPr>
        <w:t>of the</w:t>
      </w:r>
      <w:r>
        <w:rPr>
          <w:rFonts w:ascii="Times New Roman" w:cs="Times New Roman" w:eastAsia="Times New Roman" w:hAnsi="Times New Roman"/>
          <w:sz w:val="19"/>
          <w:szCs w:val="19"/>
          <w:color w:val="auto"/>
        </w:rPr>
        <w:t xml:space="preserve"> Plan or </w:t>
      </w: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19"/>
          <w:szCs w:val="19"/>
          <w:color w:val="auto"/>
        </w:rPr>
        <w:t>Agreement.</w:t>
      </w:r>
    </w:p>
    <w:p>
      <w:pPr>
        <w:spacing w:after="0" w:line="198" w:lineRule="exact"/>
        <w:rPr>
          <w:sz w:val="20"/>
          <w:szCs w:val="20"/>
          <w:color w:val="auto"/>
        </w:rPr>
      </w:pPr>
    </w:p>
    <w:p>
      <w:pPr>
        <w:ind w:left="300" w:hanging="292"/>
        <w:spacing w:after="0"/>
        <w:tabs>
          <w:tab w:leader="none" w:pos="30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or Recommendations</w:t>
      </w:r>
    </w:p>
    <w:p>
      <w:pPr>
        <w:spacing w:after="0" w:line="21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 xml:space="preserve">FactSet </w:t>
      </w:r>
      <w:r>
        <w:rPr>
          <w:rFonts w:ascii="Times New Roman" w:cs="Times New Roman" w:eastAsia="Times New Roman" w:hAnsi="Times New Roman"/>
          <w:sz w:val="21"/>
          <w:szCs w:val="21"/>
          <w:color w:val="auto"/>
        </w:rPr>
        <w:t>is</w:t>
      </w:r>
      <w:r>
        <w:rPr>
          <w:rFonts w:ascii="Times New Roman" w:cs="Times New Roman" w:eastAsia="Times New Roman" w:hAnsi="Times New Roman"/>
          <w:sz w:val="20"/>
          <w:szCs w:val="20"/>
          <w:color w:val="auto"/>
        </w:rPr>
        <w:t xml:space="preserve"> not providing </w:t>
      </w:r>
      <w:r>
        <w:rPr>
          <w:rFonts w:ascii="Times New Roman" w:cs="Times New Roman" w:eastAsia="Times New Roman" w:hAnsi="Times New Roman"/>
          <w:sz w:val="21"/>
          <w:szCs w:val="21"/>
          <w:color w:val="auto"/>
        </w:rPr>
        <w:t>any tax, legal</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financial advice, nor is FactSet making</w:t>
      </w:r>
      <w:r>
        <w:rPr>
          <w:rFonts w:ascii="Times New Roman" w:cs="Times New Roman" w:eastAsia="Times New Roman" w:hAnsi="Times New Roman"/>
          <w:sz w:val="20"/>
          <w:szCs w:val="20"/>
          <w:color w:val="auto"/>
        </w:rPr>
        <w:t xml:space="preserve"> any recommendations regarding your </w:t>
      </w:r>
      <w:r>
        <w:rPr>
          <w:rFonts w:ascii="Times New Roman" w:cs="Times New Roman" w:eastAsia="Times New Roman" w:hAnsi="Times New Roman"/>
          <w:sz w:val="21"/>
          <w:szCs w:val="21"/>
          <w:color w:val="auto"/>
        </w:rPr>
        <w:t>participation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19"/>
          <w:szCs w:val="19"/>
          <w:color w:val="auto"/>
        </w:rPr>
        <w:t>Plan,</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9"/>
          <w:szCs w:val="19"/>
          <w:color w:val="auto"/>
        </w:rPr>
        <w:t>your</w:t>
      </w:r>
      <w:r>
        <w:rPr>
          <w:rFonts w:ascii="Times New Roman" w:cs="Times New Roman" w:eastAsia="Times New Roman" w:hAnsi="Times New Roman"/>
          <w:sz w:val="21"/>
          <w:szCs w:val="21"/>
          <w:color w:val="auto"/>
        </w:rPr>
        <w:t xml:space="preserve"> acquisition or </w:t>
      </w:r>
      <w:r>
        <w:rPr>
          <w:rFonts w:ascii="Times New Roman" w:cs="Times New Roman" w:eastAsia="Times New Roman" w:hAnsi="Times New Roman"/>
          <w:sz w:val="19"/>
          <w:szCs w:val="19"/>
          <w:color w:val="auto"/>
        </w:rPr>
        <w:t>sale of the underlying Shares.</w:t>
      </w:r>
      <w:r>
        <w:rPr>
          <w:rFonts w:ascii="Times New Roman" w:cs="Times New Roman" w:eastAsia="Times New Roman" w:hAnsi="Times New Roman"/>
          <w:sz w:val="21"/>
          <w:szCs w:val="21"/>
          <w:color w:val="auto"/>
        </w:rPr>
        <w:t xml:space="preserve"> You are </w:t>
      </w:r>
      <w:r>
        <w:rPr>
          <w:rFonts w:ascii="Times New Roman" w:cs="Times New Roman" w:eastAsia="Times New Roman" w:hAnsi="Times New Roman"/>
          <w:sz w:val="19"/>
          <w:szCs w:val="19"/>
          <w:color w:val="auto"/>
        </w:rPr>
        <w:t>hereby advised</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consult with your own personal</w:t>
      </w:r>
      <w:r>
        <w:rPr>
          <w:rFonts w:ascii="Times New Roman" w:cs="Times New Roman" w:eastAsia="Times New Roman" w:hAnsi="Times New Roman"/>
          <w:sz w:val="21"/>
          <w:szCs w:val="21"/>
          <w:color w:val="auto"/>
        </w:rPr>
        <w:t xml:space="preserve"> tax, </w:t>
      </w:r>
      <w:r>
        <w:rPr>
          <w:rFonts w:ascii="Times New Roman" w:cs="Times New Roman" w:eastAsia="Times New Roman" w:hAnsi="Times New Roman"/>
          <w:sz w:val="19"/>
          <w:szCs w:val="19"/>
          <w:color w:val="auto"/>
        </w:rPr>
        <w:t>legal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financial advisors regarding your participation </w:t>
      </w:r>
      <w:r>
        <w:rPr>
          <w:rFonts w:ascii="Times New Roman" w:cs="Times New Roman" w:eastAsia="Times New Roman" w:hAnsi="Times New Roman"/>
          <w:sz w:val="21"/>
          <w:szCs w:val="21"/>
          <w:color w:val="auto"/>
        </w:rPr>
        <w:t>in</w:t>
      </w:r>
      <w:r>
        <w:rPr>
          <w:rFonts w:ascii="Times New Roman" w:cs="Times New Roman" w:eastAsia="Times New Roman" w:hAnsi="Times New Roman"/>
          <w:sz w:val="19"/>
          <w:szCs w:val="19"/>
          <w:color w:val="auto"/>
        </w:rPr>
        <w:t xml:space="preserve"> the Plan before </w:t>
      </w:r>
      <w:r>
        <w:rPr>
          <w:rFonts w:ascii="Times New Roman" w:cs="Times New Roman" w:eastAsia="Times New Roman" w:hAnsi="Times New Roman"/>
          <w:sz w:val="21"/>
          <w:szCs w:val="21"/>
          <w:color w:val="auto"/>
        </w:rPr>
        <w:t>taking any</w:t>
      </w:r>
      <w:r>
        <w:rPr>
          <w:rFonts w:ascii="Times New Roman" w:cs="Times New Roman" w:eastAsia="Times New Roman" w:hAnsi="Times New Roman"/>
          <w:sz w:val="19"/>
          <w:szCs w:val="19"/>
          <w:color w:val="auto"/>
        </w:rPr>
        <w:t xml:space="preserve"> action related to </w:t>
      </w:r>
      <w:r>
        <w:rPr>
          <w:rFonts w:ascii="Times New Roman" w:cs="Times New Roman" w:eastAsia="Times New Roman" w:hAnsi="Times New Roman"/>
          <w:sz w:val="21"/>
          <w:szCs w:val="21"/>
          <w:color w:val="auto"/>
        </w:rPr>
        <w:t>the</w:t>
      </w:r>
      <w:r>
        <w:rPr>
          <w:rFonts w:ascii="Times New Roman" w:cs="Times New Roman" w:eastAsia="Times New Roman" w:hAnsi="Times New Roman"/>
          <w:sz w:val="19"/>
          <w:szCs w:val="19"/>
          <w:color w:val="auto"/>
        </w:rPr>
        <w:t xml:space="preserve"> Plan.</w:t>
      </w:r>
    </w:p>
    <w:p>
      <w:pPr>
        <w:spacing w:after="0" w:line="174" w:lineRule="exact"/>
        <w:rPr>
          <w:sz w:val="20"/>
          <w:szCs w:val="20"/>
          <w:color w:val="auto"/>
        </w:rPr>
      </w:pPr>
    </w:p>
    <w:p>
      <w:pPr>
        <w:ind w:left="300" w:hanging="292"/>
        <w:spacing w:after="0"/>
        <w:tabs>
          <w:tab w:leader="none" w:pos="3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Delivery of Documents and Notices</w:t>
      </w:r>
    </w:p>
    <w:p>
      <w:pPr>
        <w:spacing w:after="0" w:line="211"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20"/>
          <w:szCs w:val="20"/>
          <w:color w:val="auto"/>
        </w:rPr>
        <w:t xml:space="preserve">FactSet </w:t>
      </w:r>
      <w:r>
        <w:rPr>
          <w:rFonts w:ascii="Times New Roman" w:cs="Times New Roman" w:eastAsia="Times New Roman" w:hAnsi="Times New Roman"/>
          <w:sz w:val="21"/>
          <w:szCs w:val="21"/>
          <w:color w:val="auto"/>
        </w:rPr>
        <w:t>may,</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its</w:t>
      </w:r>
      <w:r>
        <w:rPr>
          <w:rFonts w:ascii="Times New Roman" w:cs="Times New Roman" w:eastAsia="Times New Roman" w:hAnsi="Times New Roman"/>
          <w:sz w:val="20"/>
          <w:szCs w:val="20"/>
          <w:color w:val="auto"/>
        </w:rPr>
        <w:t xml:space="preserve"> sole </w:t>
      </w:r>
      <w:r>
        <w:rPr>
          <w:rFonts w:ascii="Times New Roman" w:cs="Times New Roman" w:eastAsia="Times New Roman" w:hAnsi="Times New Roman"/>
          <w:sz w:val="21"/>
          <w:szCs w:val="21"/>
          <w:color w:val="auto"/>
        </w:rPr>
        <w:t>discretion,</w:t>
      </w:r>
      <w:r>
        <w:rPr>
          <w:rFonts w:ascii="Times New Roman" w:cs="Times New Roman" w:eastAsia="Times New Roman" w:hAnsi="Times New Roman"/>
          <w:sz w:val="20"/>
          <w:szCs w:val="20"/>
          <w:color w:val="auto"/>
        </w:rPr>
        <w:t xml:space="preserve"> decide to </w:t>
      </w:r>
      <w:r>
        <w:rPr>
          <w:rFonts w:ascii="Times New Roman" w:cs="Times New Roman" w:eastAsia="Times New Roman" w:hAnsi="Times New Roman"/>
          <w:sz w:val="21"/>
          <w:szCs w:val="21"/>
          <w:color w:val="auto"/>
        </w:rPr>
        <w:t>deliver any documents related to current or</w:t>
      </w:r>
      <w:r>
        <w:rPr>
          <w:rFonts w:ascii="Times New Roman" w:cs="Times New Roman" w:eastAsia="Times New Roman" w:hAnsi="Times New Roman"/>
          <w:sz w:val="20"/>
          <w:szCs w:val="20"/>
          <w:color w:val="auto"/>
        </w:rPr>
        <w:t xml:space="preserve"> future participation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the Plan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electronic means.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hereby consent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receive such documents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electronic delivery and agree to participate </w:t>
      </w:r>
      <w:r>
        <w:rPr>
          <w:rFonts w:ascii="Times New Roman" w:cs="Times New Roman" w:eastAsia="Times New Roman" w:hAnsi="Times New Roman"/>
          <w:sz w:val="21"/>
          <w:szCs w:val="21"/>
          <w:color w:val="auto"/>
        </w:rPr>
        <w:t>in the</w:t>
      </w:r>
      <w:r>
        <w:rPr>
          <w:rFonts w:ascii="Times New Roman" w:cs="Times New Roman" w:eastAsia="Times New Roman" w:hAnsi="Times New Roman"/>
          <w:sz w:val="20"/>
          <w:szCs w:val="20"/>
          <w:color w:val="auto"/>
        </w:rPr>
        <w:t xml:space="preserve"> Plan </w:t>
      </w:r>
      <w:r>
        <w:rPr>
          <w:rFonts w:ascii="Times New Roman" w:cs="Times New Roman" w:eastAsia="Times New Roman" w:hAnsi="Times New Roman"/>
          <w:sz w:val="21"/>
          <w:szCs w:val="21"/>
          <w:color w:val="auto"/>
        </w:rPr>
        <w:t>through an</w:t>
      </w:r>
      <w:r>
        <w:rPr>
          <w:rFonts w:ascii="Times New Roman" w:cs="Times New Roman" w:eastAsia="Times New Roman" w:hAnsi="Times New Roman"/>
          <w:sz w:val="20"/>
          <w:szCs w:val="20"/>
          <w:color w:val="auto"/>
        </w:rPr>
        <w:t xml:space="preserve"> on-line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electronic </w:t>
      </w:r>
      <w:r>
        <w:rPr>
          <w:rFonts w:ascii="Times New Roman" w:cs="Times New Roman" w:eastAsia="Times New Roman" w:hAnsi="Times New Roman"/>
          <w:sz w:val="19"/>
          <w:szCs w:val="19"/>
          <w:color w:val="auto"/>
        </w:rPr>
        <w:t>system established and maintained by FactSet</w:t>
      </w:r>
      <w:r>
        <w:rPr>
          <w:rFonts w:ascii="Times New Roman" w:cs="Times New Roman" w:eastAsia="Times New Roman" w:hAnsi="Times New Roman"/>
          <w:sz w:val="21"/>
          <w:szCs w:val="21"/>
          <w:color w:val="auto"/>
        </w:rPr>
        <w:t xml:space="preserve"> or a third party </w:t>
      </w:r>
      <w:r>
        <w:rPr>
          <w:rFonts w:ascii="Times New Roman" w:cs="Times New Roman" w:eastAsia="Times New Roman" w:hAnsi="Times New Roman"/>
          <w:sz w:val="19"/>
          <w:szCs w:val="19"/>
          <w:color w:val="auto"/>
        </w:rPr>
        <w:t>designated by FactSet. You understand and agree that electronic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consent </w:t>
      </w:r>
      <w:r>
        <w:rPr>
          <w:rFonts w:ascii="Times New Roman" w:cs="Times New Roman" w:eastAsia="Times New Roman" w:hAnsi="Times New Roman"/>
          <w:sz w:val="21"/>
          <w:szCs w:val="21"/>
          <w:color w:val="auto"/>
        </w:rPr>
        <w:t>to</w:t>
      </w:r>
      <w:r>
        <w:rPr>
          <w:rFonts w:ascii="Times New Roman" w:cs="Times New Roman" w:eastAsia="Times New Roman" w:hAnsi="Times New Roman"/>
          <w:sz w:val="19"/>
          <w:szCs w:val="19"/>
          <w:color w:val="auto"/>
        </w:rPr>
        <w:t xml:space="preserve"> the Plan </w:t>
      </w:r>
      <w:r>
        <w:rPr>
          <w:rFonts w:ascii="Times New Roman" w:cs="Times New Roman" w:eastAsia="Times New Roman" w:hAnsi="Times New Roman"/>
          <w:sz w:val="21"/>
          <w:szCs w:val="21"/>
          <w:color w:val="auto"/>
        </w:rPr>
        <w:t>documents shall have the same force and</w:t>
      </w:r>
      <w:r>
        <w:rPr>
          <w:rFonts w:ascii="Times New Roman" w:cs="Times New Roman" w:eastAsia="Times New Roman" w:hAnsi="Times New Roman"/>
          <w:sz w:val="19"/>
          <w:szCs w:val="19"/>
          <w:color w:val="auto"/>
        </w:rPr>
        <w:t xml:space="preserve"> effect </w:t>
      </w:r>
      <w:r>
        <w:rPr>
          <w:rFonts w:ascii="Times New Roman" w:cs="Times New Roman" w:eastAsia="Times New Roman" w:hAnsi="Times New Roman"/>
          <w:sz w:val="21"/>
          <w:szCs w:val="21"/>
          <w:color w:val="auto"/>
        </w:rPr>
        <w:t>as</w:t>
      </w:r>
      <w:r>
        <w:rPr>
          <w:rFonts w:ascii="Times New Roman" w:cs="Times New Roman" w:eastAsia="Times New Roman" w:hAnsi="Times New Roman"/>
          <w:sz w:val="19"/>
          <w:szCs w:val="19"/>
          <w:color w:val="auto"/>
        </w:rPr>
        <w:t xml:space="preserve"> executed hardcopies.</w:t>
      </w:r>
    </w:p>
    <w:p>
      <w:pPr>
        <w:spacing w:after="0" w:line="182" w:lineRule="exact"/>
        <w:rPr>
          <w:sz w:val="20"/>
          <w:szCs w:val="20"/>
          <w:color w:val="auto"/>
        </w:rPr>
      </w:pPr>
    </w:p>
    <w:p>
      <w:pPr>
        <w:ind w:left="300" w:hanging="292"/>
        <w:spacing w:after="0"/>
        <w:tabs>
          <w:tab w:leader="none" w:pos="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p>
    <w:p>
      <w:pPr>
        <w:spacing w:after="0" w:line="224"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 xml:space="preserve">You hereby agree that any </w:t>
      </w:r>
      <w:r>
        <w:rPr>
          <w:rFonts w:ascii="Times New Roman" w:cs="Times New Roman" w:eastAsia="Times New Roman" w:hAnsi="Times New Roman"/>
          <w:sz w:val="21"/>
          <w:szCs w:val="21"/>
          <w:color w:val="auto"/>
        </w:rPr>
        <w:t>dispute,</w:t>
      </w:r>
      <w:r>
        <w:rPr>
          <w:rFonts w:ascii="Times New Roman" w:cs="Times New Roman" w:eastAsia="Times New Roman" w:hAnsi="Times New Roman"/>
          <w:sz w:val="20"/>
          <w:szCs w:val="20"/>
          <w:color w:val="auto"/>
        </w:rPr>
        <w:t xml:space="preserve"> claim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controversy arising </w:t>
      </w:r>
      <w:r>
        <w:rPr>
          <w:rFonts w:ascii="Times New Roman" w:cs="Times New Roman" w:eastAsia="Times New Roman" w:hAnsi="Times New Roman"/>
          <w:sz w:val="21"/>
          <w:szCs w:val="21"/>
          <w:color w:val="auto"/>
        </w:rPr>
        <w:t>now or in</w:t>
      </w:r>
      <w:r>
        <w:rPr>
          <w:rFonts w:ascii="Times New Roman" w:cs="Times New Roman" w:eastAsia="Times New Roman" w:hAnsi="Times New Roman"/>
          <w:sz w:val="20"/>
          <w:szCs w:val="20"/>
          <w:color w:val="auto"/>
        </w:rPr>
        <w:t xml:space="preserve"> the future under </w:t>
      </w:r>
      <w:r>
        <w:rPr>
          <w:rFonts w:ascii="Times New Roman" w:cs="Times New Roman" w:eastAsia="Times New Roman" w:hAnsi="Times New Roman"/>
          <w:sz w:val="21"/>
          <w:szCs w:val="21"/>
          <w:color w:val="auto"/>
        </w:rPr>
        <w:t>or relating</w:t>
      </w:r>
      <w:r>
        <w:rPr>
          <w:rFonts w:ascii="Times New Roman" w:cs="Times New Roman" w:eastAsia="Times New Roman" w:hAnsi="Times New Roman"/>
          <w:sz w:val="20"/>
          <w:szCs w:val="20"/>
          <w:color w:val="auto"/>
        </w:rPr>
        <w:t xml:space="preserve"> in any </w:t>
      </w:r>
      <w:r>
        <w:rPr>
          <w:rFonts w:ascii="Times New Roman" w:cs="Times New Roman" w:eastAsia="Times New Roman" w:hAnsi="Times New Roman"/>
          <w:sz w:val="21"/>
          <w:szCs w:val="21"/>
          <w:color w:val="auto"/>
        </w:rPr>
        <w:t>way to</w:t>
      </w:r>
      <w:r>
        <w:rPr>
          <w:rFonts w:ascii="Times New Roman" w:cs="Times New Roman" w:eastAsia="Times New Roman" w:hAnsi="Times New Roman"/>
          <w:sz w:val="20"/>
          <w:szCs w:val="20"/>
          <w:color w:val="auto"/>
        </w:rPr>
        <w:t xml:space="preserve"> this Agreement and/or the Plan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Claim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regardless</w:t>
      </w:r>
      <w:r>
        <w:rPr>
          <w:rFonts w:ascii="Times New Roman" w:cs="Times New Roman" w:eastAsia="Times New Roman" w:hAnsi="Times New Roman"/>
          <w:sz w:val="20"/>
          <w:szCs w:val="20"/>
          <w:color w:val="auto"/>
        </w:rPr>
        <w:t xml:space="preserve"> of the nature of the cause(s)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action asserted (including claims for injunctive, declaratory,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equitable relief), </w:t>
      </w:r>
      <w:r>
        <w:rPr>
          <w:rFonts w:ascii="Times New Roman" w:cs="Times New Roman" w:eastAsia="Times New Roman" w:hAnsi="Times New Roman"/>
          <w:sz w:val="21"/>
          <w:szCs w:val="21"/>
          <w:color w:val="auto"/>
        </w:rPr>
        <w:t>shall</w:t>
      </w:r>
      <w:r>
        <w:rPr>
          <w:rFonts w:ascii="Times New Roman" w:cs="Times New Roman" w:eastAsia="Times New Roman" w:hAnsi="Times New Roman"/>
          <w:sz w:val="20"/>
          <w:szCs w:val="20"/>
          <w:color w:val="auto"/>
        </w:rPr>
        <w:t xml:space="preserve"> be resolved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binding </w:t>
      </w:r>
      <w:r>
        <w:rPr>
          <w:rFonts w:ascii="Times New Roman" w:cs="Times New Roman" w:eastAsia="Times New Roman" w:hAnsi="Times New Roman"/>
          <w:sz w:val="21"/>
          <w:szCs w:val="21"/>
          <w:color w:val="auto"/>
        </w:rPr>
        <w:t>arbitration.</w:t>
      </w:r>
      <w:r>
        <w:rPr>
          <w:rFonts w:ascii="Times New Roman" w:cs="Times New Roman" w:eastAsia="Times New Roman" w:hAnsi="Times New Roman"/>
          <w:sz w:val="20"/>
          <w:szCs w:val="20"/>
          <w:color w:val="auto"/>
        </w:rPr>
        <w:t xml:space="preserve"> Arbitration replaces the right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go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court, and you therefore agree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waive </w:t>
      </w:r>
      <w:r>
        <w:rPr>
          <w:rFonts w:ascii="Times New Roman" w:cs="Times New Roman" w:eastAsia="Times New Roman" w:hAnsi="Times New Roman"/>
          <w:sz w:val="21"/>
          <w:szCs w:val="21"/>
          <w:color w:val="auto"/>
        </w:rPr>
        <w:t xml:space="preserve">any right </w:t>
      </w:r>
      <w:r>
        <w:rPr>
          <w:rFonts w:ascii="Times New Roman" w:cs="Times New Roman" w:eastAsia="Times New Roman" w:hAnsi="Times New Roman"/>
          <w:sz w:val="19"/>
          <w:szCs w:val="19"/>
          <w:color w:val="auto"/>
        </w:rPr>
        <w:t>that</w:t>
      </w:r>
      <w:r>
        <w:rPr>
          <w:rFonts w:ascii="Times New Roman" w:cs="Times New Roman" w:eastAsia="Times New Roman" w:hAnsi="Times New Roman"/>
          <w:sz w:val="21"/>
          <w:szCs w:val="21"/>
          <w:color w:val="auto"/>
        </w:rPr>
        <w:t xml:space="preserve"> you </w:t>
      </w:r>
      <w:r>
        <w:rPr>
          <w:rFonts w:ascii="Times New Roman" w:cs="Times New Roman" w:eastAsia="Times New Roman" w:hAnsi="Times New Roman"/>
          <w:sz w:val="19"/>
          <w:szCs w:val="19"/>
          <w:color w:val="auto"/>
        </w:rPr>
        <w:t>or FactSet might otherwise have</w:t>
      </w:r>
      <w:r>
        <w:rPr>
          <w:rFonts w:ascii="Times New Roman" w:cs="Times New Roman" w:eastAsia="Times New Roman" w:hAnsi="Times New Roman"/>
          <w:sz w:val="21"/>
          <w:szCs w:val="21"/>
          <w:color w:val="auto"/>
        </w:rPr>
        <w:t xml:space="preserve"> had to </w:t>
      </w:r>
      <w:r>
        <w:rPr>
          <w:rFonts w:ascii="Times New Roman" w:cs="Times New Roman" w:eastAsia="Times New Roman" w:hAnsi="Times New Roman"/>
          <w:sz w:val="19"/>
          <w:szCs w:val="19"/>
          <w:color w:val="auto"/>
        </w:rPr>
        <w:t>a</w:t>
      </w:r>
      <w:r>
        <w:rPr>
          <w:rFonts w:ascii="Times New Roman" w:cs="Times New Roman" w:eastAsia="Times New Roman" w:hAnsi="Times New Roman"/>
          <w:sz w:val="21"/>
          <w:szCs w:val="21"/>
          <w:color w:val="auto"/>
        </w:rPr>
        <w:t xml:space="preserve"> jury </w:t>
      </w:r>
      <w:r>
        <w:rPr>
          <w:rFonts w:ascii="Times New Roman" w:cs="Times New Roman" w:eastAsia="Times New Roman" w:hAnsi="Times New Roman"/>
          <w:sz w:val="19"/>
          <w:szCs w:val="19"/>
          <w:color w:val="auto"/>
        </w:rPr>
        <w:t>trial</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9"/>
          <w:szCs w:val="19"/>
          <w:color w:val="auto"/>
        </w:rPr>
        <w:t>the opportunity to</w:t>
      </w:r>
      <w:r>
        <w:rPr>
          <w:rFonts w:ascii="Times New Roman" w:cs="Times New Roman" w:eastAsia="Times New Roman" w:hAnsi="Times New Roman"/>
          <w:sz w:val="21"/>
          <w:szCs w:val="21"/>
          <w:color w:val="auto"/>
        </w:rPr>
        <w:t xml:space="preserve"> litigate </w:t>
      </w:r>
      <w:r>
        <w:rPr>
          <w:rFonts w:ascii="Times New Roman" w:cs="Times New Roman" w:eastAsia="Times New Roman" w:hAnsi="Times New Roman"/>
          <w:sz w:val="19"/>
          <w:szCs w:val="19"/>
          <w:color w:val="auto"/>
        </w:rPr>
        <w:t>any claims in court before either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judge </w:t>
      </w:r>
      <w:r>
        <w:rPr>
          <w:rFonts w:ascii="Times New Roman" w:cs="Times New Roman" w:eastAsia="Times New Roman" w:hAnsi="Times New Roman"/>
          <w:sz w:val="21"/>
          <w:szCs w:val="21"/>
          <w:color w:val="auto"/>
        </w:rPr>
        <w:t>or jury.</w:t>
      </w:r>
      <w:r>
        <w:rPr>
          <w:rFonts w:ascii="Times New Roman" w:cs="Times New Roman" w:eastAsia="Times New Roman" w:hAnsi="Times New Roman"/>
          <w:sz w:val="19"/>
          <w:szCs w:val="19"/>
          <w:color w:val="auto"/>
        </w:rPr>
        <w:t xml:space="preserve"> You further agree that </w:t>
      </w:r>
      <w:r>
        <w:rPr>
          <w:rFonts w:ascii="Times New Roman" w:cs="Times New Roman" w:eastAsia="Times New Roman" w:hAnsi="Times New Roman"/>
          <w:sz w:val="21"/>
          <w:szCs w:val="21"/>
          <w:color w:val="auto"/>
        </w:rPr>
        <w:t>you</w:t>
      </w:r>
      <w:r>
        <w:rPr>
          <w:rFonts w:ascii="Times New Roman" w:cs="Times New Roman" w:eastAsia="Times New Roman" w:hAnsi="Times New Roman"/>
          <w:sz w:val="19"/>
          <w:szCs w:val="19"/>
          <w:color w:val="auto"/>
        </w:rPr>
        <w:t xml:space="preserve"> will not be able </w:t>
      </w:r>
      <w:r>
        <w:rPr>
          <w:rFonts w:ascii="Times New Roman" w:cs="Times New Roman" w:eastAsia="Times New Roman" w:hAnsi="Times New Roman"/>
          <w:sz w:val="21"/>
          <w:szCs w:val="21"/>
          <w:color w:val="auto"/>
        </w:rPr>
        <w:t>to</w:t>
      </w:r>
      <w:r>
        <w:rPr>
          <w:rFonts w:ascii="Times New Roman" w:cs="Times New Roman" w:eastAsia="Times New Roman" w:hAnsi="Times New Roman"/>
          <w:sz w:val="19"/>
          <w:szCs w:val="19"/>
          <w:color w:val="auto"/>
        </w:rPr>
        <w:t xml:space="preserve"> bring a </w:t>
      </w:r>
      <w:r>
        <w:rPr>
          <w:rFonts w:ascii="Times New Roman" w:cs="Times New Roman" w:eastAsia="Times New Roman" w:hAnsi="Times New Roman"/>
          <w:sz w:val="21"/>
          <w:szCs w:val="21"/>
          <w:color w:val="auto"/>
        </w:rPr>
        <w:t>class action to</w:t>
      </w:r>
      <w:r>
        <w:rPr>
          <w:rFonts w:ascii="Times New Roman" w:cs="Times New Roman" w:eastAsia="Times New Roman" w:hAnsi="Times New Roman"/>
          <w:sz w:val="19"/>
          <w:szCs w:val="19"/>
          <w:color w:val="auto"/>
        </w:rPr>
        <w:t xml:space="preserve"> litigate any claims </w:t>
      </w:r>
      <w:r>
        <w:rPr>
          <w:rFonts w:ascii="Times New Roman" w:cs="Times New Roman" w:eastAsia="Times New Roman" w:hAnsi="Times New Roman"/>
          <w:sz w:val="21"/>
          <w:szCs w:val="21"/>
          <w:color w:val="auto"/>
        </w:rPr>
        <w:t>in</w:t>
      </w:r>
      <w:r>
        <w:rPr>
          <w:rFonts w:ascii="Times New Roman" w:cs="Times New Roman" w:eastAsia="Times New Roman" w:hAnsi="Times New Roman"/>
          <w:sz w:val="19"/>
          <w:szCs w:val="19"/>
          <w:color w:val="auto"/>
        </w:rPr>
        <w:t xml:space="preserve"> court before either a judge </w:t>
      </w:r>
      <w:r>
        <w:rPr>
          <w:rFonts w:ascii="Times New Roman" w:cs="Times New Roman" w:eastAsia="Times New Roman" w:hAnsi="Times New Roman"/>
          <w:sz w:val="21"/>
          <w:szCs w:val="21"/>
          <w:color w:val="auto"/>
        </w:rPr>
        <w: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jury; </w:t>
      </w:r>
      <w:r>
        <w:rPr>
          <w:rFonts w:ascii="Times New Roman" w:cs="Times New Roman" w:eastAsia="Times New Roman" w:hAnsi="Times New Roman"/>
          <w:sz w:val="19"/>
          <w:szCs w:val="19"/>
          <w:color w:val="auto"/>
        </w:rPr>
        <w:t>nor</w:t>
      </w:r>
      <w:r>
        <w:rPr>
          <w:rFonts w:ascii="Times New Roman" w:cs="Times New Roman" w:eastAsia="Times New Roman" w:hAnsi="Times New Roman"/>
          <w:sz w:val="21"/>
          <w:szCs w:val="21"/>
          <w:color w:val="auto"/>
        </w:rPr>
        <w:t xml:space="preserve"> will you be </w:t>
      </w:r>
      <w:r>
        <w:rPr>
          <w:rFonts w:ascii="Times New Roman" w:cs="Times New Roman" w:eastAsia="Times New Roman" w:hAnsi="Times New Roman"/>
          <w:sz w:val="19"/>
          <w:szCs w:val="19"/>
          <w:color w:val="auto"/>
        </w:rPr>
        <w:t>able</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participate</w:t>
      </w:r>
      <w:r>
        <w:rPr>
          <w:rFonts w:ascii="Times New Roman" w:cs="Times New Roman" w:eastAsia="Times New Roman" w:hAnsi="Times New Roman"/>
          <w:sz w:val="21"/>
          <w:szCs w:val="21"/>
          <w:color w:val="auto"/>
        </w:rPr>
        <w:t xml:space="preserve"> as a class member in </w:t>
      </w:r>
      <w:r>
        <w:rPr>
          <w:rFonts w:ascii="Times New Roman" w:cs="Times New Roman" w:eastAsia="Times New Roman" w:hAnsi="Times New Roman"/>
          <w:sz w:val="19"/>
          <w:szCs w:val="19"/>
          <w:color w:val="auto"/>
        </w:rPr>
        <w:t>a</w:t>
      </w:r>
      <w:r>
        <w:rPr>
          <w:rFonts w:ascii="Times New Roman" w:cs="Times New Roman" w:eastAsia="Times New Roman" w:hAnsi="Times New Roman"/>
          <w:sz w:val="21"/>
          <w:szCs w:val="21"/>
          <w:color w:val="auto"/>
        </w:rPr>
        <w:t xml:space="preserve"> class </w:t>
      </w:r>
      <w:r>
        <w:rPr>
          <w:rFonts w:ascii="Times New Roman" w:cs="Times New Roman" w:eastAsia="Times New Roman" w:hAnsi="Times New Roman"/>
          <w:sz w:val="19"/>
          <w:szCs w:val="19"/>
          <w:color w:val="auto"/>
        </w:rPr>
        <w:t>action</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19"/>
          <w:szCs w:val="19"/>
          <w:color w:val="auto"/>
        </w:rPr>
        <w:t>other representative action</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litigate any claims in court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before </w:t>
      </w:r>
      <w:r>
        <w:rPr>
          <w:rFonts w:ascii="Times New Roman" w:cs="Times New Roman" w:eastAsia="Times New Roman" w:hAnsi="Times New Roman"/>
          <w:sz w:val="21"/>
          <w:szCs w:val="21"/>
          <w:color w:val="auto"/>
        </w:rPr>
        <w:t>either a</w:t>
      </w:r>
      <w:r>
        <w:rPr>
          <w:rFonts w:ascii="Times New Roman" w:cs="Times New Roman" w:eastAsia="Times New Roman" w:hAnsi="Times New Roman"/>
          <w:sz w:val="19"/>
          <w:szCs w:val="19"/>
          <w:color w:val="auto"/>
        </w:rPr>
        <w:t xml:space="preserve"> judge or jury.</w:t>
      </w:r>
    </w:p>
    <w:p>
      <w:pPr>
        <w:spacing w:after="0" w:line="197"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20"/>
          <w:szCs w:val="20"/>
          <w:color w:val="auto"/>
        </w:rPr>
        <w:t xml:space="preserve">This binding arbitration </w:t>
      </w:r>
      <w:r>
        <w:rPr>
          <w:rFonts w:ascii="Times New Roman" w:cs="Times New Roman" w:eastAsia="Times New Roman" w:hAnsi="Times New Roman"/>
          <w:sz w:val="21"/>
          <w:szCs w:val="21"/>
          <w:color w:val="auto"/>
        </w:rPr>
        <w:t>provision</w:t>
      </w:r>
      <w:r>
        <w:rPr>
          <w:rFonts w:ascii="Times New Roman" w:cs="Times New Roman" w:eastAsia="Times New Roman" w:hAnsi="Times New Roman"/>
          <w:sz w:val="20"/>
          <w:szCs w:val="20"/>
          <w:color w:val="auto"/>
        </w:rPr>
        <w:t xml:space="preserve"> applies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any and </w:t>
      </w:r>
      <w:r>
        <w:rPr>
          <w:rFonts w:ascii="Times New Roman" w:cs="Times New Roman" w:eastAsia="Times New Roman" w:hAnsi="Times New Roman"/>
          <w:sz w:val="21"/>
          <w:szCs w:val="21"/>
          <w:color w:val="auto"/>
        </w:rPr>
        <w:t>all</w:t>
      </w:r>
      <w:r>
        <w:rPr>
          <w:rFonts w:ascii="Times New Roman" w:cs="Times New Roman" w:eastAsia="Times New Roman" w:hAnsi="Times New Roman"/>
          <w:sz w:val="20"/>
          <w:szCs w:val="20"/>
          <w:color w:val="auto"/>
        </w:rPr>
        <w:t xml:space="preserve"> Claims that you have against </w:t>
      </w:r>
      <w:r>
        <w:rPr>
          <w:rFonts w:ascii="Times New Roman" w:cs="Times New Roman" w:eastAsia="Times New Roman" w:hAnsi="Times New Roman"/>
          <w:sz w:val="21"/>
          <w:szCs w:val="21"/>
          <w:color w:val="auto"/>
        </w:rPr>
        <w:t>FactSet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color w:val="auto"/>
        </w:rPr>
        <w:t>its</w:t>
      </w:r>
      <w:r>
        <w:rPr>
          <w:rFonts w:ascii="Times New Roman" w:cs="Times New Roman" w:eastAsia="Times New Roman" w:hAnsi="Times New Roman"/>
          <w:sz w:val="20"/>
          <w:szCs w:val="20"/>
          <w:color w:val="auto"/>
        </w:rPr>
        <w:t xml:space="preserve"> successors and assigns, and </w:t>
      </w:r>
      <w:r>
        <w:rPr>
          <w:rFonts w:ascii="Times New Roman" w:cs="Times New Roman" w:eastAsia="Times New Roman" w:hAnsi="Times New Roman"/>
          <w:sz w:val="21"/>
          <w:szCs w:val="21"/>
          <w:color w:val="auto"/>
        </w:rPr>
        <w:t>against</w:t>
      </w:r>
      <w:r>
        <w:rPr>
          <w:rFonts w:ascii="Times New Roman" w:cs="Times New Roman" w:eastAsia="Times New Roman" w:hAnsi="Times New Roman"/>
          <w:sz w:val="20"/>
          <w:szCs w:val="20"/>
          <w:color w:val="auto"/>
        </w:rPr>
        <w:t xml:space="preserve"> all </w:t>
      </w:r>
      <w:r>
        <w:rPr>
          <w:rFonts w:ascii="Times New Roman" w:cs="Times New Roman" w:eastAsia="Times New Roman" w:hAnsi="Times New Roman"/>
          <w:sz w:val="21"/>
          <w:szCs w:val="21"/>
          <w:color w:val="auto"/>
        </w:rPr>
        <w:t>of its</w:t>
      </w:r>
      <w:r>
        <w:rPr>
          <w:rFonts w:ascii="Times New Roman" w:cs="Times New Roman" w:eastAsia="Times New Roman" w:hAnsi="Times New Roman"/>
          <w:sz w:val="20"/>
          <w:szCs w:val="20"/>
          <w:color w:val="auto"/>
        </w:rPr>
        <w:t xml:space="preserve"> employees, </w:t>
      </w:r>
      <w:r>
        <w:rPr>
          <w:rFonts w:ascii="Times New Roman" w:cs="Times New Roman" w:eastAsia="Times New Roman" w:hAnsi="Times New Roman"/>
          <w:sz w:val="21"/>
          <w:szCs w:val="21"/>
          <w:color w:val="auto"/>
        </w:rPr>
        <w:t>directors</w:t>
      </w:r>
      <w:r>
        <w:rPr>
          <w:rFonts w:ascii="Times New Roman" w:cs="Times New Roman" w:eastAsia="Times New Roman" w:hAnsi="Times New Roman"/>
          <w:sz w:val="20"/>
          <w:szCs w:val="20"/>
          <w:color w:val="auto"/>
        </w:rPr>
        <w:t xml:space="preserve"> or agents, or, </w:t>
      </w:r>
      <w:r>
        <w:rPr>
          <w:rFonts w:ascii="Times New Roman" w:cs="Times New Roman" w:eastAsia="Times New Roman" w:hAnsi="Times New Roman"/>
          <w:sz w:val="21"/>
          <w:szCs w:val="21"/>
          <w:color w:val="auto"/>
        </w:rPr>
        <w:t>or that</w:t>
      </w:r>
      <w:r>
        <w:rPr>
          <w:rFonts w:ascii="Times New Roman" w:cs="Times New Roman" w:eastAsia="Times New Roman" w:hAnsi="Times New Roman"/>
          <w:sz w:val="20"/>
          <w:szCs w:val="20"/>
          <w:color w:val="auto"/>
        </w:rPr>
        <w:t xml:space="preserve"> FactSet has against you; </w:t>
      </w:r>
      <w:r>
        <w:rPr>
          <w:rFonts w:ascii="Times New Roman" w:cs="Times New Roman" w:eastAsia="Times New Roman" w:hAnsi="Times New Roman"/>
          <w:sz w:val="21"/>
          <w:szCs w:val="21"/>
          <w:color w:val="auto"/>
        </w:rPr>
        <w:t>it</w:t>
      </w:r>
      <w:r>
        <w:rPr>
          <w:rFonts w:ascii="Times New Roman" w:cs="Times New Roman" w:eastAsia="Times New Roman" w:hAnsi="Times New Roman"/>
          <w:sz w:val="20"/>
          <w:szCs w:val="20"/>
          <w:color w:val="auto"/>
        </w:rPr>
        <w:t xml:space="preserve"> also includes any and all Claims regarding the </w:t>
      </w:r>
      <w:r>
        <w:rPr>
          <w:rFonts w:ascii="Times New Roman" w:cs="Times New Roman" w:eastAsia="Times New Roman" w:hAnsi="Times New Roman"/>
          <w:sz w:val="21"/>
          <w:szCs w:val="21"/>
          <w:color w:val="auto"/>
        </w:rPr>
        <w:t>applicability</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this arbitration</w:t>
      </w:r>
      <w:r>
        <w:rPr>
          <w:rFonts w:ascii="Times New Roman" w:cs="Times New Roman" w:eastAsia="Times New Roman" w:hAnsi="Times New Roman"/>
          <w:sz w:val="20"/>
          <w:szCs w:val="20"/>
          <w:color w:val="auto"/>
        </w:rPr>
        <w:t xml:space="preserve"> clause or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validity of </w:t>
      </w:r>
      <w:r>
        <w:rPr>
          <w:rFonts w:ascii="Times New Roman" w:cs="Times New Roman" w:eastAsia="Times New Roman" w:hAnsi="Times New Roman"/>
          <w:sz w:val="21"/>
          <w:szCs w:val="21"/>
          <w:color w:val="auto"/>
        </w:rPr>
        <w:t>this</w:t>
      </w:r>
      <w:r>
        <w:rPr>
          <w:rFonts w:ascii="Times New Roman" w:cs="Times New Roman" w:eastAsia="Times New Roman" w:hAnsi="Times New Roman"/>
          <w:sz w:val="20"/>
          <w:szCs w:val="20"/>
          <w:color w:val="auto"/>
        </w:rPr>
        <w:t xml:space="preserve"> Agreement, </w:t>
      </w:r>
      <w:r>
        <w:rPr>
          <w:rFonts w:ascii="Times New Roman" w:cs="Times New Roman" w:eastAsia="Times New Roman" w:hAnsi="Times New Roman"/>
          <w:sz w:val="21"/>
          <w:szCs w:val="21"/>
          <w:color w:val="auto"/>
        </w:rPr>
        <w:t>in whole or</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part.</w:t>
      </w:r>
    </w:p>
    <w:p>
      <w:pPr>
        <w:spacing w:after="0" w:line="189"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 xml:space="preserve">The party filing a Claim(s)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arbitration must file its Claim(s) </w:t>
      </w:r>
      <w:r>
        <w:rPr>
          <w:rFonts w:ascii="Times New Roman" w:cs="Times New Roman" w:eastAsia="Times New Roman" w:hAnsi="Times New Roman"/>
          <w:sz w:val="21"/>
          <w:szCs w:val="21"/>
          <w:color w:val="auto"/>
        </w:rPr>
        <w:t>before the American</w:t>
      </w:r>
      <w:r>
        <w:rPr>
          <w:rFonts w:ascii="Times New Roman" w:cs="Times New Roman" w:eastAsia="Times New Roman" w:hAnsi="Times New Roman"/>
          <w:sz w:val="20"/>
          <w:szCs w:val="20"/>
          <w:color w:val="auto"/>
        </w:rPr>
        <w:t xml:space="preserve"> Arbitration Association under </w:t>
      </w:r>
      <w:r>
        <w:rPr>
          <w:rFonts w:ascii="Times New Roman" w:cs="Times New Roman" w:eastAsia="Times New Roman" w:hAnsi="Times New Roman"/>
          <w:sz w:val="21"/>
          <w:szCs w:val="21"/>
          <w:color w:val="auto"/>
        </w:rPr>
        <w:t>the rules</w:t>
      </w:r>
      <w:r>
        <w:rPr>
          <w:rFonts w:ascii="Times New Roman" w:cs="Times New Roman" w:eastAsia="Times New Roman" w:hAnsi="Times New Roman"/>
          <w:sz w:val="20"/>
          <w:szCs w:val="20"/>
          <w:color w:val="auto"/>
        </w:rPr>
        <w:t xml:space="preserve"> of such arbitration administrator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effect </w:t>
      </w:r>
      <w:r>
        <w:rPr>
          <w:rFonts w:ascii="Times New Roman" w:cs="Times New Roman" w:eastAsia="Times New Roman" w:hAnsi="Times New Roman"/>
          <w:sz w:val="21"/>
          <w:szCs w:val="21"/>
          <w:color w:val="auto"/>
        </w:rPr>
        <w:t>at</w:t>
      </w:r>
      <w:r>
        <w:rPr>
          <w:rFonts w:ascii="Times New Roman" w:cs="Times New Roman" w:eastAsia="Times New Roman" w:hAnsi="Times New Roman"/>
          <w:sz w:val="20"/>
          <w:szCs w:val="20"/>
          <w:color w:val="auto"/>
        </w:rPr>
        <w:t xml:space="preserve"> the time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Claim(s) was </w:t>
      </w:r>
      <w:r>
        <w:rPr>
          <w:rFonts w:ascii="Times New Roman" w:cs="Times New Roman" w:eastAsia="Times New Roman" w:hAnsi="Times New Roman"/>
          <w:sz w:val="21"/>
          <w:szCs w:val="21"/>
          <w:color w:val="auto"/>
        </w:rPr>
        <w:t>filed.</w:t>
      </w:r>
      <w:r>
        <w:rPr>
          <w:rFonts w:ascii="Times New Roman" w:cs="Times New Roman" w:eastAsia="Times New Roman" w:hAnsi="Times New Roman"/>
          <w:sz w:val="20"/>
          <w:szCs w:val="20"/>
          <w:color w:val="auto"/>
        </w:rPr>
        <w:t xml:space="preserve"> Rules </w:t>
      </w:r>
      <w:r>
        <w:rPr>
          <w:rFonts w:ascii="Times New Roman" w:cs="Times New Roman" w:eastAsia="Times New Roman" w:hAnsi="Times New Roman"/>
          <w:sz w:val="21"/>
          <w:szCs w:val="21"/>
          <w:color w:val="auto"/>
        </w:rPr>
        <w:t>may be</w:t>
      </w:r>
      <w:r>
        <w:rPr>
          <w:rFonts w:ascii="Times New Roman" w:cs="Times New Roman" w:eastAsia="Times New Roman" w:hAnsi="Times New Roman"/>
          <w:sz w:val="20"/>
          <w:szCs w:val="20"/>
          <w:color w:val="auto"/>
        </w:rPr>
        <w:t xml:space="preserve"> obtained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Claims made </w:t>
      </w:r>
      <w:r>
        <w:rPr>
          <w:rFonts w:ascii="Times New Roman" w:cs="Times New Roman" w:eastAsia="Times New Roman" w:hAnsi="Times New Roman"/>
          <w:sz w:val="21"/>
          <w:szCs w:val="21"/>
          <w:color w:val="auto"/>
        </w:rPr>
        <w:t>may be filed</w:t>
      </w:r>
      <w:r>
        <w:rPr>
          <w:rFonts w:ascii="Times New Roman" w:cs="Times New Roman" w:eastAsia="Times New Roman" w:hAnsi="Times New Roman"/>
          <w:sz w:val="20"/>
          <w:szCs w:val="20"/>
          <w:color w:val="auto"/>
        </w:rPr>
        <w:t xml:space="preserve"> at American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Arbitration Association, </w:t>
      </w:r>
      <w:r>
        <w:rPr>
          <w:rFonts w:ascii="Times New Roman" w:cs="Times New Roman" w:eastAsia="Times New Roman" w:hAnsi="Times New Roman"/>
          <w:sz w:val="21"/>
          <w:szCs w:val="21"/>
          <w:color w:val="auto"/>
        </w:rPr>
        <w:t>335</w:t>
      </w:r>
    </w:p>
    <w:p>
      <w:pPr>
        <w:sectPr>
          <w:pgSz w:w="11900" w:h="16838" w:orient="portrait"/>
          <w:cols w:equalWidth="0" w:num="1">
            <w:col w:w="11240"/>
          </w:cols>
          <w:pgMar w:left="320" w:top="11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20"/>
          <w:szCs w:val="20"/>
          <w:color w:val="auto"/>
        </w:rPr>
        <w:t xml:space="preserve">Madison Avenue, Floor </w:t>
      </w:r>
      <w:r>
        <w:rPr>
          <w:rFonts w:ascii="Times New Roman" w:cs="Times New Roman" w:eastAsia="Times New Roman" w:hAnsi="Times New Roman"/>
          <w:sz w:val="21"/>
          <w:szCs w:val="21"/>
          <w:color w:val="auto"/>
        </w:rPr>
        <w:t>10,</w:t>
      </w:r>
      <w:r>
        <w:rPr>
          <w:rFonts w:ascii="Times New Roman" w:cs="Times New Roman" w:eastAsia="Times New Roman" w:hAnsi="Times New Roman"/>
          <w:sz w:val="20"/>
          <w:szCs w:val="20"/>
          <w:color w:val="auto"/>
        </w:rPr>
        <w:t xml:space="preserve"> New York, NY </w:t>
      </w:r>
      <w:r>
        <w:rPr>
          <w:rFonts w:ascii="Times New Roman" w:cs="Times New Roman" w:eastAsia="Times New Roman" w:hAnsi="Times New Roman"/>
          <w:sz w:val="21"/>
          <w:szCs w:val="21"/>
          <w:color w:val="auto"/>
        </w:rPr>
        <w:t>10017-4605,</w:t>
      </w:r>
      <w:r>
        <w:rPr>
          <w:rFonts w:ascii="Times New Roman" w:cs="Times New Roman" w:eastAsia="Times New Roman" w:hAnsi="Times New Roman"/>
          <w:sz w:val="20"/>
          <w:szCs w:val="20"/>
          <w:color w:val="auto"/>
        </w:rPr>
        <w:t xml:space="preserve"> 800-778-7879, www.adr.org. </w:t>
      </w:r>
      <w:r>
        <w:rPr>
          <w:rFonts w:ascii="Times New Roman" w:cs="Times New Roman" w:eastAsia="Times New Roman" w:hAnsi="Times New Roman"/>
          <w:sz w:val="21"/>
          <w:szCs w:val="21"/>
          <w:color w:val="auto"/>
        </w:rPr>
        <w:t>Any arbitration</w:t>
      </w:r>
      <w:r>
        <w:rPr>
          <w:rFonts w:ascii="Times New Roman" w:cs="Times New Roman" w:eastAsia="Times New Roman" w:hAnsi="Times New Roman"/>
          <w:sz w:val="20"/>
          <w:szCs w:val="20"/>
          <w:color w:val="auto"/>
        </w:rPr>
        <w:t xml:space="preserve"> hearing that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attend </w:t>
      </w:r>
      <w:r>
        <w:rPr>
          <w:rFonts w:ascii="Times New Roman" w:cs="Times New Roman" w:eastAsia="Times New Roman" w:hAnsi="Times New Roman"/>
          <w:sz w:val="21"/>
          <w:szCs w:val="21"/>
          <w:color w:val="auto"/>
        </w:rPr>
        <w:t>shall</w:t>
      </w:r>
      <w:r>
        <w:rPr>
          <w:rFonts w:ascii="Times New Roman" w:cs="Times New Roman" w:eastAsia="Times New Roman" w:hAnsi="Times New Roman"/>
          <w:sz w:val="20"/>
          <w:szCs w:val="20"/>
          <w:color w:val="auto"/>
        </w:rPr>
        <w:t xml:space="preserve"> be </w:t>
      </w:r>
      <w:r>
        <w:rPr>
          <w:rFonts w:ascii="Times New Roman" w:cs="Times New Roman" w:eastAsia="Times New Roman" w:hAnsi="Times New Roman"/>
          <w:sz w:val="21"/>
          <w:szCs w:val="21"/>
          <w:color w:val="auto"/>
        </w:rPr>
        <w:t xml:space="preserve">held </w:t>
      </w:r>
      <w:r>
        <w:rPr>
          <w:rFonts w:ascii="Times New Roman" w:cs="Times New Roman" w:eastAsia="Times New Roman" w:hAnsi="Times New Roman"/>
          <w:sz w:val="19"/>
          <w:szCs w:val="19"/>
          <w:color w:val="auto"/>
        </w:rPr>
        <w:t>at</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19"/>
          <w:szCs w:val="19"/>
          <w:color w:val="auto"/>
        </w:rPr>
        <w:t>place chosen by the</w:t>
      </w:r>
      <w:r>
        <w:rPr>
          <w:rFonts w:ascii="Times New Roman" w:cs="Times New Roman" w:eastAsia="Times New Roman" w:hAnsi="Times New Roman"/>
          <w:sz w:val="21"/>
          <w:szCs w:val="21"/>
          <w:color w:val="auto"/>
        </w:rPr>
        <w:t xml:space="preserve"> arbitrator or arbitrator </w:t>
      </w:r>
      <w:r>
        <w:rPr>
          <w:rFonts w:ascii="Times New Roman" w:cs="Times New Roman" w:eastAsia="Times New Roman" w:hAnsi="Times New Roman"/>
          <w:sz w:val="19"/>
          <w:szCs w:val="19"/>
          <w:color w:val="auto"/>
        </w:rPr>
        <w:t>administrator</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19"/>
          <w:szCs w:val="19"/>
          <w:color w:val="auto"/>
        </w:rPr>
        <w:t>New York.</w:t>
      </w:r>
    </w:p>
    <w:p>
      <w:pPr>
        <w:spacing w:after="0" w:line="16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20"/>
          <w:szCs w:val="20"/>
          <w:color w:val="auto"/>
        </w:rPr>
        <w:t xml:space="preserve">Judgment </w:t>
      </w:r>
      <w:r>
        <w:rPr>
          <w:rFonts w:ascii="Times New Roman" w:cs="Times New Roman" w:eastAsia="Times New Roman" w:hAnsi="Times New Roman"/>
          <w:sz w:val="21"/>
          <w:szCs w:val="21"/>
          <w:color w:val="auto"/>
        </w:rPr>
        <w:t>upon</w:t>
      </w:r>
      <w:r>
        <w:rPr>
          <w:rFonts w:ascii="Times New Roman" w:cs="Times New Roman" w:eastAsia="Times New Roman" w:hAnsi="Times New Roman"/>
          <w:sz w:val="20"/>
          <w:szCs w:val="20"/>
          <w:color w:val="auto"/>
        </w:rPr>
        <w:t xml:space="preserve"> any arbitration award </w:t>
      </w:r>
      <w:r>
        <w:rPr>
          <w:rFonts w:ascii="Times New Roman" w:cs="Times New Roman" w:eastAsia="Times New Roman" w:hAnsi="Times New Roman"/>
          <w:sz w:val="21"/>
          <w:szCs w:val="21"/>
          <w:color w:val="auto"/>
        </w:rPr>
        <w:t>may be</w:t>
      </w:r>
      <w:r>
        <w:rPr>
          <w:rFonts w:ascii="Times New Roman" w:cs="Times New Roman" w:eastAsia="Times New Roman" w:hAnsi="Times New Roman"/>
          <w:sz w:val="20"/>
          <w:szCs w:val="20"/>
          <w:color w:val="auto"/>
        </w:rPr>
        <w:t xml:space="preserve"> entered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any </w:t>
      </w:r>
      <w:r>
        <w:rPr>
          <w:rFonts w:ascii="Times New Roman" w:cs="Times New Roman" w:eastAsia="Times New Roman" w:hAnsi="Times New Roman"/>
          <w:sz w:val="21"/>
          <w:szCs w:val="21"/>
          <w:color w:val="auto"/>
        </w:rPr>
        <w:t>court</w:t>
      </w:r>
      <w:r>
        <w:rPr>
          <w:rFonts w:ascii="Times New Roman" w:cs="Times New Roman" w:eastAsia="Times New Roman" w:hAnsi="Times New Roman"/>
          <w:sz w:val="20"/>
          <w:szCs w:val="20"/>
          <w:color w:val="auto"/>
        </w:rPr>
        <w:t xml:space="preserve"> having jurisdiction. New </w:t>
      </w:r>
      <w:r>
        <w:rPr>
          <w:rFonts w:ascii="Times New Roman" w:cs="Times New Roman" w:eastAsia="Times New Roman" w:hAnsi="Times New Roman"/>
          <w:sz w:val="21"/>
          <w:szCs w:val="21"/>
          <w:color w:val="auto"/>
        </w:rPr>
        <w:t>York law</w:t>
      </w:r>
      <w:r>
        <w:rPr>
          <w:rFonts w:ascii="Times New Roman" w:cs="Times New Roman" w:eastAsia="Times New Roman" w:hAnsi="Times New Roman"/>
          <w:sz w:val="20"/>
          <w:szCs w:val="20"/>
          <w:color w:val="auto"/>
        </w:rPr>
        <w:t xml:space="preserve"> shall </w:t>
      </w:r>
      <w:r>
        <w:rPr>
          <w:rFonts w:ascii="Times New Roman" w:cs="Times New Roman" w:eastAsia="Times New Roman" w:hAnsi="Times New Roman"/>
          <w:sz w:val="21"/>
          <w:szCs w:val="21"/>
          <w:color w:val="auto"/>
        </w:rPr>
        <w:t>apply, without</w:t>
      </w:r>
      <w:r>
        <w:rPr>
          <w:rFonts w:ascii="Times New Roman" w:cs="Times New Roman" w:eastAsia="Times New Roman" w:hAnsi="Times New Roman"/>
          <w:sz w:val="20"/>
          <w:szCs w:val="20"/>
          <w:color w:val="auto"/>
        </w:rPr>
        <w:t xml:space="preserve"> regard to </w:t>
      </w:r>
      <w:r>
        <w:rPr>
          <w:rFonts w:ascii="Times New Roman" w:cs="Times New Roman" w:eastAsia="Times New Roman" w:hAnsi="Times New Roman"/>
          <w:sz w:val="21"/>
          <w:szCs w:val="21"/>
          <w:color w:val="auto"/>
        </w:rPr>
        <w:t>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conflict of laws </w:t>
      </w:r>
      <w:r>
        <w:rPr>
          <w:rFonts w:ascii="Times New Roman" w:cs="Times New Roman" w:eastAsia="Times New Roman" w:hAnsi="Times New Roman"/>
          <w:sz w:val="19"/>
          <w:szCs w:val="19"/>
          <w:color w:val="auto"/>
        </w:rPr>
        <w:t>principles.</w:t>
      </w:r>
    </w:p>
    <w:p>
      <w:pPr>
        <w:spacing w:after="0" w:line="176" w:lineRule="exact"/>
        <w:rPr>
          <w:sz w:val="20"/>
          <w:szCs w:val="20"/>
          <w:color w:val="auto"/>
        </w:rPr>
      </w:pPr>
    </w:p>
    <w:p>
      <w:pPr>
        <w:jc w:val="both"/>
        <w:ind w:right="440"/>
        <w:spacing w:after="0" w:line="255" w:lineRule="auto"/>
        <w:rPr>
          <w:sz w:val="20"/>
          <w:szCs w:val="20"/>
          <w:color w:val="auto"/>
        </w:rPr>
      </w:pPr>
      <w:r>
        <w:rPr>
          <w:rFonts w:ascii="Times New Roman" w:cs="Times New Roman" w:eastAsia="Times New Roman" w:hAnsi="Times New Roman"/>
          <w:sz w:val="20"/>
          <w:szCs w:val="20"/>
          <w:color w:val="auto"/>
        </w:rPr>
        <w:t xml:space="preserve">This agreement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arbitrate shall survive: (i) termination or changes in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Agreement, and the </w:t>
      </w:r>
      <w:r>
        <w:rPr>
          <w:rFonts w:ascii="Times New Roman" w:cs="Times New Roman" w:eastAsia="Times New Roman" w:hAnsi="Times New Roman"/>
          <w:sz w:val="21"/>
          <w:szCs w:val="21"/>
          <w:color w:val="auto"/>
        </w:rPr>
        <w:t>relationship</w:t>
      </w:r>
      <w:r>
        <w:rPr>
          <w:rFonts w:ascii="Times New Roman" w:cs="Times New Roman" w:eastAsia="Times New Roman" w:hAnsi="Times New Roman"/>
          <w:sz w:val="20"/>
          <w:szCs w:val="20"/>
          <w:color w:val="auto"/>
        </w:rPr>
        <w:t xml:space="preserve"> between you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FactSet concerning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Agreement;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(ii)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bankruptcy </w:t>
      </w:r>
      <w:r>
        <w:rPr>
          <w:rFonts w:ascii="Times New Roman" w:cs="Times New Roman" w:eastAsia="Times New Roman" w:hAnsi="Times New Roman"/>
          <w:sz w:val="21"/>
          <w:szCs w:val="21"/>
          <w:color w:val="auto"/>
        </w:rPr>
        <w:t>of any party or</w:t>
      </w:r>
      <w:r>
        <w:rPr>
          <w:rFonts w:ascii="Times New Roman" w:cs="Times New Roman" w:eastAsia="Times New Roman" w:hAnsi="Times New Roman"/>
          <w:sz w:val="20"/>
          <w:szCs w:val="20"/>
          <w:color w:val="auto"/>
        </w:rPr>
        <w:t xml:space="preserve"> any similar proceeding </w:t>
      </w:r>
      <w:r>
        <w:rPr>
          <w:rFonts w:ascii="Times New Roman" w:cs="Times New Roman" w:eastAsia="Times New Roman" w:hAnsi="Times New Roman"/>
          <w:sz w:val="21"/>
          <w:szCs w:val="21"/>
          <w:color w:val="auto"/>
        </w:rPr>
        <w:t>initiated</w:t>
      </w:r>
      <w:r>
        <w:rPr>
          <w:rFonts w:ascii="Times New Roman" w:cs="Times New Roman" w:eastAsia="Times New Roman" w:hAnsi="Times New Roman"/>
          <w:sz w:val="20"/>
          <w:szCs w:val="20"/>
          <w:color w:val="auto"/>
        </w:rPr>
        <w:t xml:space="preserve"> by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1"/>
          <w:szCs w:val="21"/>
          <w:color w:val="auto"/>
        </w:rPr>
        <w:t>on</w:t>
      </w:r>
      <w:r>
        <w:rPr>
          <w:rFonts w:ascii="Times New Roman" w:cs="Times New Roman" w:eastAsia="Times New Roman" w:hAnsi="Times New Roman"/>
          <w:sz w:val="20"/>
          <w:szCs w:val="20"/>
          <w:color w:val="auto"/>
        </w:rPr>
        <w:t xml:space="preserve"> your </w:t>
      </w:r>
      <w:r>
        <w:rPr>
          <w:rFonts w:ascii="Times New Roman" w:cs="Times New Roman" w:eastAsia="Times New Roman" w:hAnsi="Times New Roman"/>
          <w:sz w:val="21"/>
          <w:szCs w:val="21"/>
          <w:color w:val="auto"/>
        </w:rPr>
        <w:t>behalf.</w:t>
      </w:r>
      <w:r>
        <w:rPr>
          <w:rFonts w:ascii="Times New Roman" w:cs="Times New Roman" w:eastAsia="Times New Roman" w:hAnsi="Times New Roman"/>
          <w:sz w:val="20"/>
          <w:szCs w:val="20"/>
          <w:color w:val="auto"/>
        </w:rPr>
        <w:t xml:space="preserve"> If </w:t>
      </w:r>
      <w:r>
        <w:rPr>
          <w:rFonts w:ascii="Times New Roman" w:cs="Times New Roman" w:eastAsia="Times New Roman" w:hAnsi="Times New Roman"/>
          <w:sz w:val="21"/>
          <w:szCs w:val="21"/>
          <w:color w:val="auto"/>
        </w:rPr>
        <w:t>any</w:t>
      </w:r>
      <w:r>
        <w:rPr>
          <w:rFonts w:ascii="Times New Roman" w:cs="Times New Roman" w:eastAsia="Times New Roman" w:hAnsi="Times New Roman"/>
          <w:sz w:val="20"/>
          <w:szCs w:val="20"/>
          <w:color w:val="auto"/>
        </w:rPr>
        <w:t xml:space="preserve"> portion of this arbitration provision is </w:t>
      </w:r>
      <w:r>
        <w:rPr>
          <w:rFonts w:ascii="Times New Roman" w:cs="Times New Roman" w:eastAsia="Times New Roman" w:hAnsi="Times New Roman"/>
          <w:sz w:val="21"/>
          <w:szCs w:val="21"/>
          <w:color w:val="auto"/>
        </w:rPr>
        <w:t>deemed invalid</w:t>
      </w:r>
      <w:r>
        <w:rPr>
          <w:rFonts w:ascii="Times New Roman" w:cs="Times New Roman" w:eastAsia="Times New Roman" w:hAnsi="Times New Roman"/>
          <w:sz w:val="20"/>
          <w:szCs w:val="20"/>
          <w:color w:val="auto"/>
        </w:rPr>
        <w:t xml:space="preserve"> or unenforceable, the remaining </w:t>
      </w:r>
      <w:r>
        <w:rPr>
          <w:rFonts w:ascii="Times New Roman" w:cs="Times New Roman" w:eastAsia="Times New Roman" w:hAnsi="Times New Roman"/>
          <w:sz w:val="21"/>
          <w:szCs w:val="21"/>
          <w:color w:val="auto"/>
        </w:rPr>
        <w:t>portions shall</w:t>
      </w:r>
      <w:r>
        <w:rPr>
          <w:rFonts w:ascii="Times New Roman" w:cs="Times New Roman" w:eastAsia="Times New Roman" w:hAnsi="Times New Roman"/>
          <w:sz w:val="20"/>
          <w:szCs w:val="20"/>
          <w:color w:val="auto"/>
        </w:rPr>
        <w:t xml:space="preserve"> nevertheless remain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force.</w:t>
      </w:r>
    </w:p>
    <w:p>
      <w:pPr>
        <w:spacing w:after="0" w:line="180" w:lineRule="exact"/>
        <w:rPr>
          <w:sz w:val="20"/>
          <w:szCs w:val="20"/>
          <w:color w:val="auto"/>
        </w:rPr>
      </w:pPr>
    </w:p>
    <w:p>
      <w:pPr>
        <w:ind w:left="300" w:hanging="292"/>
        <w:spacing w:after="0"/>
        <w:tabs>
          <w:tab w:leader="none" w:pos="30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p>
    <w:p>
      <w:pPr>
        <w:spacing w:after="0" w:line="22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 xml:space="preserve">If FactSet has </w:t>
      </w:r>
      <w:r>
        <w:rPr>
          <w:rFonts w:ascii="Times New Roman" w:cs="Times New Roman" w:eastAsia="Times New Roman" w:hAnsi="Times New Roman"/>
          <w:sz w:val="21"/>
          <w:szCs w:val="21"/>
          <w:color w:val="auto"/>
        </w:rPr>
        <w:t>received</w:t>
      </w:r>
      <w:r>
        <w:rPr>
          <w:rFonts w:ascii="Times New Roman" w:cs="Times New Roman" w:eastAsia="Times New Roman" w:hAnsi="Times New Roman"/>
          <w:sz w:val="20"/>
          <w:szCs w:val="20"/>
          <w:color w:val="auto"/>
        </w:rPr>
        <w:t xml:space="preserve"> this Agreement,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any other document related to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PSUs and/or the Plan translated into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language other than English and if the meaning </w:t>
      </w:r>
      <w:r>
        <w:rPr>
          <w:rFonts w:ascii="Times New Roman" w:cs="Times New Roman" w:eastAsia="Times New Roman" w:hAnsi="Times New Roman"/>
          <w:sz w:val="21"/>
          <w:szCs w:val="21"/>
          <w:color w:val="auto"/>
        </w:rPr>
        <w:t>of the</w:t>
      </w:r>
      <w:r>
        <w:rPr>
          <w:rFonts w:ascii="Times New Roman" w:cs="Times New Roman" w:eastAsia="Times New Roman" w:hAnsi="Times New Roman"/>
          <w:sz w:val="20"/>
          <w:szCs w:val="20"/>
          <w:color w:val="auto"/>
        </w:rPr>
        <w:t xml:space="preserve"> translated version is different than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English version, </w:t>
      </w:r>
      <w:r>
        <w:rPr>
          <w:rFonts w:ascii="Times New Roman" w:cs="Times New Roman" w:eastAsia="Times New Roman" w:hAnsi="Times New Roman"/>
          <w:sz w:val="21"/>
          <w:szCs w:val="21"/>
          <w:color w:val="auto"/>
        </w:rPr>
        <w:t>the English</w:t>
      </w:r>
      <w:r>
        <w:rPr>
          <w:rFonts w:ascii="Times New Roman" w:cs="Times New Roman" w:eastAsia="Times New Roman" w:hAnsi="Times New Roman"/>
          <w:sz w:val="20"/>
          <w:szCs w:val="20"/>
          <w:color w:val="auto"/>
        </w:rPr>
        <w:t xml:space="preserve"> version will </w:t>
      </w:r>
      <w:r>
        <w:rPr>
          <w:rFonts w:ascii="Times New Roman" w:cs="Times New Roman" w:eastAsia="Times New Roman" w:hAnsi="Times New Roman"/>
          <w:sz w:val="21"/>
          <w:szCs w:val="21"/>
          <w:color w:val="auto"/>
        </w:rPr>
        <w:t>control.</w:t>
      </w:r>
      <w:r>
        <w:rPr>
          <w:rFonts w:ascii="Times New Roman" w:cs="Times New Roman" w:eastAsia="Times New Roman" w:hAnsi="Times New Roman"/>
          <w:sz w:val="20"/>
          <w:szCs w:val="20"/>
          <w:color w:val="auto"/>
        </w:rPr>
        <w:t xml:space="preserve"> You acknowledge that you </w:t>
      </w:r>
      <w:r>
        <w:rPr>
          <w:rFonts w:ascii="Times New Roman" w:cs="Times New Roman" w:eastAsia="Times New Roman" w:hAnsi="Times New Roman"/>
          <w:sz w:val="21"/>
          <w:szCs w:val="21"/>
          <w:color w:val="auto"/>
        </w:rPr>
        <w:t>are proficient</w:t>
      </w:r>
      <w:r>
        <w:rPr>
          <w:rFonts w:ascii="Times New Roman" w:cs="Times New Roman" w:eastAsia="Times New Roman" w:hAnsi="Times New Roman"/>
          <w:sz w:val="20"/>
          <w:szCs w:val="20"/>
          <w:color w:val="auto"/>
        </w:rPr>
        <w:t xml:space="preserve"> in the English language,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have consulted with an </w:t>
      </w:r>
      <w:r>
        <w:rPr>
          <w:rFonts w:ascii="Times New Roman" w:cs="Times New Roman" w:eastAsia="Times New Roman" w:hAnsi="Times New Roman"/>
          <w:sz w:val="21"/>
          <w:szCs w:val="21"/>
          <w:color w:val="auto"/>
        </w:rPr>
        <w:t>advisor</w:t>
      </w:r>
      <w:r>
        <w:rPr>
          <w:rFonts w:ascii="Times New Roman" w:cs="Times New Roman" w:eastAsia="Times New Roman" w:hAnsi="Times New Roman"/>
          <w:sz w:val="20"/>
          <w:szCs w:val="20"/>
          <w:color w:val="auto"/>
        </w:rPr>
        <w:t xml:space="preserve"> who is sufficiently </w:t>
      </w:r>
      <w:r>
        <w:rPr>
          <w:rFonts w:ascii="Times New Roman" w:cs="Times New Roman" w:eastAsia="Times New Roman" w:hAnsi="Times New Roman"/>
          <w:sz w:val="21"/>
          <w:szCs w:val="21"/>
          <w:color w:val="auto"/>
        </w:rPr>
        <w:t>proficient in</w:t>
      </w:r>
      <w:r>
        <w:rPr>
          <w:rFonts w:ascii="Times New Roman" w:cs="Times New Roman" w:eastAsia="Times New Roman" w:hAnsi="Times New Roman"/>
          <w:sz w:val="20"/>
          <w:szCs w:val="20"/>
          <w:color w:val="auto"/>
        </w:rPr>
        <w:t xml:space="preserve"> English, and, accordingly, understands the provisions of this </w:t>
      </w:r>
      <w:r>
        <w:rPr>
          <w:rFonts w:ascii="Times New Roman" w:cs="Times New Roman" w:eastAsia="Times New Roman" w:hAnsi="Times New Roman"/>
          <w:sz w:val="21"/>
          <w:szCs w:val="21"/>
          <w:color w:val="auto"/>
        </w:rPr>
        <w:t>Agreement and</w:t>
      </w:r>
      <w:r>
        <w:rPr>
          <w:rFonts w:ascii="Times New Roman" w:cs="Times New Roman" w:eastAsia="Times New Roman" w:hAnsi="Times New Roman"/>
          <w:sz w:val="20"/>
          <w:szCs w:val="20"/>
          <w:color w:val="auto"/>
        </w:rPr>
        <w:t xml:space="preserve"> the Plan.</w:t>
      </w:r>
    </w:p>
    <w:p>
      <w:pPr>
        <w:spacing w:after="0" w:line="186" w:lineRule="exact"/>
        <w:rPr>
          <w:sz w:val="20"/>
          <w:szCs w:val="20"/>
          <w:color w:val="auto"/>
        </w:rPr>
      </w:pPr>
    </w:p>
    <w:p>
      <w:pPr>
        <w:ind w:left="300" w:hanging="292"/>
        <w:spacing w:after="0"/>
        <w:tabs>
          <w:tab w:leader="none" w:pos="3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Participation</w:t>
      </w:r>
    </w:p>
    <w:p>
      <w:pPr>
        <w:spacing w:after="0" w:line="2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 xml:space="preserve">You acknowledge </w:t>
      </w:r>
      <w:r>
        <w:rPr>
          <w:rFonts w:ascii="Times New Roman" w:cs="Times New Roman" w:eastAsia="Times New Roman" w:hAnsi="Times New Roman"/>
          <w:sz w:val="21"/>
          <w:szCs w:val="21"/>
          <w:color w:val="auto"/>
        </w:rPr>
        <w:t>and agree</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Company may, </w:t>
      </w:r>
      <w:r>
        <w:rPr>
          <w:rFonts w:ascii="Times New Roman" w:cs="Times New Roman" w:eastAsia="Times New Roman" w:hAnsi="Times New Roman"/>
          <w:sz w:val="21"/>
          <w:szCs w:val="21"/>
          <w:color w:val="auto"/>
        </w:rPr>
        <w:t>in its sole discretion, deliver all documents relating to</w:t>
      </w:r>
      <w:r>
        <w:rPr>
          <w:rFonts w:ascii="Times New Roman" w:cs="Times New Roman" w:eastAsia="Times New Roman" w:hAnsi="Times New Roman"/>
          <w:sz w:val="20"/>
          <w:szCs w:val="20"/>
          <w:color w:val="auto"/>
        </w:rPr>
        <w:t xml:space="preserve"> the Company,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Plan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these </w:t>
      </w:r>
      <w:r>
        <w:rPr>
          <w:rFonts w:ascii="Times New Roman" w:cs="Times New Roman" w:eastAsia="Times New Roman" w:hAnsi="Times New Roman"/>
          <w:sz w:val="19"/>
          <w:szCs w:val="19"/>
          <w:color w:val="auto"/>
        </w:rPr>
        <w:t>PSUs by email</w:t>
      </w:r>
      <w:r>
        <w:rPr>
          <w:rFonts w:ascii="Times New Roman" w:cs="Times New Roman" w:eastAsia="Times New Roman" w:hAnsi="Times New Roman"/>
          <w:sz w:val="21"/>
          <w:szCs w:val="21"/>
          <w:color w:val="auto"/>
        </w:rPr>
        <w:t xml:space="preserve"> or other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19"/>
          <w:szCs w:val="19"/>
          <w:color w:val="auto"/>
        </w:rPr>
        <w:t>electronic transmission (including by</w:t>
      </w:r>
      <w:r>
        <w:rPr>
          <w:rFonts w:ascii="Times New Roman" w:cs="Times New Roman" w:eastAsia="Times New Roman" w:hAnsi="Times New Roman"/>
          <w:sz w:val="21"/>
          <w:szCs w:val="21"/>
          <w:color w:val="auto"/>
        </w:rPr>
        <w:t xml:space="preserve"> posting them on </w:t>
      </w:r>
      <w:r>
        <w:rPr>
          <w:rFonts w:ascii="Times New Roman" w:cs="Times New Roman" w:eastAsia="Times New Roman" w:hAnsi="Times New Roman"/>
          <w:sz w:val="19"/>
          <w:szCs w:val="19"/>
          <w:color w:val="auto"/>
        </w:rPr>
        <w:t>a website maintained by</w:t>
      </w:r>
      <w:r>
        <w:rPr>
          <w:rFonts w:ascii="Times New Roman" w:cs="Times New Roman" w:eastAsia="Times New Roman" w:hAnsi="Times New Roman"/>
          <w:sz w:val="21"/>
          <w:szCs w:val="21"/>
          <w:color w:val="auto"/>
        </w:rPr>
        <w:t xml:space="preserve"> the Company or a third party </w:t>
      </w:r>
      <w:r>
        <w:rPr>
          <w:rFonts w:ascii="Times New Roman" w:cs="Times New Roman" w:eastAsia="Times New Roman" w:hAnsi="Times New Roman"/>
          <w:sz w:val="19"/>
          <w:szCs w:val="19"/>
          <w:color w:val="auto"/>
        </w:rPr>
        <w:t>under contract with</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19"/>
          <w:szCs w:val="19"/>
          <w:color w:val="auto"/>
        </w:rPr>
        <w:t>Company). You further agree to participate</w:t>
      </w:r>
      <w:r>
        <w:rPr>
          <w:rFonts w:ascii="Times New Roman" w:cs="Times New Roman" w:eastAsia="Times New Roman" w:hAnsi="Times New Roman"/>
          <w:sz w:val="21"/>
          <w:szCs w:val="21"/>
          <w:color w:val="auto"/>
        </w:rPr>
        <w:t xml:space="preserve"> in the </w:t>
      </w:r>
      <w:r>
        <w:rPr>
          <w:rFonts w:ascii="Times New Roman" w:cs="Times New Roman" w:eastAsia="Times New Roman" w:hAnsi="Times New Roman"/>
          <w:sz w:val="19"/>
          <w:szCs w:val="19"/>
          <w:color w:val="auto"/>
        </w:rPr>
        <w:t>Plan through</w:t>
      </w:r>
      <w:r>
        <w:rPr>
          <w:rFonts w:ascii="Times New Roman" w:cs="Times New Roman" w:eastAsia="Times New Roman" w:hAnsi="Times New Roman"/>
          <w:sz w:val="21"/>
          <w:szCs w:val="21"/>
          <w:color w:val="auto"/>
        </w:rPr>
        <w:t xml:space="preserve"> an on-line </w:t>
      </w:r>
      <w:r>
        <w:rPr>
          <w:rFonts w:ascii="Times New Roman" w:cs="Times New Roman" w:eastAsia="Times New Roman" w:hAnsi="Times New Roman"/>
          <w:sz w:val="19"/>
          <w:szCs w:val="19"/>
          <w:color w:val="auto"/>
        </w:rPr>
        <w:t>or electronic system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established </w:t>
      </w:r>
      <w:r>
        <w:rPr>
          <w:rFonts w:ascii="Times New Roman" w:cs="Times New Roman" w:eastAsia="Times New Roman" w:hAnsi="Times New Roman"/>
          <w:sz w:val="21"/>
          <w:szCs w:val="21"/>
          <w:color w:val="auto"/>
        </w:rPr>
        <w:t>and</w:t>
      </w:r>
      <w:r>
        <w:rPr>
          <w:rFonts w:ascii="Times New Roman" w:cs="Times New Roman" w:eastAsia="Times New Roman" w:hAnsi="Times New Roman"/>
          <w:sz w:val="19"/>
          <w:szCs w:val="19"/>
          <w:color w:val="auto"/>
        </w:rPr>
        <w:t xml:space="preserve"> maintained </w:t>
      </w:r>
      <w:r>
        <w:rPr>
          <w:rFonts w:ascii="Times New Roman" w:cs="Times New Roman" w:eastAsia="Times New Roman" w:hAnsi="Times New Roman"/>
          <w:sz w:val="21"/>
          <w:szCs w:val="21"/>
          <w:color w:val="auto"/>
        </w:rPr>
        <w:t>by the Company</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21"/>
          <w:szCs w:val="21"/>
          <w:color w:val="auto"/>
        </w:rPr>
        <w:t>a third party designated by</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21"/>
          <w:szCs w:val="21"/>
          <w:color w:val="auto"/>
        </w:rPr>
        <w:t>Company,</w:t>
      </w:r>
      <w:r>
        <w:rPr>
          <w:rFonts w:ascii="Times New Roman" w:cs="Times New Roman" w:eastAsia="Times New Roman" w:hAnsi="Times New Roman"/>
          <w:sz w:val="19"/>
          <w:szCs w:val="19"/>
          <w:color w:val="auto"/>
        </w:rPr>
        <w:t xml:space="preserve"> and you </w:t>
      </w:r>
      <w:r>
        <w:rPr>
          <w:rFonts w:ascii="Times New Roman" w:cs="Times New Roman" w:eastAsia="Times New Roman" w:hAnsi="Times New Roman"/>
          <w:sz w:val="21"/>
          <w:szCs w:val="21"/>
          <w:color w:val="auto"/>
        </w:rPr>
        <w:t>acknowledge</w:t>
      </w:r>
      <w:r>
        <w:rPr>
          <w:rFonts w:ascii="Times New Roman" w:cs="Times New Roman" w:eastAsia="Times New Roman" w:hAnsi="Times New Roman"/>
          <w:sz w:val="19"/>
          <w:szCs w:val="19"/>
          <w:color w:val="auto"/>
        </w:rPr>
        <w:t xml:space="preserve"> that acceptance </w:t>
      </w:r>
      <w:r>
        <w:rPr>
          <w:rFonts w:ascii="Times New Roman" w:cs="Times New Roman" w:eastAsia="Times New Roman" w:hAnsi="Times New Roman"/>
          <w:sz w:val="21"/>
          <w:szCs w:val="21"/>
          <w:color w:val="auto"/>
        </w:rPr>
        <w:t>of this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Agreement via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1"/>
          <w:szCs w:val="21"/>
          <w:color w:val="auto"/>
        </w:rPr>
        <w:t xml:space="preserve"> Company’s online </w:t>
      </w:r>
      <w:r>
        <w:rPr>
          <w:rFonts w:ascii="Times New Roman" w:cs="Times New Roman" w:eastAsia="Times New Roman" w:hAnsi="Times New Roman"/>
          <w:sz w:val="19"/>
          <w:szCs w:val="19"/>
          <w:color w:val="auto"/>
        </w:rPr>
        <w:t>acceptance procedure shall have</w:t>
      </w:r>
      <w:r>
        <w:rPr>
          <w:rFonts w:ascii="Times New Roman" w:cs="Times New Roman" w:eastAsia="Times New Roman" w:hAnsi="Times New Roman"/>
          <w:sz w:val="21"/>
          <w:szCs w:val="21"/>
          <w:color w:val="auto"/>
        </w:rPr>
        <w:t xml:space="preserve"> the same force </w:t>
      </w:r>
      <w:r>
        <w:rPr>
          <w:rFonts w:ascii="Times New Roman" w:cs="Times New Roman" w:eastAsia="Times New Roman" w:hAnsi="Times New Roman"/>
          <w:sz w:val="19"/>
          <w:szCs w:val="19"/>
          <w:color w:val="auto"/>
        </w:rPr>
        <w:t>and effect</w:t>
      </w:r>
      <w:r>
        <w:rPr>
          <w:rFonts w:ascii="Times New Roman" w:cs="Times New Roman" w:eastAsia="Times New Roman" w:hAnsi="Times New Roman"/>
          <w:sz w:val="21"/>
          <w:szCs w:val="21"/>
          <w:color w:val="auto"/>
        </w:rPr>
        <w:t xml:space="preserve"> as </w:t>
      </w:r>
      <w:r>
        <w:rPr>
          <w:rFonts w:ascii="Times New Roman" w:cs="Times New Roman" w:eastAsia="Times New Roman" w:hAnsi="Times New Roman"/>
          <w:sz w:val="19"/>
          <w:szCs w:val="19"/>
          <w:color w:val="auto"/>
        </w:rPr>
        <w:t>if accepted</w:t>
      </w:r>
      <w:r>
        <w:rPr>
          <w:rFonts w:ascii="Times New Roman" w:cs="Times New Roman" w:eastAsia="Times New Roman" w:hAnsi="Times New Roman"/>
          <w:sz w:val="21"/>
          <w:szCs w:val="21"/>
          <w:color w:val="auto"/>
        </w:rPr>
        <w:t xml:space="preserve"> in hard </w:t>
      </w:r>
      <w:r>
        <w:rPr>
          <w:rFonts w:ascii="Times New Roman" w:cs="Times New Roman" w:eastAsia="Times New Roman" w:hAnsi="Times New Roman"/>
          <w:sz w:val="19"/>
          <w:szCs w:val="19"/>
          <w:color w:val="auto"/>
        </w:rPr>
        <w:t>copy</w:t>
      </w:r>
      <w:r>
        <w:rPr>
          <w:rFonts w:ascii="Times New Roman" w:cs="Times New Roman" w:eastAsia="Times New Roman" w:hAnsi="Times New Roman"/>
          <w:sz w:val="21"/>
          <w:szCs w:val="21"/>
          <w:color w:val="auto"/>
        </w:rPr>
        <w:t xml:space="preserve"> form.</w:t>
      </w:r>
    </w:p>
    <w:p>
      <w:pPr>
        <w:spacing w:after="0" w:line="188" w:lineRule="exact"/>
        <w:rPr>
          <w:sz w:val="20"/>
          <w:szCs w:val="20"/>
          <w:color w:val="auto"/>
        </w:rPr>
      </w:pPr>
    </w:p>
    <w:p>
      <w:pPr>
        <w:ind w:left="300" w:hanging="292"/>
        <w:spacing w:after="0"/>
        <w:tabs>
          <w:tab w:leader="none" w:pos="30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If one or </w:t>
      </w:r>
      <w:r>
        <w:rPr>
          <w:rFonts w:ascii="Times New Roman" w:cs="Times New Roman" w:eastAsia="Times New Roman" w:hAnsi="Times New Roman"/>
          <w:sz w:val="21"/>
          <w:szCs w:val="21"/>
          <w:color w:val="auto"/>
        </w:rPr>
        <w:t>more</w:t>
      </w:r>
      <w:r>
        <w:rPr>
          <w:rFonts w:ascii="Times New Roman" w:cs="Times New Roman" w:eastAsia="Times New Roman" w:hAnsi="Times New Roman"/>
          <w:sz w:val="20"/>
          <w:szCs w:val="20"/>
          <w:color w:val="auto"/>
        </w:rPr>
        <w:t xml:space="preserve"> provisions </w:t>
      </w:r>
      <w:r>
        <w:rPr>
          <w:rFonts w:ascii="Times New Roman" w:cs="Times New Roman" w:eastAsia="Times New Roman" w:hAnsi="Times New Roman"/>
          <w:sz w:val="21"/>
          <w:szCs w:val="21"/>
          <w:color w:val="auto"/>
        </w:rPr>
        <w:t>of this Agreement are</w:t>
      </w:r>
      <w:r>
        <w:rPr>
          <w:rFonts w:ascii="Times New Roman" w:cs="Times New Roman" w:eastAsia="Times New Roman" w:hAnsi="Times New Roman"/>
          <w:sz w:val="20"/>
          <w:szCs w:val="20"/>
          <w:color w:val="auto"/>
        </w:rPr>
        <w:t xml:space="preserve"> held to </w:t>
      </w:r>
      <w:r>
        <w:rPr>
          <w:rFonts w:ascii="Times New Roman" w:cs="Times New Roman" w:eastAsia="Times New Roman" w:hAnsi="Times New Roman"/>
          <w:sz w:val="21"/>
          <w:szCs w:val="21"/>
          <w:color w:val="auto"/>
        </w:rPr>
        <w:t>be</w:t>
      </w:r>
      <w:r>
        <w:rPr>
          <w:rFonts w:ascii="Times New Roman" w:cs="Times New Roman" w:eastAsia="Times New Roman" w:hAnsi="Times New Roman"/>
          <w:sz w:val="20"/>
          <w:szCs w:val="20"/>
          <w:color w:val="auto"/>
        </w:rPr>
        <w:t xml:space="preserve"> unenforceable under applicable </w:t>
      </w:r>
      <w:r>
        <w:rPr>
          <w:rFonts w:ascii="Times New Roman" w:cs="Times New Roman" w:eastAsia="Times New Roman" w:hAnsi="Times New Roman"/>
          <w:sz w:val="21"/>
          <w:szCs w:val="21"/>
          <w:color w:val="auto"/>
        </w:rPr>
        <w:t>laws, then</w:t>
      </w:r>
    </w:p>
    <w:p>
      <w:pPr>
        <w:spacing w:after="0" w:line="231" w:lineRule="exact"/>
        <w:rPr>
          <w:sz w:val="20"/>
          <w:szCs w:val="20"/>
          <w:color w:val="auto"/>
        </w:rPr>
      </w:pPr>
    </w:p>
    <w:p>
      <w:pPr>
        <w:ind w:right="740" w:firstLine="8"/>
        <w:spacing w:after="0" w:line="282" w:lineRule="auto"/>
        <w:tabs>
          <w:tab w:leader="none" w:pos="26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provision(s) </w:t>
      </w:r>
      <w:r>
        <w:rPr>
          <w:rFonts w:ascii="Times New Roman" w:cs="Times New Roman" w:eastAsia="Times New Roman" w:hAnsi="Times New Roman"/>
          <w:sz w:val="21"/>
          <w:szCs w:val="21"/>
          <w:color w:val="auto"/>
        </w:rPr>
        <w:t>will be</w:t>
      </w:r>
      <w:r>
        <w:rPr>
          <w:rFonts w:ascii="Times New Roman" w:cs="Times New Roman" w:eastAsia="Times New Roman" w:hAnsi="Times New Roman"/>
          <w:sz w:val="20"/>
          <w:szCs w:val="20"/>
          <w:color w:val="auto"/>
        </w:rPr>
        <w:t xml:space="preserve"> excluded from such this Agreement, (b)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balance </w:t>
      </w:r>
      <w:r>
        <w:rPr>
          <w:rFonts w:ascii="Times New Roman" w:cs="Times New Roman" w:eastAsia="Times New Roman" w:hAnsi="Times New Roman"/>
          <w:sz w:val="21"/>
          <w:szCs w:val="21"/>
          <w:color w:val="auto"/>
        </w:rPr>
        <w:t>of this Agreement will</w:t>
      </w:r>
      <w:r>
        <w:rPr>
          <w:rFonts w:ascii="Times New Roman" w:cs="Times New Roman" w:eastAsia="Times New Roman" w:hAnsi="Times New Roman"/>
          <w:sz w:val="20"/>
          <w:szCs w:val="20"/>
          <w:color w:val="auto"/>
        </w:rPr>
        <w:t xml:space="preserve"> be interpreted </w:t>
      </w:r>
      <w:r>
        <w:rPr>
          <w:rFonts w:ascii="Times New Roman" w:cs="Times New Roman" w:eastAsia="Times New Roman" w:hAnsi="Times New Roman"/>
          <w:sz w:val="21"/>
          <w:szCs w:val="21"/>
          <w:color w:val="auto"/>
        </w:rPr>
        <w:t>as if such</w:t>
      </w:r>
      <w:r>
        <w:rPr>
          <w:rFonts w:ascii="Times New Roman" w:cs="Times New Roman" w:eastAsia="Times New Roman" w:hAnsi="Times New Roman"/>
          <w:sz w:val="20"/>
          <w:szCs w:val="20"/>
          <w:color w:val="auto"/>
        </w:rPr>
        <w:t xml:space="preserve"> provision were </w:t>
      </w:r>
      <w:r>
        <w:rPr>
          <w:rFonts w:ascii="Times New Roman" w:cs="Times New Roman" w:eastAsia="Times New Roman" w:hAnsi="Times New Roman"/>
          <w:sz w:val="21"/>
          <w:szCs w:val="21"/>
          <w:color w:val="auto"/>
        </w:rPr>
        <w:t>so excluded,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1"/>
          <w:szCs w:val="21"/>
          <w:color w:val="auto"/>
        </w:rPr>
        <w:t>(c) the</w:t>
      </w:r>
      <w:r>
        <w:rPr>
          <w:rFonts w:ascii="Times New Roman" w:cs="Times New Roman" w:eastAsia="Times New Roman" w:hAnsi="Times New Roman"/>
          <w:sz w:val="20"/>
          <w:szCs w:val="20"/>
          <w:color w:val="auto"/>
        </w:rPr>
        <w:t xml:space="preserve"> balance of this Agreement will </w:t>
      </w:r>
      <w:r>
        <w:rPr>
          <w:rFonts w:ascii="Times New Roman" w:cs="Times New Roman" w:eastAsia="Times New Roman" w:hAnsi="Times New Roman"/>
          <w:sz w:val="21"/>
          <w:szCs w:val="21"/>
          <w:color w:val="auto"/>
        </w:rPr>
        <w:t>be</w:t>
      </w:r>
      <w:r>
        <w:rPr>
          <w:rFonts w:ascii="Times New Roman" w:cs="Times New Roman" w:eastAsia="Times New Roman" w:hAnsi="Times New Roman"/>
          <w:sz w:val="20"/>
          <w:szCs w:val="20"/>
          <w:color w:val="auto"/>
        </w:rPr>
        <w:t xml:space="preserve"> enforceable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accordance </w:t>
      </w:r>
      <w:r>
        <w:rPr>
          <w:rFonts w:ascii="Times New Roman" w:cs="Times New Roman" w:eastAsia="Times New Roman" w:hAnsi="Times New Roman"/>
          <w:sz w:val="21"/>
          <w:szCs w:val="21"/>
          <w:color w:val="auto"/>
        </w:rPr>
        <w:t>with its</w:t>
      </w:r>
      <w:r>
        <w:rPr>
          <w:rFonts w:ascii="Times New Roman" w:cs="Times New Roman" w:eastAsia="Times New Roman" w:hAnsi="Times New Roman"/>
          <w:sz w:val="20"/>
          <w:szCs w:val="20"/>
          <w:color w:val="auto"/>
        </w:rPr>
        <w:t xml:space="preserve"> terms.</w:t>
      </w:r>
    </w:p>
    <w:p>
      <w:pPr>
        <w:spacing w:after="0" w:line="166" w:lineRule="exact"/>
        <w:rPr>
          <w:sz w:val="20"/>
          <w:szCs w:val="20"/>
          <w:color w:val="auto"/>
        </w:rPr>
      </w:pPr>
    </w:p>
    <w:p>
      <w:pPr>
        <w:ind w:left="300" w:hanging="292"/>
        <w:spacing w:after="0"/>
        <w:tabs>
          <w:tab w:leader="none" w:pos="30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p>
    <w:p>
      <w:pPr>
        <w:spacing w:after="0" w:line="224"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20"/>
          <w:szCs w:val="20"/>
          <w:color w:val="auto"/>
        </w:rPr>
        <w:t xml:space="preserve">The Company reserves the </w:t>
      </w:r>
      <w:r>
        <w:rPr>
          <w:rFonts w:ascii="Times New Roman" w:cs="Times New Roman" w:eastAsia="Times New Roman" w:hAnsi="Times New Roman"/>
          <w:sz w:val="21"/>
          <w:szCs w:val="21"/>
          <w:color w:val="auto"/>
        </w:rPr>
        <w:t>right</w:t>
      </w:r>
      <w:r>
        <w:rPr>
          <w:rFonts w:ascii="Times New Roman" w:cs="Times New Roman" w:eastAsia="Times New Roman" w:hAnsi="Times New Roman"/>
          <w:sz w:val="20"/>
          <w:szCs w:val="20"/>
          <w:color w:val="auto"/>
        </w:rPr>
        <w:t xml:space="preserve"> to impose </w:t>
      </w:r>
      <w:r>
        <w:rPr>
          <w:rFonts w:ascii="Times New Roman" w:cs="Times New Roman" w:eastAsia="Times New Roman" w:hAnsi="Times New Roman"/>
          <w:sz w:val="21"/>
          <w:szCs w:val="21"/>
          <w:color w:val="auto"/>
        </w:rPr>
        <w:t>other</w:t>
      </w:r>
      <w:r>
        <w:rPr>
          <w:rFonts w:ascii="Times New Roman" w:cs="Times New Roman" w:eastAsia="Times New Roman" w:hAnsi="Times New Roman"/>
          <w:sz w:val="20"/>
          <w:szCs w:val="20"/>
          <w:color w:val="auto"/>
        </w:rPr>
        <w:t xml:space="preserve"> requirements </w:t>
      </w:r>
      <w:r>
        <w:rPr>
          <w:rFonts w:ascii="Times New Roman" w:cs="Times New Roman" w:eastAsia="Times New Roman" w:hAnsi="Times New Roman"/>
          <w:sz w:val="21"/>
          <w:szCs w:val="21"/>
          <w:color w:val="auto"/>
        </w:rPr>
        <w:t>on</w:t>
      </w:r>
      <w:r>
        <w:rPr>
          <w:rFonts w:ascii="Times New Roman" w:cs="Times New Roman" w:eastAsia="Times New Roman" w:hAnsi="Times New Roman"/>
          <w:sz w:val="20"/>
          <w:szCs w:val="20"/>
          <w:color w:val="auto"/>
        </w:rPr>
        <w:t xml:space="preserve"> your </w:t>
      </w:r>
      <w:r>
        <w:rPr>
          <w:rFonts w:ascii="Times New Roman" w:cs="Times New Roman" w:eastAsia="Times New Roman" w:hAnsi="Times New Roman"/>
          <w:sz w:val="21"/>
          <w:szCs w:val="21"/>
          <w:color w:val="auto"/>
        </w:rPr>
        <w:t>participation in the</w:t>
      </w:r>
      <w:r>
        <w:rPr>
          <w:rFonts w:ascii="Times New Roman" w:cs="Times New Roman" w:eastAsia="Times New Roman" w:hAnsi="Times New Roman"/>
          <w:sz w:val="20"/>
          <w:szCs w:val="20"/>
          <w:color w:val="auto"/>
        </w:rPr>
        <w:t xml:space="preserve"> Plan, on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PSUs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on any Shares acquired under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Plan,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the extent </w:t>
      </w:r>
      <w:r>
        <w:rPr>
          <w:rFonts w:ascii="Times New Roman" w:cs="Times New Roman" w:eastAsia="Times New Roman" w:hAnsi="Times New Roman"/>
          <w:sz w:val="21"/>
          <w:szCs w:val="21"/>
          <w:color w:val="auto"/>
        </w:rPr>
        <w:t>the Company</w:t>
      </w:r>
      <w:r>
        <w:rPr>
          <w:rFonts w:ascii="Times New Roman" w:cs="Times New Roman" w:eastAsia="Times New Roman" w:hAnsi="Times New Roman"/>
          <w:sz w:val="20"/>
          <w:szCs w:val="20"/>
          <w:color w:val="auto"/>
        </w:rPr>
        <w:t xml:space="preserve"> determines </w:t>
      </w:r>
      <w:r>
        <w:rPr>
          <w:rFonts w:ascii="Times New Roman" w:cs="Times New Roman" w:eastAsia="Times New Roman" w:hAnsi="Times New Roman"/>
          <w:sz w:val="21"/>
          <w:szCs w:val="21"/>
          <w:color w:val="auto"/>
        </w:rPr>
        <w:t>it</w:t>
      </w:r>
      <w:r>
        <w:rPr>
          <w:rFonts w:ascii="Times New Roman" w:cs="Times New Roman" w:eastAsia="Times New Roman" w:hAnsi="Times New Roman"/>
          <w:sz w:val="20"/>
          <w:szCs w:val="20"/>
          <w:color w:val="auto"/>
        </w:rPr>
        <w:t xml:space="preserve"> is necessary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advisable for </w:t>
      </w:r>
      <w:r>
        <w:rPr>
          <w:rFonts w:ascii="Times New Roman" w:cs="Times New Roman" w:eastAsia="Times New Roman" w:hAnsi="Times New Roman"/>
          <w:sz w:val="21"/>
          <w:szCs w:val="21"/>
          <w:color w:val="auto"/>
        </w:rPr>
        <w:t>legal</w:t>
      </w:r>
      <w:r>
        <w:rPr>
          <w:rFonts w:ascii="Times New Roman" w:cs="Times New Roman" w:eastAsia="Times New Roman" w:hAnsi="Times New Roman"/>
          <w:sz w:val="20"/>
          <w:szCs w:val="20"/>
          <w:color w:val="auto"/>
        </w:rPr>
        <w:t xml:space="preserve"> or administrative reasons, and to require </w:t>
      </w:r>
      <w:r>
        <w:rPr>
          <w:rFonts w:ascii="Times New Roman" w:cs="Times New Roman" w:eastAsia="Times New Roman" w:hAnsi="Times New Roman"/>
          <w:sz w:val="21"/>
          <w:szCs w:val="21"/>
          <w:color w:val="auto"/>
        </w:rPr>
        <w:t>you to</w:t>
      </w:r>
      <w:r>
        <w:rPr>
          <w:rFonts w:ascii="Times New Roman" w:cs="Times New Roman" w:eastAsia="Times New Roman" w:hAnsi="Times New Roman"/>
          <w:sz w:val="20"/>
          <w:szCs w:val="20"/>
          <w:color w:val="auto"/>
        </w:rPr>
        <w:t xml:space="preserve"> sign </w:t>
      </w:r>
      <w:r>
        <w:rPr>
          <w:rFonts w:ascii="Times New Roman" w:cs="Times New Roman" w:eastAsia="Times New Roman" w:hAnsi="Times New Roman"/>
          <w:sz w:val="21"/>
          <w:szCs w:val="21"/>
          <w:color w:val="auto"/>
        </w:rPr>
        <w:t>any additional</w:t>
      </w:r>
      <w:r>
        <w:rPr>
          <w:rFonts w:ascii="Times New Roman" w:cs="Times New Roman" w:eastAsia="Times New Roman" w:hAnsi="Times New Roman"/>
          <w:sz w:val="20"/>
          <w:szCs w:val="20"/>
          <w:color w:val="auto"/>
        </w:rPr>
        <w:t xml:space="preserve"> agreements </w:t>
      </w:r>
      <w:r>
        <w:rPr>
          <w:rFonts w:ascii="Times New Roman" w:cs="Times New Roman" w:eastAsia="Times New Roman" w:hAnsi="Times New Roman"/>
          <w:sz w:val="21"/>
          <w:szCs w:val="21"/>
          <w:color w:val="auto"/>
        </w:rPr>
        <w:t>or</w:t>
      </w:r>
      <w:r>
        <w:rPr>
          <w:rFonts w:ascii="Times New Roman" w:cs="Times New Roman" w:eastAsia="Times New Roman" w:hAnsi="Times New Roman"/>
          <w:sz w:val="20"/>
          <w:szCs w:val="20"/>
          <w:color w:val="auto"/>
        </w:rPr>
        <w:t xml:space="preserve"> undertakings that </w:t>
      </w:r>
      <w:r>
        <w:rPr>
          <w:rFonts w:ascii="Times New Roman" w:cs="Times New Roman" w:eastAsia="Times New Roman" w:hAnsi="Times New Roman"/>
          <w:sz w:val="21"/>
          <w:szCs w:val="21"/>
          <w:color w:val="auto"/>
        </w:rPr>
        <w:t>may be</w:t>
      </w:r>
      <w:r>
        <w:rPr>
          <w:rFonts w:ascii="Times New Roman" w:cs="Times New Roman" w:eastAsia="Times New Roman" w:hAnsi="Times New Roman"/>
          <w:sz w:val="20"/>
          <w:szCs w:val="20"/>
          <w:color w:val="auto"/>
        </w:rPr>
        <w:t xml:space="preserve"> necessary to accomplish the foregoing.</w:t>
      </w:r>
    </w:p>
    <w:p>
      <w:pPr>
        <w:spacing w:after="0" w:line="200" w:lineRule="exact"/>
        <w:rPr>
          <w:sz w:val="20"/>
          <w:szCs w:val="20"/>
          <w:color w:val="auto"/>
        </w:rPr>
      </w:pPr>
    </w:p>
    <w:p>
      <w:pPr>
        <w:spacing w:after="0" w:line="223" w:lineRule="exact"/>
        <w:rPr>
          <w:sz w:val="20"/>
          <w:szCs w:val="20"/>
          <w:color w:val="auto"/>
        </w:rPr>
      </w:pPr>
    </w:p>
    <w:p>
      <w:pPr>
        <w:ind w:left="300" w:hanging="292"/>
        <w:spacing w:after="0"/>
        <w:tabs>
          <w:tab w:leader="none" w:pos="3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Control, Foreign Asset/Account and/or Tax Reporting</w:t>
      </w:r>
    </w:p>
    <w:p>
      <w:pPr>
        <w:sectPr>
          <w:pgSz w:w="11900" w:h="16838" w:orient="portrait"/>
          <w:cols w:equalWidth="0" w:num="1">
            <w:col w:w="11240"/>
          </w:cols>
          <w:pgMar w:left="320" w:top="11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 xml:space="preserve">There may </w:t>
      </w:r>
      <w:r>
        <w:rPr>
          <w:rFonts w:ascii="Times New Roman" w:cs="Times New Roman" w:eastAsia="Times New Roman" w:hAnsi="Times New Roman"/>
          <w:sz w:val="21"/>
          <w:szCs w:val="21"/>
          <w:color w:val="auto"/>
        </w:rPr>
        <w:t>be certain</w:t>
      </w:r>
      <w:r>
        <w:rPr>
          <w:rFonts w:ascii="Times New Roman" w:cs="Times New Roman" w:eastAsia="Times New Roman" w:hAnsi="Times New Roman"/>
          <w:sz w:val="20"/>
          <w:szCs w:val="20"/>
          <w:color w:val="auto"/>
        </w:rPr>
        <w:t xml:space="preserve"> exchange control, </w:t>
      </w:r>
      <w:r>
        <w:rPr>
          <w:rFonts w:ascii="Times New Roman" w:cs="Times New Roman" w:eastAsia="Times New Roman" w:hAnsi="Times New Roman"/>
          <w:sz w:val="21"/>
          <w:szCs w:val="21"/>
          <w:color w:val="auto"/>
        </w:rPr>
        <w:t>tax,</w:t>
      </w:r>
      <w:r>
        <w:rPr>
          <w:rFonts w:ascii="Times New Roman" w:cs="Times New Roman" w:eastAsia="Times New Roman" w:hAnsi="Times New Roman"/>
          <w:sz w:val="20"/>
          <w:szCs w:val="20"/>
          <w:color w:val="auto"/>
        </w:rPr>
        <w:t xml:space="preserve"> and/or foreign asset/account </w:t>
      </w:r>
      <w:r>
        <w:rPr>
          <w:rFonts w:ascii="Times New Roman" w:cs="Times New Roman" w:eastAsia="Times New Roman" w:hAnsi="Times New Roman"/>
          <w:sz w:val="21"/>
          <w:szCs w:val="21"/>
          <w:color w:val="auto"/>
        </w:rPr>
        <w:t>reporting</w:t>
      </w:r>
      <w:r>
        <w:rPr>
          <w:rFonts w:ascii="Times New Roman" w:cs="Times New Roman" w:eastAsia="Times New Roman" w:hAnsi="Times New Roman"/>
          <w:sz w:val="20"/>
          <w:szCs w:val="20"/>
          <w:color w:val="auto"/>
        </w:rPr>
        <w:t xml:space="preserve"> requirements which </w:t>
      </w:r>
      <w:r>
        <w:rPr>
          <w:rFonts w:ascii="Times New Roman" w:cs="Times New Roman" w:eastAsia="Times New Roman" w:hAnsi="Times New Roman"/>
          <w:sz w:val="21"/>
          <w:szCs w:val="21"/>
          <w:color w:val="auto"/>
        </w:rPr>
        <w:t>may</w:t>
      </w:r>
      <w:r>
        <w:rPr>
          <w:rFonts w:ascii="Times New Roman" w:cs="Times New Roman" w:eastAsia="Times New Roman" w:hAnsi="Times New Roman"/>
          <w:sz w:val="20"/>
          <w:szCs w:val="20"/>
          <w:color w:val="auto"/>
        </w:rPr>
        <w:t xml:space="preserve"> affect your ability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acquire or hold Shares or cash received from </w:t>
      </w:r>
      <w:r>
        <w:rPr>
          <w:rFonts w:ascii="Times New Roman" w:cs="Times New Roman" w:eastAsia="Times New Roman" w:hAnsi="Times New Roman"/>
          <w:sz w:val="21"/>
          <w:szCs w:val="21"/>
          <w:color w:val="auto"/>
        </w:rPr>
        <w:t>participating in the</w:t>
      </w:r>
      <w:r>
        <w:rPr>
          <w:rFonts w:ascii="Times New Roman" w:cs="Times New Roman" w:eastAsia="Times New Roman" w:hAnsi="Times New Roman"/>
          <w:sz w:val="20"/>
          <w:szCs w:val="20"/>
          <w:color w:val="auto"/>
        </w:rPr>
        <w:t xml:space="preserve"> Plan </w:t>
      </w:r>
      <w:r>
        <w:rPr>
          <w:rFonts w:ascii="Times New Roman" w:cs="Times New Roman" w:eastAsia="Times New Roman" w:hAnsi="Times New Roman"/>
          <w:sz w:val="21"/>
          <w:szCs w:val="21"/>
          <w:color w:val="auto"/>
        </w:rPr>
        <w:t>(including the</w:t>
      </w:r>
      <w:r>
        <w:rPr>
          <w:rFonts w:ascii="Times New Roman" w:cs="Times New Roman" w:eastAsia="Times New Roman" w:hAnsi="Times New Roman"/>
          <w:sz w:val="20"/>
          <w:szCs w:val="20"/>
          <w:color w:val="auto"/>
        </w:rPr>
        <w:t xml:space="preserve"> proceeds </w:t>
      </w:r>
      <w:r>
        <w:rPr>
          <w:rFonts w:ascii="Times New Roman" w:cs="Times New Roman" w:eastAsia="Times New Roman" w:hAnsi="Times New Roman"/>
          <w:sz w:val="21"/>
          <w:szCs w:val="21"/>
          <w:color w:val="auto"/>
        </w:rPr>
        <w:t>from</w:t>
      </w:r>
      <w:r>
        <w:rPr>
          <w:rFonts w:ascii="Times New Roman" w:cs="Times New Roman" w:eastAsia="Times New Roman" w:hAnsi="Times New Roman"/>
          <w:sz w:val="20"/>
          <w:szCs w:val="20"/>
          <w:color w:val="auto"/>
        </w:rPr>
        <w:t xml:space="preserve"> the sale of Shares and the receipt </w:t>
      </w:r>
      <w:r>
        <w:rPr>
          <w:rFonts w:ascii="Times New Roman" w:cs="Times New Roman" w:eastAsia="Times New Roman" w:hAnsi="Times New Roman"/>
          <w:sz w:val="21"/>
          <w:szCs w:val="21"/>
          <w:color w:val="auto"/>
        </w:rPr>
        <w:t>of any</w:t>
      </w:r>
      <w:r>
        <w:rPr>
          <w:rFonts w:ascii="Times New Roman" w:cs="Times New Roman" w:eastAsia="Times New Roman" w:hAnsi="Times New Roman"/>
          <w:sz w:val="20"/>
          <w:szCs w:val="20"/>
          <w:color w:val="auto"/>
        </w:rPr>
        <w:t xml:space="preserve"> dividends paid </w:t>
      </w:r>
      <w:r>
        <w:rPr>
          <w:rFonts w:ascii="Times New Roman" w:cs="Times New Roman" w:eastAsia="Times New Roman" w:hAnsi="Times New Roman"/>
          <w:sz w:val="21"/>
          <w:szCs w:val="21"/>
          <w:color w:val="auto"/>
        </w:rPr>
        <w:t>on Shares)</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brokerage or bank account outside of your country. You </w:t>
      </w:r>
      <w:r>
        <w:rPr>
          <w:rFonts w:ascii="Times New Roman" w:cs="Times New Roman" w:eastAsia="Times New Roman" w:hAnsi="Times New Roman"/>
          <w:sz w:val="21"/>
          <w:szCs w:val="21"/>
          <w:color w:val="auto"/>
        </w:rPr>
        <w:t>may be required</w:t>
      </w:r>
      <w:r>
        <w:rPr>
          <w:rFonts w:ascii="Times New Roman" w:cs="Times New Roman" w:eastAsia="Times New Roman" w:hAnsi="Times New Roman"/>
          <w:sz w:val="20"/>
          <w:szCs w:val="20"/>
          <w:color w:val="auto"/>
        </w:rPr>
        <w:t xml:space="preserve"> to report such accounts, assets or </w:t>
      </w:r>
      <w:r>
        <w:rPr>
          <w:rFonts w:ascii="Times New Roman" w:cs="Times New Roman" w:eastAsia="Times New Roman" w:hAnsi="Times New Roman"/>
          <w:sz w:val="21"/>
          <w:szCs w:val="21"/>
          <w:color w:val="auto"/>
        </w:rPr>
        <w:t xml:space="preserve">related </w:t>
      </w:r>
      <w:r>
        <w:rPr>
          <w:rFonts w:ascii="Times New Roman" w:cs="Times New Roman" w:eastAsia="Times New Roman" w:hAnsi="Times New Roman"/>
          <w:sz w:val="19"/>
          <w:szCs w:val="19"/>
          <w:color w:val="auto"/>
        </w:rPr>
        <w:t>transactions</w:t>
      </w:r>
      <w:r>
        <w:rPr>
          <w:rFonts w:ascii="Times New Roman" w:cs="Times New Roman" w:eastAsia="Times New Roman" w:hAnsi="Times New Roman"/>
          <w:sz w:val="21"/>
          <w:szCs w:val="21"/>
          <w:color w:val="auto"/>
        </w:rPr>
        <w:t xml:space="preserve"> to the tax or other </w:t>
      </w:r>
      <w:r>
        <w:rPr>
          <w:rFonts w:ascii="Times New Roman" w:cs="Times New Roman" w:eastAsia="Times New Roman" w:hAnsi="Times New Roman"/>
          <w:sz w:val="19"/>
          <w:szCs w:val="19"/>
          <w:color w:val="auto"/>
        </w:rPr>
        <w:t>authorities</w:t>
      </w:r>
      <w:r>
        <w:rPr>
          <w:rFonts w:ascii="Times New Roman" w:cs="Times New Roman" w:eastAsia="Times New Roman" w:hAnsi="Times New Roman"/>
          <w:sz w:val="21"/>
          <w:szCs w:val="21"/>
          <w:color w:val="auto"/>
        </w:rPr>
        <w:t xml:space="preserve"> in </w:t>
      </w:r>
      <w:r>
        <w:rPr>
          <w:rFonts w:ascii="Times New Roman" w:cs="Times New Roman" w:eastAsia="Times New Roman" w:hAnsi="Times New Roman"/>
          <w:sz w:val="19"/>
          <w:szCs w:val="19"/>
          <w:color w:val="auto"/>
        </w:rPr>
        <w:t>your country.</w:t>
      </w:r>
      <w:r>
        <w:rPr>
          <w:rFonts w:ascii="Times New Roman" w:cs="Times New Roman" w:eastAsia="Times New Roman" w:hAnsi="Times New Roman"/>
          <w:sz w:val="21"/>
          <w:szCs w:val="21"/>
          <w:color w:val="auto"/>
        </w:rPr>
        <w:t xml:space="preserve"> You </w:t>
      </w:r>
      <w:r>
        <w:rPr>
          <w:rFonts w:ascii="Times New Roman" w:cs="Times New Roman" w:eastAsia="Times New Roman" w:hAnsi="Times New Roman"/>
          <w:sz w:val="19"/>
          <w:szCs w:val="19"/>
          <w:color w:val="auto"/>
        </w:rPr>
        <w:t>may</w:t>
      </w:r>
      <w:r>
        <w:rPr>
          <w:rFonts w:ascii="Times New Roman" w:cs="Times New Roman" w:eastAsia="Times New Roman" w:hAnsi="Times New Roman"/>
          <w:sz w:val="21"/>
          <w:szCs w:val="21"/>
          <w:color w:val="auto"/>
        </w:rPr>
        <w:t xml:space="preserve"> also be </w:t>
      </w:r>
      <w:r>
        <w:rPr>
          <w:rFonts w:ascii="Times New Roman" w:cs="Times New Roman" w:eastAsia="Times New Roman" w:hAnsi="Times New Roman"/>
          <w:sz w:val="19"/>
          <w:szCs w:val="19"/>
          <w:color w:val="auto"/>
        </w:rPr>
        <w:t>required</w:t>
      </w:r>
      <w:r>
        <w:rPr>
          <w:rFonts w:ascii="Times New Roman" w:cs="Times New Roman" w:eastAsia="Times New Roman" w:hAnsi="Times New Roman"/>
          <w:sz w:val="21"/>
          <w:szCs w:val="21"/>
          <w:color w:val="auto"/>
        </w:rPr>
        <w:t xml:space="preserve"> to repatriate </w:t>
      </w:r>
      <w:r>
        <w:rPr>
          <w:rFonts w:ascii="Times New Roman" w:cs="Times New Roman" w:eastAsia="Times New Roman" w:hAnsi="Times New Roman"/>
          <w:sz w:val="19"/>
          <w:szCs w:val="19"/>
          <w:color w:val="auto"/>
        </w:rPr>
        <w:t>sale proceeds</w:t>
      </w:r>
      <w:r>
        <w:rPr>
          <w:rFonts w:ascii="Times New Roman" w:cs="Times New Roman" w:eastAsia="Times New Roman" w:hAnsi="Times New Roman"/>
          <w:sz w:val="21"/>
          <w:szCs w:val="21"/>
          <w:color w:val="auto"/>
        </w:rPr>
        <w:t xml:space="preserve"> or other </w:t>
      </w:r>
      <w:r>
        <w:rPr>
          <w:rFonts w:ascii="Times New Roman" w:cs="Times New Roman" w:eastAsia="Times New Roman" w:hAnsi="Times New Roman"/>
          <w:sz w:val="19"/>
          <w:szCs w:val="19"/>
          <w:color w:val="auto"/>
        </w:rPr>
        <w:t>funds</w:t>
      </w:r>
      <w:r>
        <w:rPr>
          <w:rFonts w:ascii="Times New Roman" w:cs="Times New Roman" w:eastAsia="Times New Roman" w:hAnsi="Times New Roman"/>
          <w:sz w:val="21"/>
          <w:szCs w:val="21"/>
          <w:color w:val="auto"/>
        </w:rPr>
        <w:t xml:space="preserve"> received </w:t>
      </w:r>
      <w:r>
        <w:rPr>
          <w:rFonts w:ascii="Times New Roman" w:cs="Times New Roman" w:eastAsia="Times New Roman" w:hAnsi="Times New Roman"/>
          <w:sz w:val="19"/>
          <w:szCs w:val="19"/>
          <w:color w:val="auto"/>
        </w:rPr>
        <w:t>as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19"/>
          <w:szCs w:val="19"/>
          <w:color w:val="auto"/>
        </w:rPr>
        <w:t>result of</w:t>
      </w:r>
      <w:r>
        <w:rPr>
          <w:rFonts w:ascii="Times New Roman" w:cs="Times New Roman" w:eastAsia="Times New Roman" w:hAnsi="Times New Roman"/>
          <w:sz w:val="21"/>
          <w:szCs w:val="21"/>
          <w:color w:val="auto"/>
        </w:rPr>
        <w:t xml:space="preserve"> participating in </w:t>
      </w:r>
      <w:r>
        <w:rPr>
          <w:rFonts w:ascii="Times New Roman" w:cs="Times New Roman" w:eastAsia="Times New Roman" w:hAnsi="Times New Roman"/>
          <w:sz w:val="19"/>
          <w:szCs w:val="19"/>
          <w:color w:val="auto"/>
        </w:rPr>
        <w:t>the Plan</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your country within a certain</w:t>
      </w:r>
      <w:r>
        <w:rPr>
          <w:rFonts w:ascii="Times New Roman" w:cs="Times New Roman" w:eastAsia="Times New Roman" w:hAnsi="Times New Roman"/>
          <w:sz w:val="21"/>
          <w:szCs w:val="21"/>
          <w:color w:val="auto"/>
        </w:rPr>
        <w:t xml:space="preserve"> time </w:t>
      </w:r>
      <w:r>
        <w:rPr>
          <w:rFonts w:ascii="Times New Roman" w:cs="Times New Roman" w:eastAsia="Times New Roman" w:hAnsi="Times New Roman"/>
          <w:sz w:val="19"/>
          <w:szCs w:val="19"/>
          <w:color w:val="auto"/>
        </w:rPr>
        <w:t>after receipt. You</w:t>
      </w:r>
      <w:r>
        <w:rPr>
          <w:rFonts w:ascii="Times New Roman" w:cs="Times New Roman" w:eastAsia="Times New Roman" w:hAnsi="Times New Roman"/>
          <w:sz w:val="21"/>
          <w:szCs w:val="21"/>
          <w:color w:val="auto"/>
        </w:rPr>
        <w:t xml:space="preserve"> acknowledge </w:t>
      </w:r>
      <w:r>
        <w:rPr>
          <w:rFonts w:ascii="Times New Roman" w:cs="Times New Roman" w:eastAsia="Times New Roman" w:hAnsi="Times New Roman"/>
          <w:sz w:val="19"/>
          <w:szCs w:val="19"/>
          <w:color w:val="auto"/>
        </w:rPr>
        <w:t>that</w:t>
      </w:r>
      <w:r>
        <w:rPr>
          <w:rFonts w:ascii="Times New Roman" w:cs="Times New Roman" w:eastAsia="Times New Roman" w:hAnsi="Times New Roman"/>
          <w:sz w:val="21"/>
          <w:szCs w:val="21"/>
          <w:color w:val="auto"/>
        </w:rPr>
        <w:t xml:space="preserve"> it </w:t>
      </w:r>
      <w:r>
        <w:rPr>
          <w:rFonts w:ascii="Times New Roman" w:cs="Times New Roman" w:eastAsia="Times New Roman" w:hAnsi="Times New Roman"/>
          <w:sz w:val="19"/>
          <w:szCs w:val="19"/>
          <w:color w:val="auto"/>
        </w:rPr>
        <w:t>is</w:t>
      </w:r>
      <w:r>
        <w:rPr>
          <w:rFonts w:ascii="Times New Roman" w:cs="Times New Roman" w:eastAsia="Times New Roman" w:hAnsi="Times New Roman"/>
          <w:sz w:val="21"/>
          <w:szCs w:val="21"/>
          <w:color w:val="auto"/>
        </w:rPr>
        <w:t xml:space="preserve"> your responsibility to </w:t>
      </w:r>
      <w:r>
        <w:rPr>
          <w:rFonts w:ascii="Times New Roman" w:cs="Times New Roman" w:eastAsia="Times New Roman" w:hAnsi="Times New Roman"/>
          <w:sz w:val="19"/>
          <w:szCs w:val="19"/>
          <w:color w:val="auto"/>
        </w:rPr>
        <w:t>comply with</w:t>
      </w:r>
      <w:r>
        <w:rPr>
          <w:rFonts w:ascii="Times New Roman" w:cs="Times New Roman" w:eastAsia="Times New Roman" w:hAnsi="Times New Roman"/>
          <w:sz w:val="21"/>
          <w:szCs w:val="21"/>
          <w:color w:val="auto"/>
        </w:rPr>
        <w:t xml:space="preserve"> such </w:t>
      </w:r>
      <w:r>
        <w:rPr>
          <w:rFonts w:ascii="Times New Roman" w:cs="Times New Roman" w:eastAsia="Times New Roman" w:hAnsi="Times New Roman"/>
          <w:sz w:val="19"/>
          <w:szCs w:val="19"/>
          <w:color w:val="auto"/>
        </w:rPr>
        <w:t>regulations, and it</w:t>
      </w:r>
      <w:r>
        <w:rPr>
          <w:rFonts w:ascii="Times New Roman" w:cs="Times New Roman" w:eastAsia="Times New Roman" w:hAnsi="Times New Roman"/>
          <w:sz w:val="21"/>
          <w:szCs w:val="21"/>
          <w:color w:val="auto"/>
        </w:rPr>
        <w:t xml:space="preserve"> is </w:t>
      </w:r>
      <w:r>
        <w:rPr>
          <w:rFonts w:ascii="Times New Roman" w:cs="Times New Roman" w:eastAsia="Times New Roman" w:hAnsi="Times New Roman"/>
          <w:sz w:val="19"/>
          <w:szCs w:val="19"/>
          <w:color w:val="auto"/>
        </w:rPr>
        <w:t>your obligation</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speak</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19"/>
          <w:szCs w:val="19"/>
          <w:color w:val="auto"/>
        </w:rPr>
        <w:t>a personal advisor</w:t>
      </w:r>
      <w:r>
        <w:rPr>
          <w:rFonts w:ascii="Times New Roman" w:cs="Times New Roman" w:eastAsia="Times New Roman" w:hAnsi="Times New Roman"/>
          <w:sz w:val="21"/>
          <w:szCs w:val="21"/>
          <w:color w:val="auto"/>
        </w:rPr>
        <w:t xml:space="preserve"> on </w:t>
      </w:r>
      <w:r>
        <w:rPr>
          <w:rFonts w:ascii="Times New Roman" w:cs="Times New Roman" w:eastAsia="Times New Roman" w:hAnsi="Times New Roman"/>
          <w:sz w:val="19"/>
          <w:szCs w:val="19"/>
          <w:color w:val="auto"/>
        </w:rPr>
        <w:t>this</w:t>
      </w:r>
      <w:r>
        <w:rPr>
          <w:rFonts w:ascii="Times New Roman" w:cs="Times New Roman" w:eastAsia="Times New Roman" w:hAnsi="Times New Roman"/>
          <w:sz w:val="21"/>
          <w:szCs w:val="21"/>
          <w:color w:val="auto"/>
        </w:rPr>
        <w:t xml:space="preserve"> matter.</w:t>
      </w:r>
    </w:p>
    <w:p>
      <w:pPr>
        <w:spacing w:after="0" w:line="184"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20"/>
          <w:szCs w:val="20"/>
          <w:color w:val="auto"/>
        </w:rPr>
        <w:t xml:space="preserve">You </w:t>
      </w:r>
      <w:r>
        <w:rPr>
          <w:rFonts w:ascii="Times New Roman" w:cs="Times New Roman" w:eastAsia="Times New Roman" w:hAnsi="Times New Roman"/>
          <w:sz w:val="21"/>
          <w:szCs w:val="21"/>
          <w:color w:val="auto"/>
        </w:rPr>
        <w:t>agree, and</w:t>
      </w:r>
      <w:r>
        <w:rPr>
          <w:rFonts w:ascii="Times New Roman" w:cs="Times New Roman" w:eastAsia="Times New Roman" w:hAnsi="Times New Roman"/>
          <w:sz w:val="20"/>
          <w:szCs w:val="20"/>
          <w:color w:val="auto"/>
        </w:rPr>
        <w:t xml:space="preserve"> it is your intent,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sign and submit </w:t>
      </w:r>
      <w:r>
        <w:rPr>
          <w:rFonts w:ascii="Times New Roman" w:cs="Times New Roman" w:eastAsia="Times New Roman" w:hAnsi="Times New Roman"/>
          <w:sz w:val="21"/>
          <w:szCs w:val="21"/>
          <w:color w:val="auto"/>
        </w:rPr>
        <w:t>this</w:t>
      </w:r>
      <w:r>
        <w:rPr>
          <w:rFonts w:ascii="Times New Roman" w:cs="Times New Roman" w:eastAsia="Times New Roman" w:hAnsi="Times New Roman"/>
          <w:sz w:val="20"/>
          <w:szCs w:val="20"/>
          <w:color w:val="auto"/>
        </w:rPr>
        <w:t xml:space="preserve"> document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0"/>
          <w:szCs w:val="20"/>
          <w:color w:val="auto"/>
        </w:rPr>
        <w:t xml:space="preserve"> affirmation </w:t>
      </w:r>
      <w:r>
        <w:rPr>
          <w:rFonts w:ascii="Times New Roman" w:cs="Times New Roman" w:eastAsia="Times New Roman" w:hAnsi="Times New Roman"/>
          <w:sz w:val="21"/>
          <w:szCs w:val="21"/>
          <w:color w:val="auto"/>
        </w:rPr>
        <w:t>by</w:t>
      </w:r>
      <w:r>
        <w:rPr>
          <w:rFonts w:ascii="Times New Roman" w:cs="Times New Roman" w:eastAsia="Times New Roman" w:hAnsi="Times New Roman"/>
          <w:sz w:val="20"/>
          <w:szCs w:val="20"/>
          <w:color w:val="auto"/>
        </w:rPr>
        <w:t xml:space="preserve"> clicking “I accept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below. You understand and agree that by </w:t>
      </w:r>
      <w:r>
        <w:rPr>
          <w:rFonts w:ascii="Times New Roman" w:cs="Times New Roman" w:eastAsia="Times New Roman" w:hAnsi="Times New Roman"/>
          <w:sz w:val="21"/>
          <w:szCs w:val="21"/>
          <w:color w:val="auto"/>
        </w:rPr>
        <w:t>electronically signing</w:t>
      </w:r>
      <w:r>
        <w:rPr>
          <w:rFonts w:ascii="Times New Roman" w:cs="Times New Roman" w:eastAsia="Times New Roman" w:hAnsi="Times New Roman"/>
          <w:sz w:val="20"/>
          <w:szCs w:val="20"/>
          <w:color w:val="auto"/>
        </w:rPr>
        <w:t xml:space="preserve"> and submitting </w:t>
      </w:r>
      <w:r>
        <w:rPr>
          <w:rFonts w:ascii="Times New Roman" w:cs="Times New Roman" w:eastAsia="Times New Roman" w:hAnsi="Times New Roman"/>
          <w:sz w:val="21"/>
          <w:szCs w:val="21"/>
          <w:color w:val="auto"/>
        </w:rPr>
        <w:t>this document</w:t>
      </w:r>
      <w:r>
        <w:rPr>
          <w:rFonts w:ascii="Times New Roman" w:cs="Times New Roman" w:eastAsia="Times New Roman" w:hAnsi="Times New Roman"/>
          <w:sz w:val="20"/>
          <w:szCs w:val="20"/>
          <w:color w:val="auto"/>
        </w:rPr>
        <w:t xml:space="preserve"> in </w:t>
      </w:r>
      <w:r>
        <w:rPr>
          <w:rFonts w:ascii="Times New Roman" w:cs="Times New Roman" w:eastAsia="Times New Roman" w:hAnsi="Times New Roman"/>
          <w:sz w:val="21"/>
          <w:szCs w:val="21"/>
          <w:color w:val="auto"/>
        </w:rPr>
        <w:t>this fashion, you are accepting</w:t>
      </w:r>
      <w:r>
        <w:rPr>
          <w:rFonts w:ascii="Times New Roman" w:cs="Times New Roman" w:eastAsia="Times New Roman" w:hAnsi="Times New Roman"/>
          <w:sz w:val="20"/>
          <w:szCs w:val="20"/>
          <w:color w:val="auto"/>
        </w:rPr>
        <w:t xml:space="preserve"> the PSUs subject to all of its terms and conditions and are affirming </w:t>
      </w:r>
      <w:r>
        <w:rPr>
          <w:rFonts w:ascii="Times New Roman" w:cs="Times New Roman" w:eastAsia="Times New Roman" w:hAnsi="Times New Roman"/>
          <w:sz w:val="21"/>
          <w:szCs w:val="21"/>
          <w:color w:val="auto"/>
        </w:rPr>
        <w:t>to</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1"/>
          <w:szCs w:val="21"/>
          <w:color w:val="auto"/>
        </w:rPr>
        <w:t>truth</w:t>
      </w:r>
      <w:r>
        <w:rPr>
          <w:rFonts w:ascii="Times New Roman" w:cs="Times New Roman" w:eastAsia="Times New Roman" w:hAnsi="Times New Roman"/>
          <w:sz w:val="20"/>
          <w:szCs w:val="20"/>
          <w:color w:val="auto"/>
        </w:rPr>
        <w:t xml:space="preserve"> of the information </w:t>
      </w:r>
      <w:r>
        <w:rPr>
          <w:rFonts w:ascii="Times New Roman" w:cs="Times New Roman" w:eastAsia="Times New Roman" w:hAnsi="Times New Roman"/>
          <w:sz w:val="21"/>
          <w:szCs w:val="21"/>
          <w:color w:val="auto"/>
        </w:rPr>
        <w:t>contained herein.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 FACTSET RESEARCH SYSTEMS INC.,</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[Month, Date, Year] __________________________________</w:t>
      </w:r>
    </w:p>
    <w:p>
      <w:pPr>
        <w:sectPr>
          <w:pgSz w:w="11900" w:h="16838" w:orient="portrait"/>
          <w:cols w:equalWidth="0" w:num="1">
            <w:col w:w="11240"/>
          </w:cols>
          <w:pgMar w:left="320" w:top="114"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January [●], 2026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w:t>
      </w:r>
    </w:p>
    <w:p>
      <w:pPr>
        <w:spacing w:after="0" w:line="24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Reference is made to your currently outstanding stock options, restricted stock units and performance units granted pursuant to the FactSet Research Systems Inc. 2025 Omnibus Incentive Plan, as previously amended up to and including the date hereof (the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that are unvested as of the date hereof, and the applicable award agreements thereunder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effective as of the date hereof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constitutes an amendment to the terms of your currently outstanding stock options, restricted stock units and performance units and sets forth the mutual agreement between FactSet Research Systems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you regarding certain terms and conditions applicable to such awards following the Effective Date, notwithstanding the terms of the Equity Plan and the Award Agreements. In addition, unless otherwise specifically provided in the applicable Award Agreement, effective immediately upon the grant to you of all stock options, restricted stock units and performance units that may be granted to you following the date hereof, the terms of this Agreement shall be automatically applicable to such awards immediately upon grant. All awards subject to this Agreement, whether outstanding on the date hereof or on any future date, are referred to herein, collectively, as the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Awards</w:t>
      </w:r>
      <w:r>
        <w:rPr>
          <w:rFonts w:ascii="Times New Roman" w:cs="Times New Roman" w:eastAsia="Times New Roman" w:hAnsi="Times New Roman"/>
          <w:sz w:val="22"/>
          <w:szCs w:val="22"/>
          <w:color w:val="auto"/>
        </w:rPr>
        <w:t>”. Capitalized terms used and not defined herein shall have the meanings ascribed to them in the Company’s Executive Severance Plan (the “</w:t>
      </w:r>
      <w:r>
        <w:rPr>
          <w:rFonts w:ascii="Times New Roman" w:cs="Times New Roman" w:eastAsia="Times New Roman" w:hAnsi="Times New Roman"/>
          <w:sz w:val="22"/>
          <w:szCs w:val="22"/>
          <w:u w:val="single" w:color="auto"/>
          <w:color w:val="auto"/>
        </w:rPr>
        <w:t>Executive Severance Plan</w:t>
      </w:r>
      <w:r>
        <w:rPr>
          <w:rFonts w:ascii="Times New Roman" w:cs="Times New Roman" w:eastAsia="Times New Roman" w:hAnsi="Times New Roman"/>
          <w:sz w:val="22"/>
          <w:szCs w:val="22"/>
          <w:color w:val="auto"/>
        </w:rPr>
        <w:t>”), effective as of the date hereof, as may be amended from time to time in accordance with its terms.</w:t>
      </w:r>
    </w:p>
    <w:p>
      <w:pPr>
        <w:spacing w:after="0" w:line="189" w:lineRule="exact"/>
        <w:rPr>
          <w:sz w:val="20"/>
          <w:szCs w:val="20"/>
          <w:color w:val="auto"/>
        </w:rPr>
      </w:pPr>
    </w:p>
    <w:p>
      <w:pPr>
        <w:jc w:val="both"/>
        <w:ind w:firstLine="237"/>
        <w:spacing w:after="0" w:line="253" w:lineRule="auto"/>
        <w:tabs>
          <w:tab w:leader="none" w:pos="62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Termination other than during the Change of Control Protection Period.</w:t>
      </w:r>
      <w:r>
        <w:rPr>
          <w:rFonts w:ascii="Times New Roman" w:cs="Times New Roman" w:eastAsia="Times New Roman" w:hAnsi="Times New Roman"/>
          <w:sz w:val="22"/>
          <w:szCs w:val="22"/>
          <w:color w:val="auto"/>
        </w:rPr>
        <w:t xml:space="preserve"> In the event of an Eligible Termination at any time other than during the Change of Control Protection Period, subject to your satisfaction of the Release Condition, each Covered Award that is outstanding and unvested as of your Date of Termination and was granted to you at least one year prior to your Date of Termination (each, a “</w:t>
      </w:r>
      <w:r>
        <w:rPr>
          <w:rFonts w:ascii="Times New Roman" w:cs="Times New Roman" w:eastAsia="Times New Roman" w:hAnsi="Times New Roman"/>
          <w:sz w:val="22"/>
          <w:szCs w:val="22"/>
          <w:u w:val="single" w:color="auto"/>
          <w:color w:val="auto"/>
        </w:rPr>
        <w:t>Specified Covered Award</w:t>
      </w:r>
      <w:r>
        <w:rPr>
          <w:rFonts w:ascii="Times New Roman" w:cs="Times New Roman" w:eastAsia="Times New Roman" w:hAnsi="Times New Roman"/>
          <w:sz w:val="22"/>
          <w:szCs w:val="22"/>
          <w:color w:val="auto"/>
        </w:rPr>
        <w:t>”) shall be treated as provided in this Section 1, and each unvested Covered Award that is not a Specified Covered Award shall be forfeited as of the Date of Termination.</w:t>
      </w:r>
    </w:p>
    <w:p>
      <w:pPr>
        <w:spacing w:after="0" w:line="205"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8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outstanding and unvested Specified Covered Award that is a stock option (a “</w:t>
      </w:r>
      <w:r>
        <w:rPr>
          <w:rFonts w:ascii="Times New Roman" w:cs="Times New Roman" w:eastAsia="Times New Roman" w:hAnsi="Times New Roman"/>
          <w:sz w:val="22"/>
          <w:szCs w:val="22"/>
          <w:u w:val="single" w:color="auto"/>
          <w:color w:val="auto"/>
        </w:rPr>
        <w:t>Stock Option</w:t>
      </w:r>
      <w:r>
        <w:rPr>
          <w:rFonts w:ascii="Times New Roman" w:cs="Times New Roman" w:eastAsia="Times New Roman" w:hAnsi="Times New Roman"/>
          <w:sz w:val="22"/>
          <w:szCs w:val="22"/>
          <w:color w:val="auto"/>
        </w:rPr>
        <w:t>”) or a restricted stock unit (a “</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shall become vested on or as soon as practicable following the satisfaction of the Release Condition, solely with respect to the portion of each such Specified Covered Award scheduled to vest pursuant to the applicable Award Agreement on the vesting date immediately following the Date of Termination. Stock Options that vest pursuant to this Section 1(a) shall become exercisable upon or as soon as practicable following satisfaction of the Release Condition and, subject to your ongoing compliance with the restrictive covenants to which you are subject pursuant to the Equity Plan and/or the Award Agreements (the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shall remain exercisable for the period set forth in Section 6(g) of the Equity Plan (Options); provided,</w:t>
      </w:r>
    </w:p>
    <w:p>
      <w:pPr>
        <w:sectPr>
          <w:pgSz w:w="11900" w:h="16838" w:orient="portrait"/>
          <w:cols w:equalWidth="0" w:num="1">
            <w:col w:w="11240"/>
          </w:cols>
          <w:pgMar w:left="320" w:top="11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however, that if the Participant dies within such 90-day period following such termination, such Stock Options may be exercised within 180 days of the Participant’s death, but in no event beyond the scheduled expiration of the Stock Options. Subject to your ongoing compliance with the Restrictive Covenants, Restricted Stock Units that vest pursuant to this Section 1(a) shall be settled at the time settlement would have occurred if employment had not terminated. For the avoidance of doubt, the remaining unvested portion of each such Specified Covered Award, if any, shall be forfeited upon the Date of Termination.</w:t>
      </w:r>
    </w:p>
    <w:p>
      <w:pPr>
        <w:spacing w:after="0" w:line="208" w:lineRule="exact"/>
        <w:rPr>
          <w:sz w:val="20"/>
          <w:szCs w:val="20"/>
          <w:color w:val="auto"/>
        </w:rPr>
      </w:pPr>
    </w:p>
    <w:p>
      <w:pPr>
        <w:jc w:val="both"/>
        <w:ind w:left="660" w:firstLine="644"/>
        <w:spacing w:after="0" w:line="264" w:lineRule="auto"/>
        <w:tabs>
          <w:tab w:leader="none" w:pos="1832"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pro-rated portion of each outstanding and unvested Specified Covered Award that is a performance unit (each, a “</w:t>
      </w:r>
      <w:r>
        <w:rPr>
          <w:rFonts w:ascii="Times New Roman" w:cs="Times New Roman" w:eastAsia="Times New Roman" w:hAnsi="Times New Roman"/>
          <w:sz w:val="21"/>
          <w:szCs w:val="21"/>
          <w:u w:val="single" w:color="auto"/>
          <w:color w:val="auto"/>
        </w:rPr>
        <w:t>Performance Unit</w:t>
      </w:r>
      <w:r>
        <w:rPr>
          <w:rFonts w:ascii="Times New Roman" w:cs="Times New Roman" w:eastAsia="Times New Roman" w:hAnsi="Times New Roman"/>
          <w:sz w:val="21"/>
          <w:szCs w:val="21"/>
          <w:color w:val="auto"/>
        </w:rPr>
        <w:t>”) shall remain outstanding and be eligible to vest and be settled after the end of the applicable performance period, at the time settlement would have occurred if employment had not terminated, subject to your ongoing compliance with the Restrictive Covenants, with the pro-rated portion of such award determined by multiplying</w:t>
      </w:r>
    </w:p>
    <w:p>
      <w:pPr>
        <w:jc w:val="both"/>
        <w:ind w:left="660" w:hanging="4"/>
        <w:spacing w:after="0" w:line="247" w:lineRule="auto"/>
        <w:tabs>
          <w:tab w:leader="none" w:pos="949"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underlying such award (if any) based on actual performance as of the end of the applicable performance period by (ii) a fraction, the numerator of which shall be the number of days that have elapsed between the date of grant and the Date of Termination and the denominator of which shall be the total number of days in the applicable vesting period (rounded up to the nearest whole share). For the avoidance of doubt, the remaining unvested portion of such Performance Unit, if any, shall be forfeited.</w:t>
      </w:r>
    </w:p>
    <w:p>
      <w:pPr>
        <w:spacing w:after="0" w:line="213" w:lineRule="exact"/>
        <w:rPr>
          <w:sz w:val="20"/>
          <w:szCs w:val="20"/>
          <w:color w:val="auto"/>
        </w:rPr>
      </w:pPr>
    </w:p>
    <w:p>
      <w:pPr>
        <w:jc w:val="both"/>
        <w:ind w:firstLine="656"/>
        <w:spacing w:after="0" w:line="257" w:lineRule="auto"/>
        <w:tabs>
          <w:tab w:leader="none" w:pos="105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Termination during the Change of Control Protection Period.</w:t>
      </w:r>
      <w:r>
        <w:rPr>
          <w:rFonts w:ascii="Times New Roman" w:cs="Times New Roman" w:eastAsia="Times New Roman" w:hAnsi="Times New Roman"/>
          <w:sz w:val="22"/>
          <w:szCs w:val="22"/>
          <w:color w:val="auto"/>
        </w:rPr>
        <w:t xml:space="preserve"> In the event of an Eligible Termination during the Change of Control Protection Period, each Covered Award that is outstanding and unvested as of your Date of Termination shall be treated as provided in this Section 2.</w:t>
      </w:r>
    </w:p>
    <w:p>
      <w:pPr>
        <w:spacing w:after="0" w:line="19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8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outstanding and unvested Covered Award that is a Stock Option or Restricted Stock Unit shall become immediately vested in full upon the Date of Termination. Stock Options that vest pursuant to this Section 2(a) shall become exercisable upon or as soon as practicable following vesting, and any such Stock Options that you hold as of the Date of Termination shall remain exercisable for a one-year period following the Date of Termination (but in no event beyond the scheduled expiration of the Stock Option). Restricted Stock Units that vest pursuant to this Section 2(a) shall be settled within 10 days following the date of vesting;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necessary to avoid adverse tax consequences under Section 409A (as defined in Section 7(g) below), Restricted Stock Units that vest pursuant to this Section 2(a) shall be settled at the time provided under Section 1(a).</w:t>
      </w:r>
    </w:p>
    <w:p>
      <w:pPr>
        <w:spacing w:after="0" w:line="213" w:lineRule="exact"/>
        <w:rPr>
          <w:rFonts w:ascii="Times New Roman" w:cs="Times New Roman" w:eastAsia="Times New Roman" w:hAnsi="Times New Roman"/>
          <w:sz w:val="22"/>
          <w:szCs w:val="22"/>
          <w:color w:val="auto"/>
        </w:rPr>
      </w:pPr>
    </w:p>
    <w:p>
      <w:pPr>
        <w:jc w:val="both"/>
        <w:ind w:left="660" w:firstLine="644"/>
        <w:spacing w:after="0" w:line="266" w:lineRule="auto"/>
        <w:tabs>
          <w:tab w:leader="none" w:pos="1857"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Performance Unit shall vest and be settled within 10 days following the Date of Termination, with the portion of such award that vests equal to the greater of (i) the pro-rated portion of such award determined by multiplying</w:t>
      </w:r>
    </w:p>
    <w:p>
      <w:pPr>
        <w:spacing w:after="0" w:line="1" w:lineRule="exact"/>
        <w:rPr>
          <w:rFonts w:ascii="Times New Roman" w:cs="Times New Roman" w:eastAsia="Times New Roman" w:hAnsi="Times New Roman"/>
          <w:sz w:val="21"/>
          <w:szCs w:val="21"/>
          <w:color w:val="auto"/>
        </w:rPr>
      </w:pPr>
    </w:p>
    <w:p>
      <w:pPr>
        <w:jc w:val="both"/>
        <w:ind w:left="660"/>
        <w:spacing w:after="0" w:line="26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number of shares underlying such award assuming achievement of target-level performance by (B) a fraction, the numerator of which shall be the number of days that have elapsed between the date of grant and the Date of Termination and the denominator of which shall be the total number of days in the applicable vesting period (rounded up to the nearest whole share) and (ii) the portion of such award that vests based on actual performance as of the end of the last fiscal</w:t>
      </w:r>
    </w:p>
    <w:p>
      <w:pPr>
        <w:sectPr>
          <w:pgSz w:w="11900" w:h="16838" w:orient="portrait"/>
          <w:cols w:equalWidth="0" w:num="1">
            <w:col w:w="11240"/>
          </w:cols>
          <w:pgMar w:left="320" w:top="126" w:right="339" w:bottom="1440" w:gutter="0" w:footer="0" w:header="0"/>
        </w:sectPr>
      </w:pPr>
    </w:p>
    <w:bookmarkStart w:id="88" w:name="page89"/>
    <w:bookmarkEnd w:id="88"/>
    <w:p>
      <w:pPr>
        <w:ind w:left="10484"/>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22"/>
          <w:szCs w:val="22"/>
          <w:color w:val="auto"/>
        </w:rPr>
        <w:t>quarter of the Company ending prior to the date of the Change of Control. For the avoidance of doubt, the remaining portion of such Performance Units, if any, shall be forfeited.</w:t>
      </w:r>
    </w:p>
    <w:p>
      <w:pPr>
        <w:spacing w:after="0" w:line="185" w:lineRule="exact"/>
        <w:rPr>
          <w:sz w:val="20"/>
          <w:szCs w:val="20"/>
          <w:color w:val="auto"/>
        </w:rPr>
      </w:pPr>
    </w:p>
    <w:p>
      <w:pPr>
        <w:jc w:val="both"/>
        <w:ind w:left="-656" w:firstLine="656"/>
        <w:spacing w:after="0" w:line="256" w:lineRule="auto"/>
        <w:tabs>
          <w:tab w:leader="none" w:pos="26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due to Death or Disability.</w:t>
      </w:r>
      <w:r>
        <w:rPr>
          <w:rFonts w:ascii="Times New Roman" w:cs="Times New Roman" w:eastAsia="Times New Roman" w:hAnsi="Times New Roman"/>
          <w:sz w:val="22"/>
          <w:szCs w:val="22"/>
          <w:color w:val="auto"/>
        </w:rPr>
        <w:t xml:space="preserve"> If your employment with the Company or any of its Subsidiaries is terminated due to your death or Disability, each Specified Covered Award that is outstanding and unvested as of your Date of Termination shall be treated as provided in this Section 3, and each unvested Covered Award that is not a Specified Covered Award shall be forfeited as of the Date of Termination.</w:t>
      </w:r>
    </w:p>
    <w:p>
      <w:pPr>
        <w:spacing w:after="0" w:line="203" w:lineRule="exact"/>
        <w:rPr>
          <w:rFonts w:ascii="Times New Roman" w:cs="Times New Roman" w:eastAsia="Times New Roman" w:hAnsi="Times New Roman"/>
          <w:sz w:val="22"/>
          <w:szCs w:val="22"/>
          <w:color w:val="auto"/>
        </w:rPr>
      </w:pPr>
    </w:p>
    <w:p>
      <w:pPr>
        <w:jc w:val="both"/>
        <w:ind w:left="1304" w:hanging="656"/>
        <w:spacing w:after="0" w:line="249" w:lineRule="auto"/>
        <w:tabs>
          <w:tab w:leader="none" w:pos="1301"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outstanding and unvested Specified Covered Award that is a Stock Option or Restricted Stock Unit shall become immediately vested as of your Date of Termination. Stock Options that vest pursuant to this Section 3(a) shall become exercisable upon or as soon as practicable following vesting and remain exercisable for the period set forth in Section 3(a)(i) or Section 3(a)(ii) below, as applicable. Restricted Stock Units that vest pursuant to this Section 3(a) shall be settled within 10 days following your Date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necessary to avoid adverse tax consequences under Section 409A, Restricted Stock Units that vest pursuant to this Section 3(a) shall be settled at the time provided under Section 1(a).</w:t>
      </w:r>
    </w:p>
    <w:p>
      <w:pPr>
        <w:spacing w:after="0" w:line="222" w:lineRule="exact"/>
        <w:rPr>
          <w:rFonts w:ascii="Times New Roman" w:cs="Times New Roman" w:eastAsia="Times New Roman" w:hAnsi="Times New Roman"/>
          <w:sz w:val="22"/>
          <w:szCs w:val="22"/>
          <w:color w:val="auto"/>
        </w:rPr>
      </w:pPr>
    </w:p>
    <w:p>
      <w:pPr>
        <w:jc w:val="both"/>
        <w:ind w:left="1944" w:hanging="648"/>
        <w:spacing w:after="0" w:line="252" w:lineRule="auto"/>
        <w:tabs>
          <w:tab w:leader="none" w:pos="1932"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If the Participant’s termination of employment is caused by the death of the Participant, then any unexercised Stock Options to the extent exercisable on the date of the Participant’s death, may be exercised in whole or in part, at any time within one year after the Participant’s death, but in no event beyond the scheduled expiration of the Stock Options;</w:t>
      </w:r>
    </w:p>
    <w:p>
      <w:pPr>
        <w:spacing w:after="0" w:line="206" w:lineRule="exact"/>
        <w:rPr>
          <w:rFonts w:ascii="Times New Roman" w:cs="Times New Roman" w:eastAsia="Times New Roman" w:hAnsi="Times New Roman"/>
          <w:sz w:val="22"/>
          <w:szCs w:val="22"/>
          <w:color w:val="auto"/>
        </w:rPr>
      </w:pPr>
    </w:p>
    <w:p>
      <w:pPr>
        <w:jc w:val="both"/>
        <w:ind w:left="1944" w:hanging="648"/>
        <w:spacing w:after="0" w:line="250" w:lineRule="auto"/>
        <w:tabs>
          <w:tab w:leader="none" w:pos="1938"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Disability. If the Participant’s termination of employment is on account of the Disability of the Participant, then any unexercised Stock Options to the extent exercisable at the date of such termination of employment, may be exercised, in whole or in part, at any time within one year after the date of such termination of employment; provided, however, that, if the Participant dies after such termination of employment and before the end of such one year period, such Stock Options may be exercised within one year after the Participant’s termination of employment, or, if later, within 180 days after the Participant’s death, but in no event beyond the scheduled expiration of the Stock Options.</w:t>
      </w:r>
    </w:p>
    <w:p>
      <w:pPr>
        <w:spacing w:after="0" w:line="213" w:lineRule="exact"/>
        <w:rPr>
          <w:rFonts w:ascii="Times New Roman" w:cs="Times New Roman" w:eastAsia="Times New Roman" w:hAnsi="Times New Roman"/>
          <w:sz w:val="22"/>
          <w:szCs w:val="22"/>
          <w:color w:val="auto"/>
        </w:rPr>
      </w:pPr>
    </w:p>
    <w:p>
      <w:pPr>
        <w:ind w:left="1304" w:right="20" w:hanging="656"/>
        <w:spacing w:after="0" w:line="271" w:lineRule="auto"/>
        <w:tabs>
          <w:tab w:leader="none" w:pos="1292"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Performance Unit shall vest and be settled within 10 days following your Date of Termination, assuming achievement of target-level performance.</w:t>
      </w:r>
    </w:p>
    <w:p>
      <w:pPr>
        <w:spacing w:after="0" w:line="184" w:lineRule="exact"/>
        <w:rPr>
          <w:rFonts w:ascii="Times New Roman" w:cs="Times New Roman" w:eastAsia="Times New Roman" w:hAnsi="Times New Roman"/>
          <w:sz w:val="22"/>
          <w:szCs w:val="22"/>
          <w:color w:val="auto"/>
        </w:rPr>
      </w:pPr>
    </w:p>
    <w:p>
      <w:pPr>
        <w:jc w:val="both"/>
        <w:ind w:left="-656" w:firstLine="656"/>
        <w:spacing w:after="0" w:line="256" w:lineRule="auto"/>
        <w:tabs>
          <w:tab w:leader="none" w:pos="20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xml:space="preserve"> If your employment with the Company or any of its Subsidiaries is terminated due to your Retirement (as defined below), subject to your satisfaction of the Release Condition that would have been applicable to you pursuant to the Executive Severance Plan in the event of an Eligible Termination other than during the Change of Control Protection Period (with appropriate</w:t>
      </w:r>
    </w:p>
    <w:p>
      <w:pPr>
        <w:sectPr>
          <w:pgSz w:w="11900" w:h="16838" w:orient="portrait"/>
          <w:cols w:equalWidth="0" w:num="1">
            <w:col w:w="10584"/>
          </w:cols>
          <w:pgMar w:left="976" w:top="126" w:right="339" w:bottom="1440" w:gutter="0" w:footer="0" w:header="0"/>
        </w:sectPr>
      </w:pPr>
    </w:p>
    <w:bookmarkStart w:id="89" w:name="page90"/>
    <w:bookmarkEnd w:id="89"/>
    <w:p>
      <w:pPr>
        <w:ind w:left="11140"/>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modifications to reflect your Retirement), each Specified Covered Award that is outstanding and unvested as of your Retirement shall be treated as provided in this Section 4, and each unvested Covered Award that is not a Specified Covered Award shall be forfeited as of the Date of Termination.</w:t>
      </w:r>
    </w:p>
    <w:p>
      <w:pPr>
        <w:spacing w:after="0" w:line="213" w:lineRule="exact"/>
        <w:rPr>
          <w:sz w:val="20"/>
          <w:szCs w:val="20"/>
          <w:color w:val="auto"/>
        </w:rPr>
      </w:pPr>
    </w:p>
    <w:p>
      <w:pPr>
        <w:jc w:val="both"/>
        <w:ind w:left="660" w:firstLine="644"/>
        <w:spacing w:after="0" w:line="246" w:lineRule="auto"/>
        <w:tabs>
          <w:tab w:leader="none" w:pos="177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outstanding and unvested Specified Covered Award that is a Stock Option or Performance Unit shall be eligible to continue to vest in accordance with the terms of such award (other than the requirement that you remain employed until the applicable vesting date), subject to your ongoing compliance with the Restrictive Covenants. Any unvested Stock Options that you hold as of your Retirement that become vested pursuant to this Section 4(a) shall become exercisable as of the vesting date that would have applied if you had remained employed and, subject to your ongoing compliance with the Restrictive Covenants and except as otherwise provided in this Section 4(a), each Stock Option that you hold as of the date of Retirement shall remain exercisable following vesting through the 90-day period following the final vesting date of each such Stock Option grant (but in no event beyond the scheduled expiration of the Stock Option). Each outstanding and unvested Performance Unit that you hold as of your Retirement shall remain outstanding and be eligible to vest and be settled after the end of the applicable performance period, at the time settlement would have occurred if employment had not terminated, subject to your ongoing compliance with the Restrictive Covenants, in respect of the number of shares underlying such award (if any) based on actual performance as of the end of the applicable performance period. For the avoidance of doubt, the remaining unvested portion of such Performance Unit, if any, shall be forfeited. Notwithstanding that certain Restrictive Covenants apply for only a limited period following the Date of Termination, you shall forfeit any outstanding unvested Specified Covered Award if you do not comply with all of the Restrictive Covenants until the date that all vesting conditions in respect of such outstanding Specified Covered Award have been satisfied. Notwithstanding any other provision in this Section 4(a), in the event of any noncompliance with the Restrictive Covenants in accordance with the immediately preceding sentence, each Stock Option that vested in accordance with this Section 4(a) prior to the date of such noncompliance (the “</w:t>
      </w:r>
      <w:r>
        <w:rPr>
          <w:rFonts w:ascii="Times New Roman" w:cs="Times New Roman" w:eastAsia="Times New Roman" w:hAnsi="Times New Roman"/>
          <w:sz w:val="22"/>
          <w:szCs w:val="22"/>
          <w:u w:val="single" w:color="auto"/>
          <w:color w:val="auto"/>
        </w:rPr>
        <w:t>Forfeiture Date</w:t>
      </w:r>
      <w:r>
        <w:rPr>
          <w:rFonts w:ascii="Times New Roman" w:cs="Times New Roman" w:eastAsia="Times New Roman" w:hAnsi="Times New Roman"/>
          <w:sz w:val="22"/>
          <w:szCs w:val="22"/>
          <w:color w:val="auto"/>
        </w:rPr>
        <w:t>”) shall remain exercisable through the 90-day period following the Forfeiture Date (but in no event beyond the scheduled expiration of the Stock Option).</w:t>
      </w:r>
    </w:p>
    <w:p>
      <w:pPr>
        <w:spacing w:after="0" w:line="238"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4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outstanding and unvested Specified Covered Award that is a Restricted Stock Unit shall, solely with respect to the portion of each such Restricted Stock Unit scheduled to vest on the vesting date immediately following Retirement, be eligible to continue to vest in accordance with the terms of such award (other than the requirement that you remain employed until the applicable vesting date), subject to your ongoing compliance with the Restrictive Covenants. Restricted Stock Units that vest pursuant to this Section 4(b) shall be settled at the time settlement would have occurred if employment had not terminated. For the avoidance of doubt, the remaining unvested portion of each such Restricted Stock Unit, if any, shall be forfeited upon your Retirement.</w:t>
      </w:r>
    </w:p>
    <w:p>
      <w:pPr>
        <w:spacing w:after="0" w:line="220"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0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of Control following your Retirement, each Specified Covered Award that is outstanding and unvested as of the Change of Control shall become</w:t>
      </w:r>
    </w:p>
    <w:p>
      <w:pPr>
        <w:sectPr>
          <w:pgSz w:w="11900" w:h="16838" w:orient="portrait"/>
          <w:cols w:equalWidth="0" w:num="1">
            <w:col w:w="11240"/>
          </w:cols>
          <w:pgMar w:left="320" w:top="12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immediately vested in full upon the Change of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the Performance Units, the number of shares underlying such awards shall be determined assuming achievement of applicable performance goals at the greater of (i) target-level performance and (ii) actual performance as of the end of the last fiscal quarter of the Company ending prior to the date of the Change of Control. Performance Units and Restricted Stock Units that vest pursuant to this Section 4(c) shall be settled within 10 days following the date of vesting;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necessary to avoid adverse tax consequences under Section 409A, Restricted Stock Units that vest pursuant to this Section 4(c) shall be settled at the time provided under Section 1(a).</w:t>
      </w:r>
    </w:p>
    <w:p>
      <w:pPr>
        <w:spacing w:after="0" w:line="207" w:lineRule="exact"/>
        <w:rPr>
          <w:sz w:val="20"/>
          <w:szCs w:val="20"/>
          <w:color w:val="auto"/>
        </w:rPr>
      </w:pPr>
    </w:p>
    <w:p>
      <w:pPr>
        <w:jc w:val="both"/>
        <w:ind w:left="660" w:firstLine="644"/>
        <w:spacing w:after="0" w:line="263" w:lineRule="auto"/>
        <w:tabs>
          <w:tab w:leader="none" w:pos="1795" w:val="left"/>
        </w:tabs>
        <w:numPr>
          <w:ilvl w:val="2"/>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your death following your Retirement, each Specified Covered Award that is outstanding and unvested as of your death and is a Stock Option or a Restricted Stock Unit shall become immediately vested in full upon the date of death. Stock Options that vest pursuant to this Section 4(d) shall become exercisable upon or as soon as practicable following vesting, and any such Stock Options that you hold as of the date of death shall remain exercisable for a one-year period following the date of death (but in no event beyond the scheduled expiration of the Stock Option). Restricted Stock Units that vest pursuant to this Section 4(d) shall be settled within 10 days following the date of vesting. Performance Units that are outstanding as of the date of your death shall remain subject to Section 4(a).</w:t>
      </w:r>
    </w:p>
    <w:p>
      <w:pPr>
        <w:spacing w:after="0" w:line="213" w:lineRule="exact"/>
        <w:rPr>
          <w:rFonts w:ascii="Times New Roman" w:cs="Times New Roman" w:eastAsia="Times New Roman" w:hAnsi="Times New Roman"/>
          <w:sz w:val="21"/>
          <w:szCs w:val="21"/>
          <w:color w:val="auto"/>
        </w:rPr>
      </w:pPr>
    </w:p>
    <w:p>
      <w:pPr>
        <w:jc w:val="both"/>
        <w:ind w:left="660" w:firstLine="644"/>
        <w:spacing w:after="0" w:line="249" w:lineRule="auto"/>
        <w:tabs>
          <w:tab w:leader="none" w:pos="1777"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4, “Retirement” shall mean the termination of your employment at any time you are at least 60 years of age with 10 full years of service with the Company or any of its Subsidiaries. Notwithstanding any other provision of this Agreement, in the event you are eligible to terminate your employment with the Company or any of its Subsidiaries due to your Retirement, and you incur an Eligible Termination pursuant to Section 1, you shall be entitled to the payments and benefits pursuant to this Section 4, rather than pursuant to Section 1, if such payments and benefits are more favorable to you than those otherwise provided under Section 1.</w:t>
      </w:r>
    </w:p>
    <w:p>
      <w:pPr>
        <w:spacing w:after="0" w:line="1" w:lineRule="exact"/>
        <w:rPr>
          <w:rFonts w:ascii="Times New Roman" w:cs="Times New Roman" w:eastAsia="Times New Roman" w:hAnsi="Times New Roman"/>
          <w:sz w:val="22"/>
          <w:szCs w:val="22"/>
          <w:color w:val="auto"/>
        </w:rPr>
      </w:pPr>
    </w:p>
    <w:p>
      <w:pPr>
        <w:jc w:val="both"/>
        <w:ind w:firstLine="237"/>
        <w:spacing w:after="0" w:line="246" w:lineRule="auto"/>
        <w:tabs>
          <w:tab w:leader="none" w:pos="62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Covered Awards.</w:t>
      </w:r>
      <w:r>
        <w:rPr>
          <w:rFonts w:ascii="Times New Roman" w:cs="Times New Roman" w:eastAsia="Times New Roman" w:hAnsi="Times New Roman"/>
          <w:sz w:val="22"/>
          <w:szCs w:val="22"/>
          <w:color w:val="auto"/>
        </w:rPr>
        <w:t xml:space="preserve"> If your employment with the Company or any of its Subsidiaries terminates for any reason other than as set forth in this Agreement, each Covered Award that is outstanding and unvested as of your Date of Termination shall be forfeited;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Committee (as defined in the Equity Plan), may determine otherwise in its sole discretion. For the avoidance of doubt, in the event any unvested Covered Award (or portion thereof) does not vest in connection with your termination of employment pursuant to Section 1, 2, 3 or 4 of this Agreement, such Covered Award (or portion thereof) shall be forfeited as of your Date of Termination.</w:t>
      </w:r>
    </w:p>
    <w:p>
      <w:pPr>
        <w:spacing w:after="0" w:line="215" w:lineRule="exact"/>
        <w:rPr>
          <w:rFonts w:ascii="Times New Roman" w:cs="Times New Roman" w:eastAsia="Times New Roman" w:hAnsi="Times New Roman"/>
          <w:sz w:val="22"/>
          <w:szCs w:val="22"/>
          <w:color w:val="auto"/>
        </w:rPr>
      </w:pPr>
    </w:p>
    <w:p>
      <w:pPr>
        <w:jc w:val="both"/>
        <w:ind w:firstLine="656"/>
        <w:spacing w:after="0" w:line="252" w:lineRule="auto"/>
        <w:tabs>
          <w:tab w:leader="none" w:pos="1107"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Plan and Award Agreements.</w:t>
      </w:r>
      <w:r>
        <w:rPr>
          <w:rFonts w:ascii="Times New Roman" w:cs="Times New Roman" w:eastAsia="Times New Roman" w:hAnsi="Times New Roman"/>
          <w:sz w:val="22"/>
          <w:szCs w:val="22"/>
          <w:color w:val="auto"/>
        </w:rPr>
        <w:t xml:space="preserve"> Except as modified herein, all other provisions of the Equity Plan and the Award Agreements shall remain in full force and effect. For the avoidance of doubt, in no event shall any provision of this Agreement limit the Committee’s authority pursuant to Section 5(c) of the Equity Plan (Shares Available for Awards) or Section 12(c) of the Equity Plan (Effects of Termination of Service or a Change of Control on Awards).</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ectPr>
          <w:pgSz w:w="11900" w:h="16838" w:orient="portrait"/>
          <w:cols w:equalWidth="0" w:num="1">
            <w:col w:w="11240"/>
          </w:cols>
          <w:pgMar w:left="320" w:top="12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644"/>
        <w:spacing w:after="0" w:line="257" w:lineRule="auto"/>
        <w:tabs>
          <w:tab w:leader="none" w:pos="123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Agreement and any claim related directly or indirectly to this Agreement or any Covered Award shall be governed and construed in accordance with the laws of the State of Connecticut (without giving regard to the conflicts of law provisions thereof).</w:t>
      </w:r>
    </w:p>
    <w:p>
      <w:pPr>
        <w:spacing w:after="0" w:line="213" w:lineRule="exact"/>
        <w:rPr>
          <w:rFonts w:ascii="Times New Roman" w:cs="Times New Roman" w:eastAsia="Times New Roman" w:hAnsi="Times New Roman"/>
          <w:sz w:val="22"/>
          <w:szCs w:val="22"/>
          <w:color w:val="auto"/>
        </w:rPr>
      </w:pPr>
    </w:p>
    <w:p>
      <w:pPr>
        <w:ind w:right="20" w:firstLine="644"/>
        <w:spacing w:after="0" w:line="271" w:lineRule="auto"/>
        <w:tabs>
          <w:tab w:leader="none" w:pos="114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This Agreement may not be altered, modified or amended except by written instrument signed by the parties hereto.</w:t>
      </w:r>
    </w:p>
    <w:p>
      <w:pPr>
        <w:spacing w:after="0" w:line="184" w:lineRule="exact"/>
        <w:rPr>
          <w:rFonts w:ascii="Times New Roman" w:cs="Times New Roman" w:eastAsia="Times New Roman" w:hAnsi="Times New Roman"/>
          <w:sz w:val="22"/>
          <w:szCs w:val="22"/>
          <w:color w:val="auto"/>
        </w:rPr>
      </w:pPr>
    </w:p>
    <w:p>
      <w:pPr>
        <w:jc w:val="both"/>
        <w:ind w:firstLine="644"/>
        <w:spacing w:after="0" w:line="250" w:lineRule="auto"/>
        <w:tabs>
          <w:tab w:leader="none" w:pos="1185"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Status.</w:t>
      </w:r>
      <w:r>
        <w:rPr>
          <w:rFonts w:ascii="Times New Roman" w:cs="Times New Roman" w:eastAsia="Times New Roman" w:hAnsi="Times New Roman"/>
          <w:sz w:val="22"/>
          <w:szCs w:val="22"/>
          <w:color w:val="auto"/>
        </w:rPr>
        <w:t xml:space="preserve"> This Agreement does not constitute a contract of employment or impose on you, the Company or any Affiliate any obligation to retain you as an employee of the Company or any of its Subsidiaries, to change the status of your employment, or to change the policies of the Company or any Affiliate regarding termination of employment. Nothing contained in this Agreement will be construed as (i) an employment contract between you and the Company or any Affiliate; (ii) conferring on you a right to be continued in the employment of the Company or its Affiliates; or (iii) a limitation of the right of the Company or its Affiliates to discharge you, with or without Cause, at any time.</w:t>
      </w:r>
    </w:p>
    <w:p>
      <w:pPr>
        <w:spacing w:after="0" w:line="207" w:lineRule="exact"/>
        <w:rPr>
          <w:rFonts w:ascii="Times New Roman" w:cs="Times New Roman" w:eastAsia="Times New Roman" w:hAnsi="Times New Roman"/>
          <w:sz w:val="22"/>
          <w:szCs w:val="22"/>
          <w:color w:val="auto"/>
        </w:rPr>
      </w:pPr>
    </w:p>
    <w:p>
      <w:pPr>
        <w:ind w:firstLine="644"/>
        <w:spacing w:after="0" w:line="271" w:lineRule="auto"/>
        <w:tabs>
          <w:tab w:leader="none" w:pos="115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Awards.</w:t>
      </w:r>
      <w:r>
        <w:rPr>
          <w:rFonts w:ascii="Times New Roman" w:cs="Times New Roman" w:eastAsia="Times New Roman" w:hAnsi="Times New Roman"/>
          <w:sz w:val="22"/>
          <w:szCs w:val="22"/>
          <w:color w:val="auto"/>
        </w:rPr>
        <w:t xml:space="preserve"> Nothing in this Agreement shall create any contractual or other right to receive future awards pursuant to the Equity Plan, or benefits in lieu of such awards.</w:t>
      </w:r>
    </w:p>
    <w:p>
      <w:pPr>
        <w:spacing w:after="0" w:line="198" w:lineRule="exact"/>
        <w:rPr>
          <w:rFonts w:ascii="Times New Roman" w:cs="Times New Roman" w:eastAsia="Times New Roman" w:hAnsi="Times New Roman"/>
          <w:sz w:val="22"/>
          <w:szCs w:val="22"/>
          <w:color w:val="auto"/>
        </w:rPr>
      </w:pPr>
    </w:p>
    <w:p>
      <w:pPr>
        <w:jc w:val="both"/>
        <w:ind w:firstLine="644"/>
        <w:spacing w:after="0" w:line="252" w:lineRule="auto"/>
        <w:tabs>
          <w:tab w:leader="none" w:pos="111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Validity and Severability.</w:t>
      </w:r>
      <w:r>
        <w:rPr>
          <w:rFonts w:ascii="Times New Roman" w:cs="Times New Roman" w:eastAsia="Times New Roman" w:hAnsi="Times New Roman"/>
          <w:sz w:val="22"/>
          <w:szCs w:val="22"/>
          <w:color w:val="auto"/>
        </w:rPr>
        <w:t xml:space="preserve"> The invalidity or unenforceability of any provision of the this Agreement shall not affect the validity or enforceability of any other provision of this Agreement, which shall remain in full force and effect, and any prohibition or unenforceability in any jurisdiction shall not invalidate or render unenforceable such provision in any other jurisdiction.</w:t>
      </w:r>
    </w:p>
    <w:p>
      <w:pPr>
        <w:spacing w:after="0" w:line="206" w:lineRule="exact"/>
        <w:rPr>
          <w:rFonts w:ascii="Times New Roman" w:cs="Times New Roman" w:eastAsia="Times New Roman" w:hAnsi="Times New Roman"/>
          <w:sz w:val="22"/>
          <w:szCs w:val="22"/>
          <w:color w:val="auto"/>
        </w:rPr>
      </w:pPr>
    </w:p>
    <w:p>
      <w:pPr>
        <w:jc w:val="both"/>
        <w:ind w:firstLine="644"/>
        <w:spacing w:after="0" w:line="253" w:lineRule="auto"/>
        <w:tabs>
          <w:tab w:leader="none" w:pos="113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Non-Alienation.</w:t>
      </w:r>
      <w:r>
        <w:rPr>
          <w:rFonts w:ascii="Times New Roman" w:cs="Times New Roman" w:eastAsia="Times New Roman" w:hAnsi="Times New Roman"/>
          <w:sz w:val="22"/>
          <w:szCs w:val="22"/>
          <w:color w:val="auto"/>
        </w:rPr>
        <w:t xml:space="preserve"> No payments, benefits or rights hereunder shall be subject to anticipation, alienation, sale, transfer, assignment, pledge, encumbrance, attachment, garnishment, charge, execution or levy of any kind, either voluntary or involuntary, by your creditors or creditors of any of your beneficiaries. Any attempt to anticipate, alienate, sell, transfer, assign, pledge, encumber, attach, garnish, charge, execute or levy any payments, benefits or rights hereunder will be void and without effect.</w:t>
      </w:r>
    </w:p>
    <w:p>
      <w:pPr>
        <w:spacing w:after="0" w:line="205" w:lineRule="exact"/>
        <w:rPr>
          <w:rFonts w:ascii="Times New Roman" w:cs="Times New Roman" w:eastAsia="Times New Roman" w:hAnsi="Times New Roman"/>
          <w:sz w:val="22"/>
          <w:szCs w:val="22"/>
          <w:color w:val="auto"/>
        </w:rPr>
      </w:pPr>
    </w:p>
    <w:p>
      <w:pPr>
        <w:jc w:val="both"/>
        <w:ind w:firstLine="644"/>
        <w:spacing w:after="0" w:line="250" w:lineRule="auto"/>
        <w:tabs>
          <w:tab w:leader="none" w:pos="114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It is intended that the provisions of this Agreement comply with, or be exempt from, Section 409A of the Internal Revenue Code of 1986, as amended, and the regulations promulgated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all provisions of this Agreement shall be construed and interpreted in a manner consistent with the requirements for avoiding taxes or penalties under Section 409A. For purposes of Section 409A, each payment hereunder will be deemed to be a separate payment as permitted under Treasury Regulation Section 1.409A-2(b)(2)(iii). If you are a Specified Employee, no payments or benefits under this Agreement that constitute nonqualified deferred compensation subject to Section 409A shall be made to you prior to the date that is six months after your Date of Termination, or such earlier date upon which such amount can be</w:t>
      </w:r>
    </w:p>
    <w:p>
      <w:pPr>
        <w:sectPr>
          <w:pgSz w:w="11900" w:h="16838" w:orient="portrait"/>
          <w:cols w:equalWidth="0" w:num="1">
            <w:col w:w="10580"/>
          </w:cols>
          <w:pgMar w:left="980" w:top="12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paid or provided under Section 409A without being subject to additional taxes thereunder. Following any applicable six-month delay, all such delayed payments will be paid in a single lump sum on the earliest date permitted under Section 409A that is also a business day. In the event that either you or the Company determine that any provision of this agreement does not comply with Section 409A, you and the Company shall work together in good faith to amend this Agreement or make any necessary corrections in order to comply with Section 409A. In any case, you shall be solely responsible and liable for the satisfaction of all taxes and penalties that may be imposed on you or for your account in connection with this agreement (including any taxes and penalties under Section 409A), and the Company shall have no obligation to indemnify or otherwise hold you harmless from any or all of such taxes or penalties. The Company makes no representations concerning the tax consequences of this agreement under Section 409A or any other U.S. federal, state or local tax law, or any non-U.S. tax law. Your tax consequences shall depend, in part, upon the application of relevant tax law, including Section 409A, to the relevant facts and circumstances.</w:t>
      </w:r>
    </w:p>
    <w:p>
      <w:pPr>
        <w:spacing w:after="0" w:line="216" w:lineRule="exact"/>
        <w:rPr>
          <w:sz w:val="20"/>
          <w:szCs w:val="20"/>
          <w:color w:val="auto"/>
        </w:rPr>
      </w:pPr>
    </w:p>
    <w:p>
      <w:pPr>
        <w:jc w:val="both"/>
        <w:ind w:firstLine="644"/>
        <w:spacing w:after="0" w:line="249" w:lineRule="auto"/>
        <w:tabs>
          <w:tab w:leader="none" w:pos="111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 xml:space="preserve"> In consideration for the rights provided pursuant to this Agreement, you hereby reaffirm your obligations pursuant to the restrictive covenants set forth in the Equity Plan and the Award Agreements (including, without limitation, those relating to non-competition, non-solicitation, confidentiality and proprietary information), and you hereby reaffirm the applicability to the Covered Awards of the clawback provisions set forth in Section 19(b) of the Equity Plan (Cancellation or “Clawback” of Awards). In addition, you hereby acknowledge and agree that any Covered Awards granted to you following the date hereof shall be subject to the restrictive covenants and clawback provisions applicable thereto, as set forth in the Equity Plan, any other relevant equity compensation plan or the applicable Award Agreement.</w:t>
      </w:r>
    </w:p>
    <w:p>
      <w:pPr>
        <w:spacing w:after="0" w:line="222" w:lineRule="exact"/>
        <w:rPr>
          <w:rFonts w:ascii="Times New Roman" w:cs="Times New Roman" w:eastAsia="Times New Roman" w:hAnsi="Times New Roman"/>
          <w:sz w:val="22"/>
          <w:szCs w:val="22"/>
          <w:color w:val="auto"/>
        </w:rPr>
      </w:pPr>
    </w:p>
    <w:p>
      <w:pPr>
        <w:jc w:val="both"/>
        <w:ind w:firstLine="644"/>
        <w:spacing w:after="0" w:line="250" w:lineRule="auto"/>
        <w:tabs>
          <w:tab w:leader="none" w:pos="118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 of this Agreement.</w:t>
      </w:r>
      <w:r>
        <w:rPr>
          <w:rFonts w:ascii="Times New Roman" w:cs="Times New Roman" w:eastAsia="Times New Roman" w:hAnsi="Times New Roman"/>
          <w:sz w:val="22"/>
          <w:szCs w:val="22"/>
          <w:color w:val="auto"/>
        </w:rPr>
        <w:t xml:space="preserve"> You agree, and it is your intent, to sign and submit this Agreement and affirmation by clicking “I accept” below. You understand that signing and submitting this Agreement and affirmation in this fashion is the legal equivalent of having placed your handwritten signature on this Agreement and affirmation. You understand and agree that by electronically signing and submitting this Agreement in this fashion, you are accepting that the Covered Awards are subject to all applicable terms and conditions set forth in this Agreement. You also consent to electronic delivery of all notices or other information with respect to the Covered Awards, the Equity Plan or the Company.</w:t>
      </w:r>
    </w:p>
    <w:p>
      <w:pPr>
        <w:spacing w:after="0" w:line="200" w:lineRule="exact"/>
        <w:rPr>
          <w:sz w:val="20"/>
          <w:szCs w:val="20"/>
          <w:color w:val="auto"/>
        </w:rPr>
      </w:pPr>
    </w:p>
    <w:p>
      <w:pPr>
        <w:spacing w:after="0" w:line="2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[REMAINDER OF THIS PAGE WAS INTENTIONALLY LEFT BLANK]</w:t>
      </w:r>
    </w:p>
    <w:p>
      <w:pPr>
        <w:sectPr>
          <w:pgSz w:w="11900" w:h="16838" w:orient="portrait"/>
          <w:cols w:equalWidth="0" w:num="1">
            <w:col w:w="10580"/>
          </w:cols>
          <w:pgMar w:left="980" w:top="12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FACTSET RESEARCH SYSTEMS INC.</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______________________</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w:t>
      </w:r>
    </w:p>
    <w:p>
      <w:pPr>
        <w:spacing w:after="0" w:line="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______________________</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ectPr>
          <w:pgSz w:w="11900" w:h="16838" w:orient="portrait"/>
          <w:cols w:equalWidth="0" w:num="1">
            <w:col w:w="11240"/>
          </w:cols>
          <w:pgMar w:left="320" w:top="126" w:right="339" w:bottom="1440" w:gutter="0" w:footer="0" w:header="0"/>
        </w:sectPr>
      </w:pPr>
    </w:p>
    <w:bookmarkStart w:id="94" w:name="page95"/>
    <w:bookmarkEnd w:id="94"/>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Sanoke Viswanathan, certify that:</w:t>
      </w:r>
    </w:p>
    <w:p>
      <w:pPr>
        <w:spacing w:after="0" w:line="185" w:lineRule="exact"/>
        <w:rPr>
          <w:sz w:val="20"/>
          <w:szCs w:val="20"/>
          <w:color w:val="auto"/>
        </w:rPr>
      </w:pPr>
    </w:p>
    <w:p>
      <w:pPr>
        <w:ind w:left="500" w:hanging="492"/>
        <w:spacing w:after="0"/>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Sanoke Viswanathan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95" w:name="page96"/>
    <w:bookmarkEnd w:id="95"/>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April 2,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28, 2026, as filed with the Securities and Exchange Commission on the date hereof (the “Report”), I, Sanoke Viswanathan,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Sanoke Viswanathan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2, 2026</w:t>
      </w:r>
    </w:p>
    <w:p>
      <w:pPr>
        <w:sectPr>
          <w:pgSz w:w="11900" w:h="16838" w:orient="portrait"/>
          <w:cols w:equalWidth="0" w:num="1">
            <w:col w:w="11240"/>
          </w:cols>
          <w:pgMar w:left="320" w:top="88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28, 2026, as filed with the Securities and Exchange Commission on the date hereof (the “Report”), I, Helen L. Shan,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April 2,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x"/>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1)"/>
      <w:numFmt w:val="decimal"/>
      <w:start w:val="1"/>
    </w:lvl>
  </w:abstractNum>
  <w:abstractNum w:abstractNumId="4">
    <w:nsid w:val="2F305DEF"/>
    <w:multiLevelType w:val="hybridMultilevel"/>
    <w:lvl w:ilvl="0">
      <w:lvlJc w:val="left"/>
      <w:lvlText w:val="(%1)"/>
      <w:numFmt w:val="decimal"/>
      <w:start w:val="1"/>
    </w:lvl>
  </w:abstractNum>
  <w:abstractNum w:abstractNumId="5">
    <w:nsid w:val="25A70BF7"/>
    <w:multiLevelType w:val="hybridMultilevel"/>
    <w:lvl w:ilvl="0">
      <w:lvlJc w:val="left"/>
      <w:lvlText w:val="(%1)"/>
      <w:numFmt w:val="decimal"/>
      <w:start w:val="1"/>
    </w:lvl>
  </w:abstractNum>
  <w:abstractNum w:abstractNumId="6">
    <w:nsid w:val="1DBABF00"/>
    <w:multiLevelType w:val="hybridMultilevel"/>
    <w:lvl w:ilvl="0">
      <w:lvlJc w:val="left"/>
      <w:lvlText w:val="(%1)"/>
      <w:numFmt w:val="decimal"/>
      <w:start w:val="1"/>
    </w:lvl>
  </w:abstractNum>
  <w:abstractNum w:abstractNumId="7">
    <w:nsid w:val="4AD084E9"/>
    <w:multiLevelType w:val="hybridMultilevel"/>
    <w:lvl w:ilvl="0">
      <w:lvlJc w:val="left"/>
      <w:lvlText w:val="(%1)"/>
      <w:numFmt w:val="decimal"/>
      <w:start w:val="1"/>
    </w:lvl>
  </w:abstractNum>
  <w:abstractNum w:abstractNumId="8">
    <w:nsid w:val="1F48EAA1"/>
    <w:multiLevelType w:val="hybridMultilevel"/>
    <w:lvl w:ilvl="0">
      <w:lvlJc w:val="left"/>
      <w:lvlText w:val="(%1)"/>
      <w:numFmt w:val="decimal"/>
      <w:start w:val="1"/>
    </w:lvl>
  </w:abstractNum>
  <w:abstractNum w:abstractNumId="9">
    <w:nsid w:val="1381823A"/>
    <w:multiLevelType w:val="hybridMultilevel"/>
    <w:lvl w:ilvl="0">
      <w:lvlJc w:val="left"/>
      <w:lvlText w:val="(%1)"/>
      <w:numFmt w:val="decimal"/>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1)"/>
      <w:numFmt w:val="decimal"/>
      <w:start w:val="1"/>
    </w:lvl>
  </w:abstractNum>
  <w:abstractNum w:abstractNumId="12">
    <w:nsid w:val="6590700B"/>
    <w:multiLevelType w:val="hybridMultilevel"/>
    <w:lvl w:ilvl="0">
      <w:lvlJc w:val="left"/>
      <w:lvlText w:val="(%1)"/>
      <w:numFmt w:val="decimal"/>
      <w:start w:val="1"/>
    </w:lvl>
  </w:abstractNum>
  <w:abstractNum w:abstractNumId="13">
    <w:nsid w:val="15014ACB"/>
    <w:multiLevelType w:val="hybridMultilevel"/>
    <w:lvl w:ilvl="0">
      <w:lvlJc w:val="left"/>
      <w:lvlText w:val="(%1)"/>
      <w:numFmt w:val="decimal"/>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endash "/>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1)"/>
      <w:numFmt w:val="decimal"/>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1)"/>
      <w:numFmt w:val="lowerRoman"/>
      <w:start w:val="1"/>
    </w:lvl>
  </w:abstractNum>
  <w:abstractNum w:abstractNumId="29">
    <w:nsid w:val="42963E5A"/>
    <w:multiLevelType w:val="hybridMultilevel"/>
    <w:lvl w:ilvl="0">
      <w:lvlJc w:val="left"/>
      <w:lvlText w:val="(%1)"/>
      <w:numFmt w:val="decimal"/>
      <w:start w:val="1"/>
    </w:lvl>
  </w:abstractNum>
  <w:abstractNum w:abstractNumId="30">
    <w:nsid w:val="A0382C5"/>
    <w:multiLevelType w:val="hybridMultilevel"/>
    <w:lvl w:ilvl="0">
      <w:lvlJc w:val="left"/>
      <w:lvlText w:val="%1."/>
      <w:numFmt w:val="decimal"/>
      <w:start w:val="1"/>
    </w:lvl>
  </w:abstractNum>
  <w:abstractNum w:abstractNumId="31">
    <w:nsid w:val="8F2B15E"/>
    <w:multiLevelType w:val="hybridMultilevel"/>
    <w:lvl w:ilvl="0">
      <w:lvlJc w:val="left"/>
      <w:lvlText w:val="%1."/>
      <w:numFmt w:val="decimal"/>
      <w:start w:val="2"/>
    </w:lvl>
  </w:abstractNum>
  <w:abstractNum w:abstractNumId="32">
    <w:nsid w:val="1A32234B"/>
    <w:multiLevelType w:val="hybridMultilevel"/>
    <w:lvl w:ilvl="0">
      <w:lvlJc w:val="left"/>
      <w:lvlText w:val="%1."/>
      <w:numFmt w:val="decimal"/>
      <w:start w:val="3"/>
    </w:lvl>
  </w:abstractNum>
  <w:abstractNum w:abstractNumId="33">
    <w:nsid w:val="3B0FD379"/>
    <w:multiLevelType w:val="hybridMultilevel"/>
    <w:lvl w:ilvl="0">
      <w:lvlJc w:val="left"/>
      <w:lvlText w:val="%1."/>
      <w:numFmt w:val="decimal"/>
      <w:start w:val="4"/>
    </w:lvl>
  </w:abstractNum>
  <w:abstractNum w:abstractNumId="34">
    <w:nsid w:val="68EB2F63"/>
    <w:multiLevelType w:val="hybridMultilevel"/>
    <w:lvl w:ilvl="0">
      <w:lvlJc w:val="left"/>
      <w:lvlText w:val="%1."/>
      <w:numFmt w:val="decimal"/>
      <w:start w:val="5"/>
    </w:lvl>
  </w:abstractNum>
  <w:abstractNum w:abstractNumId="35">
    <w:nsid w:val="4962813B"/>
    <w:multiLevelType w:val="hybridMultilevel"/>
    <w:lvl w:ilvl="0">
      <w:lvlJc w:val="left"/>
      <w:lvlText w:val="%1."/>
      <w:numFmt w:val="decimal"/>
      <w:start w:val="6"/>
    </w:lvl>
  </w:abstractNum>
  <w:abstractNum w:abstractNumId="36">
    <w:nsid w:val="60B6DF70"/>
    <w:multiLevelType w:val="hybridMultilevel"/>
    <w:lvl w:ilvl="0">
      <w:lvlJc w:val="left"/>
      <w:lvlText w:val="%1."/>
      <w:numFmt w:val="decimal"/>
      <w:start w:val="7"/>
    </w:lvl>
  </w:abstractNum>
  <w:abstractNum w:abstractNumId="37">
    <w:nsid w:val="6A5EE64"/>
    <w:multiLevelType w:val="hybridMultilevel"/>
    <w:lvl w:ilvl="0">
      <w:lvlJc w:val="left"/>
      <w:lvlText w:val="%1."/>
      <w:numFmt w:val="decimal"/>
      <w:start w:val="8"/>
    </w:lvl>
  </w:abstractNum>
  <w:abstractNum w:abstractNumId="38">
    <w:nsid w:val="14330624"/>
    <w:multiLevelType w:val="hybridMultilevel"/>
    <w:lvl w:ilvl="0">
      <w:lvlJc w:val="left"/>
      <w:lvlText w:val="%1."/>
      <w:numFmt w:val="lowerLetter"/>
      <w:start w:val="1"/>
    </w:lvl>
  </w:abstractNum>
  <w:abstractNum w:abstractNumId="39">
    <w:nsid w:val="7FFFCA11"/>
    <w:multiLevelType w:val="hybridMultilevel"/>
    <w:lvl w:ilvl="0">
      <w:lvlJc w:val="left"/>
      <w:lvlText w:val="%1"/>
      <w:numFmt w:val="decimal"/>
      <w:start w:val="1"/>
    </w:lvl>
    <w:lvl w:ilvl="1">
      <w:lvlJc w:val="left"/>
      <w:lvlText w:val="%2."/>
      <w:numFmt w:val="lowerLetter"/>
      <w:start w:val="3"/>
    </w:lvl>
  </w:abstractNum>
  <w:abstractNum w:abstractNumId="40">
    <w:nsid w:val="1A27709E"/>
    <w:multiLevelType w:val="hybridMultilevel"/>
    <w:lvl w:ilvl="0">
      <w:lvlJc w:val="left"/>
      <w:lvlText w:val="%1."/>
      <w:numFmt w:val="decimal"/>
      <w:start w:val="9"/>
    </w:lvl>
    <w:lvl w:ilvl="1">
      <w:lvlJc w:val="left"/>
      <w:lvlText w:val="%2"/>
      <w:numFmt w:val="lowerLetter"/>
      <w:start w:val="1"/>
    </w:lvl>
  </w:abstractNum>
  <w:abstractNum w:abstractNumId="41">
    <w:nsid w:val="71EA1109"/>
    <w:multiLevelType w:val="hybridMultilevel"/>
    <w:lvl w:ilvl="0">
      <w:lvlJc w:val="left"/>
      <w:lvlText w:val="%1."/>
      <w:numFmt w:val="decimal"/>
      <w:start w:val="10"/>
    </w:lvl>
  </w:abstractNum>
  <w:abstractNum w:abstractNumId="42">
    <w:nsid w:val="100F59DC"/>
    <w:multiLevelType w:val="hybridMultilevel"/>
    <w:lvl w:ilvl="0">
      <w:lvlJc w:val="left"/>
      <w:lvlText w:val="%1."/>
      <w:numFmt w:val="decimal"/>
      <w:start w:val="11"/>
    </w:lvl>
    <w:lvl w:ilvl="1">
      <w:lvlJc w:val="left"/>
      <w:lvlText w:val="%2."/>
      <w:numFmt w:val="lowerLetter"/>
      <w:start w:val="1"/>
    </w:lvl>
  </w:abstractNum>
  <w:abstractNum w:abstractNumId="43">
    <w:nsid w:val="7FB7E0AA"/>
    <w:multiLevelType w:val="hybridMultilevel"/>
    <w:lvl w:ilvl="0">
      <w:lvlJc w:val="left"/>
      <w:lvlText w:val="%1."/>
      <w:numFmt w:val="decimal"/>
      <w:start w:val="13"/>
    </w:lvl>
  </w:abstractNum>
  <w:abstractNum w:abstractNumId="44">
    <w:nsid w:val="6EB5BD4"/>
    <w:multiLevelType w:val="hybridMultilevel"/>
    <w:lvl w:ilvl="0">
      <w:lvlJc w:val="left"/>
      <w:lvlText w:val="%1."/>
      <w:numFmt w:val="lowerLetter"/>
      <w:start w:val="1"/>
    </w:lvl>
  </w:abstractNum>
  <w:abstractNum w:abstractNumId="45">
    <w:nsid w:val="6F6DD9AC"/>
    <w:multiLevelType w:val="hybridMultilevel"/>
    <w:lvl w:ilvl="0">
      <w:lvlJc w:val="left"/>
      <w:lvlText w:val="%1"/>
      <w:numFmt w:val="decimal"/>
      <w:start w:val="1"/>
    </w:lvl>
    <w:lvl w:ilvl="1">
      <w:lvlJc w:val="left"/>
      <w:lvlText w:val="%2."/>
      <w:numFmt w:val="lowerLetter"/>
      <w:start w:val="12"/>
    </w:lvl>
  </w:abstractNum>
  <w:abstractNum w:abstractNumId="46">
    <w:nsid w:val="94211F2"/>
    <w:multiLevelType w:val="hybridMultilevel"/>
    <w:lvl w:ilvl="0">
      <w:lvlJc w:val="left"/>
      <w:lvlText w:val="%1."/>
      <w:numFmt w:val="decimal"/>
      <w:start w:val="14"/>
    </w:lvl>
    <w:lvl w:ilvl="1">
      <w:lvlJc w:val="left"/>
      <w:lvlText w:val="%2"/>
      <w:numFmt w:val="lowerLetter"/>
      <w:start w:val="1"/>
    </w:lvl>
  </w:abstractNum>
  <w:abstractNum w:abstractNumId="47">
    <w:nsid w:val="885E1B"/>
    <w:multiLevelType w:val="hybridMultilevel"/>
    <w:lvl w:ilvl="0">
      <w:lvlJc w:val="left"/>
      <w:lvlText w:val="%1."/>
      <w:numFmt w:val="decimal"/>
      <w:start w:val="15"/>
    </w:lvl>
  </w:abstractNum>
  <w:abstractNum w:abstractNumId="48">
    <w:nsid w:val="76272110"/>
    <w:multiLevelType w:val="hybridMultilevel"/>
    <w:lvl w:ilvl="0">
      <w:lvlJc w:val="left"/>
      <w:lvlText w:val="%1."/>
      <w:numFmt w:val="decimal"/>
      <w:start w:val="16"/>
    </w:lvl>
  </w:abstractNum>
  <w:abstractNum w:abstractNumId="49">
    <w:nsid w:val="4C04A8AF"/>
    <w:multiLevelType w:val="hybridMultilevel"/>
    <w:lvl w:ilvl="0">
      <w:lvlJc w:val="left"/>
      <w:lvlText w:val="%1."/>
      <w:numFmt w:val="decimal"/>
      <w:start w:val="17"/>
    </w:lvl>
  </w:abstractNum>
  <w:abstractNum w:abstractNumId="50">
    <w:nsid w:val="1716703B"/>
    <w:multiLevelType w:val="hybridMultilevel"/>
    <w:lvl w:ilvl="0">
      <w:lvlJc w:val="left"/>
      <w:lvlText w:val="%1."/>
      <w:numFmt w:val="decimal"/>
      <w:start w:val="18"/>
    </w:lvl>
  </w:abstractNum>
  <w:abstractNum w:abstractNumId="51">
    <w:nsid w:val="14E17E33"/>
    <w:multiLevelType w:val="hybridMultilevel"/>
    <w:lvl w:ilvl="0">
      <w:lvlJc w:val="left"/>
      <w:lvlText w:val="%1."/>
      <w:numFmt w:val="decimal"/>
      <w:start w:val="19"/>
    </w:lvl>
  </w:abstractNum>
  <w:abstractNum w:abstractNumId="52">
    <w:nsid w:val="3222E7CD"/>
    <w:multiLevelType w:val="hybridMultilevel"/>
    <w:lvl w:ilvl="0">
      <w:lvlJc w:val="left"/>
      <w:lvlText w:val="%1."/>
      <w:numFmt w:val="decimal"/>
      <w:start w:val="20"/>
    </w:lvl>
  </w:abstractNum>
  <w:abstractNum w:abstractNumId="53">
    <w:nsid w:val="74DE0EE3"/>
    <w:multiLevelType w:val="hybridMultilevel"/>
    <w:lvl w:ilvl="0">
      <w:lvlJc w:val="left"/>
      <w:lvlText w:val="%1."/>
      <w:numFmt w:val="decimal"/>
      <w:start w:val="21"/>
    </w:lvl>
  </w:abstractNum>
  <w:abstractNum w:abstractNumId="54">
    <w:nsid w:val="68EBC550"/>
    <w:multiLevelType w:val="hybridMultilevel"/>
    <w:lvl w:ilvl="0">
      <w:lvlJc w:val="left"/>
      <w:lvlText w:val="%1."/>
      <w:numFmt w:val="decimal"/>
      <w:start w:val="22"/>
    </w:lvl>
  </w:abstractNum>
  <w:abstractNum w:abstractNumId="55">
    <w:nsid w:val="2DF6D648"/>
    <w:multiLevelType w:val="hybridMultilevel"/>
    <w:lvl w:ilvl="0">
      <w:lvlJc w:val="left"/>
      <w:lvlText w:val="%1."/>
      <w:numFmt w:val="decimal"/>
      <w:start w:val="23"/>
    </w:lvl>
  </w:abstractNum>
  <w:abstractNum w:abstractNumId="56">
    <w:nsid w:val="46B7D447"/>
    <w:multiLevelType w:val="hybridMultilevel"/>
    <w:lvl w:ilvl="0">
      <w:lvlJc w:val="left"/>
      <w:lvlText w:val="%1."/>
      <w:numFmt w:val="decimal"/>
      <w:start w:val="24"/>
    </w:lvl>
  </w:abstractNum>
  <w:abstractNum w:abstractNumId="57">
    <w:nsid w:val="4A2AC315"/>
    <w:multiLevelType w:val="hybridMultilevel"/>
    <w:lvl w:ilvl="0">
      <w:lvlJc w:val="left"/>
      <w:lvlText w:val="%1."/>
      <w:numFmt w:val="decimal"/>
      <w:start w:val="1"/>
    </w:lvl>
  </w:abstractNum>
  <w:abstractNum w:abstractNumId="58">
    <w:nsid w:val="39EE015C"/>
    <w:multiLevelType w:val="hybridMultilevel"/>
    <w:lvl w:ilvl="0">
      <w:lvlJc w:val="left"/>
      <w:lvlText w:val="%1."/>
      <w:numFmt w:val="decimal"/>
      <w:start w:val="2"/>
    </w:lvl>
  </w:abstractNum>
  <w:abstractNum w:abstractNumId="59">
    <w:nsid w:val="57FC4FBB"/>
    <w:multiLevelType w:val="hybridMultilevel"/>
    <w:lvl w:ilvl="0">
      <w:lvlJc w:val="left"/>
      <w:lvlText w:val="%1."/>
      <w:numFmt w:val="decimal"/>
      <w:start w:val="3"/>
    </w:lvl>
  </w:abstractNum>
  <w:abstractNum w:abstractNumId="60">
    <w:nsid w:val="CC1016F"/>
    <w:multiLevelType w:val="hybridMultilevel"/>
    <w:lvl w:ilvl="0">
      <w:lvlJc w:val="left"/>
      <w:lvlText w:val="%1."/>
      <w:numFmt w:val="decimal"/>
      <w:start w:val="4"/>
    </w:lvl>
  </w:abstractNum>
  <w:abstractNum w:abstractNumId="61">
    <w:nsid w:val="43F18422"/>
    <w:multiLevelType w:val="hybridMultilevel"/>
    <w:lvl w:ilvl="0">
      <w:lvlJc w:val="left"/>
      <w:lvlText w:val="(%1)"/>
      <w:numFmt w:val="upperLetter"/>
      <w:start w:val="1"/>
    </w:lvl>
  </w:abstractNum>
  <w:abstractNum w:abstractNumId="62">
    <w:nsid w:val="60EF0119"/>
    <w:multiLevelType w:val="hybridMultilevel"/>
    <w:lvl w:ilvl="0">
      <w:lvlJc w:val="left"/>
      <w:lvlText w:val="%1."/>
      <w:numFmt w:val="decimal"/>
      <w:start w:val="5"/>
    </w:lvl>
  </w:abstractNum>
  <w:abstractNum w:abstractNumId="63">
    <w:nsid w:val="26F324BA"/>
    <w:multiLevelType w:val="hybridMultilevel"/>
    <w:lvl w:ilvl="0">
      <w:lvlJc w:val="left"/>
      <w:lvlText w:val="%1"/>
      <w:numFmt w:val="decimal"/>
      <w:start w:val="1"/>
    </w:lvl>
    <w:lvl w:ilvl="1">
      <w:lvlJc w:val="left"/>
      <w:lvlText w:val="%2."/>
      <w:numFmt w:val="lowerLetter"/>
      <w:start w:val="1"/>
    </w:lvl>
  </w:abstractNum>
  <w:abstractNum w:abstractNumId="64">
    <w:nsid w:val="7F01579B"/>
    <w:multiLevelType w:val="hybridMultilevel"/>
    <w:lvl w:ilvl="0">
      <w:lvlJc w:val="left"/>
      <w:lvlText w:val="(%1)"/>
      <w:numFmt w:val="decimal"/>
      <w:start w:val="1"/>
    </w:lvl>
    <w:lvl w:ilvl="1">
      <w:lvlJc w:val="left"/>
      <w:lvlText w:val="%2."/>
      <w:numFmt w:val="lowerLetter"/>
      <w:start w:val="3"/>
    </w:lvl>
  </w:abstractNum>
  <w:abstractNum w:abstractNumId="65">
    <w:nsid w:val="49DA307D"/>
    <w:multiLevelType w:val="hybridMultilevel"/>
    <w:lvl w:ilvl="0">
      <w:lvlJc w:val="left"/>
      <w:lvlText w:val="%1."/>
      <w:numFmt w:val="decimal"/>
      <w:start w:val="6"/>
    </w:lvl>
  </w:abstractNum>
  <w:abstractNum w:abstractNumId="66">
    <w:nsid w:val="7055A5F5"/>
    <w:multiLevelType w:val="hybridMultilevel"/>
    <w:lvl w:ilvl="0">
      <w:lvlJc w:val="left"/>
      <w:lvlText w:val="%1."/>
      <w:numFmt w:val="decimal"/>
      <w:start w:val="7"/>
    </w:lvl>
  </w:abstractNum>
  <w:abstractNum w:abstractNumId="67">
    <w:nsid w:val="5FB8370B"/>
    <w:multiLevelType w:val="hybridMultilevel"/>
    <w:lvl w:ilvl="0">
      <w:lvlJc w:val="left"/>
      <w:lvlText w:val="%1."/>
      <w:numFmt w:val="decimal"/>
      <w:start w:val="8"/>
    </w:lvl>
    <w:lvl w:ilvl="1">
      <w:lvlJc w:val="left"/>
      <w:lvlText w:val="%2"/>
      <w:numFmt w:val="lowerLetter"/>
      <w:start w:val="1"/>
    </w:lvl>
  </w:abstractNum>
  <w:abstractNum w:abstractNumId="68">
    <w:nsid w:val="50801EE1"/>
    <w:multiLevelType w:val="hybridMultilevel"/>
    <w:lvl w:ilvl="0">
      <w:lvlJc w:val="left"/>
      <w:lvlText w:val="%1"/>
      <w:numFmt w:val="decimal"/>
      <w:start w:val="1"/>
    </w:lvl>
    <w:lvl w:ilvl="1">
      <w:lvlJc w:val="left"/>
      <w:lvlText w:val="%2."/>
      <w:numFmt w:val="lowerLetter"/>
      <w:start w:val="2"/>
    </w:lvl>
  </w:abstractNum>
  <w:abstractNum w:abstractNumId="69">
    <w:nsid w:val="488AC1A"/>
    <w:multiLevelType w:val="hybridMultilevel"/>
    <w:lvl w:ilvl="0">
      <w:lvlJc w:val="left"/>
      <w:lvlText w:val="%1."/>
      <w:numFmt w:val="decimal"/>
      <w:start w:val="9"/>
    </w:lvl>
    <w:lvl w:ilvl="1">
      <w:lvlJc w:val="left"/>
      <w:lvlText w:val="%2"/>
      <w:numFmt w:val="lowerLetter"/>
      <w:start w:val="1"/>
    </w:lvl>
  </w:abstractNum>
  <w:abstractNum w:abstractNumId="70">
    <w:nsid w:val="5FB8011C"/>
    <w:multiLevelType w:val="hybridMultilevel"/>
    <w:lvl w:ilvl="0">
      <w:lvlJc w:val="left"/>
      <w:lvlText w:val="%1."/>
      <w:numFmt w:val="decimal"/>
      <w:start w:val="10"/>
    </w:lvl>
  </w:abstractNum>
  <w:abstractNum w:abstractNumId="71">
    <w:nsid w:val="6AA78F7F"/>
    <w:multiLevelType w:val="hybridMultilevel"/>
    <w:lvl w:ilvl="0">
      <w:lvlJc w:val="left"/>
      <w:lvlText w:val="(%1)"/>
      <w:numFmt w:val="lowerRoman"/>
      <w:start w:val="1"/>
    </w:lvl>
  </w:abstractNum>
  <w:abstractNum w:abstractNumId="72">
    <w:nsid w:val="7672BD23"/>
    <w:multiLevelType w:val="hybridMultilevel"/>
    <w:lvl w:ilvl="0">
      <w:lvlJc w:val="left"/>
      <w:lvlText w:val="%1"/>
      <w:numFmt w:val="decimal"/>
      <w:start w:val="1"/>
    </w:lvl>
    <w:lvl w:ilvl="1">
      <w:lvlJc w:val="left"/>
      <w:lvlText w:val="(%2)"/>
      <w:numFmt w:val="lowerRoman"/>
      <w:start w:val="2"/>
    </w:lvl>
  </w:abstractNum>
  <w:abstractNum w:abstractNumId="73">
    <w:nsid w:val="6FC75AF8"/>
    <w:multiLevelType w:val="hybridMultilevel"/>
    <w:lvl w:ilvl="0">
      <w:lvlJc w:val="left"/>
      <w:lvlText w:val="%1."/>
      <w:numFmt w:val="decimal"/>
      <w:start w:val="11"/>
    </w:lvl>
    <w:lvl w:ilvl="1">
      <w:lvlJc w:val="left"/>
      <w:lvlText w:val="%2"/>
      <w:numFmt w:val="lowerRoman"/>
      <w:start w:val="1"/>
    </w:lvl>
  </w:abstractNum>
  <w:abstractNum w:abstractNumId="74">
    <w:nsid w:val="6A5F7029"/>
    <w:multiLevelType w:val="hybridMultilevel"/>
    <w:lvl w:ilvl="0">
      <w:lvlJc w:val="left"/>
      <w:lvlText w:val="%1."/>
      <w:numFmt w:val="decimal"/>
      <w:start w:val="12"/>
    </w:lvl>
  </w:abstractNum>
  <w:abstractNum w:abstractNumId="75">
    <w:nsid w:val="7D5E18F8"/>
    <w:multiLevelType w:val="hybridMultilevel"/>
    <w:lvl w:ilvl="0">
      <w:lvlJc w:val="left"/>
      <w:lvlText w:val="%1."/>
      <w:numFmt w:val="decimal"/>
      <w:start w:val="13"/>
    </w:lvl>
  </w:abstractNum>
  <w:abstractNum w:abstractNumId="76">
    <w:nsid w:val="5F3534A4"/>
    <w:multiLevelType w:val="hybridMultilevel"/>
    <w:lvl w:ilvl="0">
      <w:lvlJc w:val="left"/>
      <w:lvlText w:val="%1."/>
      <w:numFmt w:val="decimal"/>
      <w:start w:val="14"/>
    </w:lvl>
  </w:abstractNum>
  <w:abstractNum w:abstractNumId="77">
    <w:nsid w:val="73A1821B"/>
    <w:multiLevelType w:val="hybridMultilevel"/>
    <w:lvl w:ilvl="0">
      <w:lvlJc w:val="left"/>
      <w:lvlText w:val="%1."/>
      <w:numFmt w:val="decimal"/>
      <w:start w:val="15"/>
    </w:lvl>
  </w:abstractNum>
  <w:abstractNum w:abstractNumId="78">
    <w:nsid w:val="7DE67713"/>
    <w:multiLevelType w:val="hybridMultilevel"/>
    <w:lvl w:ilvl="0">
      <w:lvlJc w:val="left"/>
      <w:lvlText w:val="%1."/>
      <w:numFmt w:val="decimal"/>
      <w:start w:val="16"/>
    </w:lvl>
  </w:abstractNum>
  <w:abstractNum w:abstractNumId="79">
    <w:nsid w:val="555C55B5"/>
    <w:multiLevelType w:val="hybridMultilevel"/>
    <w:lvl w:ilvl="0">
      <w:lvlJc w:val="left"/>
      <w:lvlText w:val="%1."/>
      <w:numFmt w:val="decimal"/>
      <w:start w:val="17"/>
    </w:lvl>
  </w:abstractNum>
  <w:abstractNum w:abstractNumId="80">
    <w:nsid w:val="3FA62ACA"/>
    <w:multiLevelType w:val="hybridMultilevel"/>
    <w:lvl w:ilvl="0">
      <w:lvlJc w:val="left"/>
      <w:lvlText w:val="%1."/>
      <w:numFmt w:val="decimal"/>
      <w:start w:val="18"/>
    </w:lvl>
  </w:abstractNum>
  <w:abstractNum w:abstractNumId="81">
    <w:nsid w:val="14FCE74E"/>
    <w:multiLevelType w:val="hybridMultilevel"/>
    <w:lvl w:ilvl="0">
      <w:lvlJc w:val="left"/>
      <w:lvlText w:val="%1."/>
      <w:numFmt w:val="decimal"/>
      <w:start w:val="19"/>
    </w:lvl>
  </w:abstractNum>
  <w:abstractNum w:abstractNumId="82">
    <w:nsid w:val="6A3DD3E8"/>
    <w:multiLevelType w:val="hybridMultilevel"/>
    <w:lvl w:ilvl="0">
      <w:lvlJc w:val="left"/>
      <w:lvlText w:val="%1."/>
      <w:numFmt w:val="decimal"/>
      <w:start w:val="20"/>
    </w:lvl>
  </w:abstractNum>
  <w:abstractNum w:abstractNumId="83">
    <w:nsid w:val="71C91298"/>
    <w:multiLevelType w:val="hybridMultilevel"/>
    <w:lvl w:ilvl="0">
      <w:lvlJc w:val="left"/>
      <w:lvlText w:val="%1."/>
      <w:numFmt w:val="decimal"/>
      <w:start w:val="21"/>
    </w:lvl>
  </w:abstractNum>
  <w:abstractNum w:abstractNumId="84">
    <w:nsid w:val="9DAF632"/>
    <w:multiLevelType w:val="hybridMultilevel"/>
    <w:lvl w:ilvl="0">
      <w:lvlJc w:val="left"/>
      <w:lvlText w:val="%1."/>
      <w:numFmt w:val="decimal"/>
      <w:start w:val="1"/>
    </w:lvl>
  </w:abstractNum>
  <w:abstractNum w:abstractNumId="85">
    <w:nsid w:val="53299938"/>
    <w:multiLevelType w:val="hybridMultilevel"/>
    <w:lvl w:ilvl="0">
      <w:lvlJc w:val="left"/>
      <w:lvlText w:val="%1."/>
      <w:numFmt w:val="decimal"/>
      <w:start w:val="2"/>
    </w:lvl>
  </w:abstractNum>
  <w:abstractNum w:abstractNumId="86">
    <w:nsid w:val="1FBFE8E0"/>
    <w:multiLevelType w:val="hybridMultilevel"/>
    <w:lvl w:ilvl="0">
      <w:lvlJc w:val="left"/>
      <w:lvlText w:val="%1."/>
      <w:numFmt w:val="decimal"/>
      <w:start w:val="3"/>
    </w:lvl>
  </w:abstractNum>
  <w:abstractNum w:abstractNumId="87">
    <w:nsid w:val="5092CA79"/>
    <w:multiLevelType w:val="hybridMultilevel"/>
    <w:lvl w:ilvl="0">
      <w:lvlJc w:val="left"/>
      <w:lvlText w:val="%1."/>
      <w:numFmt w:val="decimal"/>
      <w:start w:val="4"/>
    </w:lvl>
  </w:abstractNum>
  <w:abstractNum w:abstractNumId="88">
    <w:nsid w:val="1D545C4D"/>
    <w:multiLevelType w:val="hybridMultilevel"/>
    <w:lvl w:ilvl="0">
      <w:lvlJc w:val="left"/>
      <w:lvlText w:val="%1."/>
      <w:numFmt w:val="decimal"/>
      <w:start w:val="5"/>
    </w:lvl>
  </w:abstractNum>
  <w:abstractNum w:abstractNumId="89">
    <w:nsid w:val="59ADEA3D"/>
    <w:multiLevelType w:val="hybridMultilevel"/>
    <w:lvl w:ilvl="0">
      <w:lvlJc w:val="left"/>
      <w:lvlText w:val="(%1)"/>
      <w:numFmt w:val="upperLetter"/>
      <w:start w:val="2"/>
    </w:lvl>
  </w:abstractNum>
  <w:abstractNum w:abstractNumId="90">
    <w:nsid w:val="288F1A34"/>
    <w:multiLevelType w:val="hybridMultilevel"/>
    <w:lvl w:ilvl="0">
      <w:lvlJc w:val="left"/>
      <w:lvlText w:val="%1."/>
      <w:numFmt w:val="decimal"/>
      <w:start w:val="6"/>
    </w:lvl>
  </w:abstractNum>
  <w:abstractNum w:abstractNumId="91">
    <w:nsid w:val="2A155DBC"/>
    <w:multiLevelType w:val="hybridMultilevel"/>
    <w:lvl w:ilvl="0">
      <w:lvlJc w:val="left"/>
      <w:lvlText w:val="%1."/>
      <w:numFmt w:val="decimal"/>
      <w:start w:val="7"/>
    </w:lvl>
  </w:abstractNum>
  <w:abstractNum w:abstractNumId="92">
    <w:nsid w:val="1D9F6E5F"/>
    <w:multiLevelType w:val="hybridMultilevel"/>
    <w:lvl w:ilvl="0">
      <w:lvlJc w:val="left"/>
      <w:lvlText w:val="%1."/>
      <w:numFmt w:val="decimal"/>
      <w:start w:val="8"/>
    </w:lvl>
  </w:abstractNum>
  <w:abstractNum w:abstractNumId="93">
    <w:nsid w:val="97E1B4E"/>
    <w:multiLevelType w:val="hybridMultilevel"/>
    <w:lvl w:ilvl="0">
      <w:lvlJc w:val="left"/>
      <w:lvlText w:val="%1."/>
      <w:numFmt w:val="decimal"/>
      <w:start w:val="9"/>
    </w:lvl>
  </w:abstractNum>
  <w:abstractNum w:abstractNumId="94">
    <w:nsid w:val="51088277"/>
    <w:multiLevelType w:val="hybridMultilevel"/>
    <w:lvl w:ilvl="0">
      <w:lvlJc w:val="left"/>
      <w:lvlText w:val="%1."/>
      <w:numFmt w:val="decimal"/>
      <w:start w:val="10"/>
    </w:lvl>
  </w:abstractNum>
  <w:abstractNum w:abstractNumId="95">
    <w:nsid w:val="1CA0C5FA"/>
    <w:multiLevelType w:val="hybridMultilevel"/>
    <w:lvl w:ilvl="0">
      <w:lvlJc w:val="left"/>
      <w:lvlText w:val="%1."/>
      <w:numFmt w:val="decimal"/>
      <w:start w:val="11"/>
    </w:lvl>
  </w:abstractNum>
  <w:abstractNum w:abstractNumId="96">
    <w:nsid w:val="53584BCB"/>
    <w:multiLevelType w:val="hybridMultilevel"/>
    <w:lvl w:ilvl="0">
      <w:lvlJc w:val="left"/>
      <w:lvlText w:val="%1."/>
      <w:numFmt w:val="decimal"/>
      <w:start w:val="12"/>
    </w:lvl>
  </w:abstractNum>
  <w:abstractNum w:abstractNumId="97">
    <w:nsid w:val="415E286C"/>
    <w:multiLevelType w:val="hybridMultilevel"/>
    <w:lvl w:ilvl="0">
      <w:lvlJc w:val="left"/>
      <w:lvlText w:val="%1."/>
      <w:numFmt w:val="decimal"/>
      <w:start w:val="13"/>
    </w:lvl>
  </w:abstractNum>
  <w:abstractNum w:abstractNumId="98">
    <w:nsid w:val="7C58FD05"/>
    <w:multiLevelType w:val="hybridMultilevel"/>
    <w:lvl w:ilvl="0">
      <w:lvlJc w:val="left"/>
      <w:lvlText w:val="%1."/>
      <w:numFmt w:val="decimal"/>
      <w:start w:val="14"/>
    </w:lvl>
  </w:abstractNum>
  <w:abstractNum w:abstractNumId="99">
    <w:nsid w:val="23D86AAC"/>
    <w:multiLevelType w:val="hybridMultilevel"/>
    <w:lvl w:ilvl="0">
      <w:lvlJc w:val="left"/>
      <w:lvlText w:val="%1."/>
      <w:numFmt w:val="decimal"/>
      <w:start w:val="15"/>
    </w:lvl>
  </w:abstractNum>
  <w:abstractNum w:abstractNumId="100">
    <w:nsid w:val="45E6D486"/>
    <w:multiLevelType w:val="hybridMultilevel"/>
    <w:lvl w:ilvl="0">
      <w:lvlJc w:val="left"/>
      <w:lvlText w:val="%1."/>
      <w:numFmt w:val="decimal"/>
      <w:start w:val="16"/>
    </w:lvl>
  </w:abstractNum>
  <w:abstractNum w:abstractNumId="101">
    <w:nsid w:val="5C10FE21"/>
    <w:multiLevelType w:val="hybridMultilevel"/>
    <w:lvl w:ilvl="0">
      <w:lvlJc w:val="left"/>
      <w:lvlText w:val="%1."/>
      <w:numFmt w:val="decimal"/>
      <w:start w:val="17"/>
    </w:lvl>
  </w:abstractNum>
  <w:abstractNum w:abstractNumId="102">
    <w:nsid w:val="E7FFA2B"/>
    <w:multiLevelType w:val="hybridMultilevel"/>
    <w:lvl w:ilvl="0">
      <w:lvlJc w:val="left"/>
      <w:lvlText w:val="%1."/>
      <w:numFmt w:val="decimal"/>
      <w:start w:val="18"/>
    </w:lvl>
  </w:abstractNum>
  <w:abstractNum w:abstractNumId="103">
    <w:nsid w:val="3C5991AA"/>
    <w:multiLevelType w:val="hybridMultilevel"/>
    <w:lvl w:ilvl="0">
      <w:lvlJc w:val="left"/>
      <w:lvlText w:val="%1."/>
      <w:numFmt w:val="decimal"/>
      <w:start w:val="19"/>
    </w:lvl>
  </w:abstractNum>
  <w:abstractNum w:abstractNumId="104">
    <w:nsid w:val="4BD8591A"/>
    <w:multiLevelType w:val="hybridMultilevel"/>
    <w:lvl w:ilvl="0">
      <w:lvlJc w:val="left"/>
      <w:lvlText w:val="%1."/>
      <w:numFmt w:val="decimal"/>
      <w:start w:val="20"/>
    </w:lvl>
  </w:abstractNum>
  <w:abstractNum w:abstractNumId="105">
    <w:nsid w:val="78DF6A55"/>
    <w:multiLevelType w:val="hybridMultilevel"/>
    <w:lvl w:ilvl="0">
      <w:lvlJc w:val="left"/>
      <w:lvlText w:val="%1."/>
      <w:numFmt w:val="decimal"/>
      <w:start w:val="21"/>
    </w:lvl>
  </w:abstractNum>
  <w:abstractNum w:abstractNumId="106">
    <w:nsid w:val="39B7AAA2"/>
    <w:multiLevelType w:val="hybridMultilevel"/>
    <w:lvl w:ilvl="0">
      <w:lvlJc w:val="left"/>
      <w:lvlText w:val="%1."/>
      <w:numFmt w:val="decimal"/>
      <w:start w:val="22"/>
    </w:lvl>
  </w:abstractNum>
  <w:abstractNum w:abstractNumId="107">
    <w:nsid w:val="2B0D8DBE"/>
    <w:multiLevelType w:val="hybridMultilevel"/>
    <w:lvl w:ilvl="0">
      <w:lvlJc w:val="left"/>
      <w:lvlText w:val="%1."/>
      <w:numFmt w:val="decimal"/>
      <w:start w:val="23"/>
    </w:lvl>
  </w:abstractNum>
  <w:abstractNum w:abstractNumId="108">
    <w:nsid w:val="6C80EC70"/>
    <w:multiLevelType w:val="hybridMultilevel"/>
    <w:lvl w:ilvl="0">
      <w:lvlJc w:val="left"/>
      <w:lvlText w:val="(%1)"/>
      <w:numFmt w:val="lowerLetter"/>
      <w:start w:val="1"/>
    </w:lvl>
  </w:abstractNum>
  <w:abstractNum w:abstractNumId="109">
    <w:nsid w:val="379E21B5"/>
    <w:multiLevelType w:val="hybridMultilevel"/>
    <w:lvl w:ilvl="0">
      <w:lvlJc w:val="left"/>
      <w:lvlText w:val="%1."/>
      <w:numFmt w:val="decimal"/>
      <w:start w:val="24"/>
    </w:lvl>
  </w:abstractNum>
  <w:abstractNum w:abstractNumId="110">
    <w:nsid w:val="69E373"/>
    <w:multiLevelType w:val="hybridMultilevel"/>
    <w:lvl w:ilvl="0">
      <w:lvlJc w:val="left"/>
      <w:lvlText w:val="%1."/>
      <w:numFmt w:val="decimal"/>
      <w:start w:val="25"/>
    </w:lvl>
  </w:abstractNum>
  <w:abstractNum w:abstractNumId="111">
    <w:nsid w:val="2C27173B"/>
    <w:multiLevelType w:val="hybridMultilevel"/>
    <w:lvl w:ilvl="0">
      <w:lvlJc w:val="left"/>
      <w:lvlText w:val="%1."/>
      <w:numFmt w:val="decimal"/>
      <w:start w:val="1"/>
    </w:lvl>
    <w:lvl w:ilvl="1">
      <w:lvlJc w:val="left"/>
      <w:lvlText w:val="(%2)"/>
      <w:numFmt w:val="lowerLetter"/>
      <w:start w:val="1"/>
    </w:lvl>
  </w:abstractNum>
  <w:abstractNum w:abstractNumId="112">
    <w:nsid w:val="4C9B0904"/>
    <w:multiLevelType w:val="hybridMultilevel"/>
    <w:lvl w:ilvl="0">
      <w:lvlJc w:val="left"/>
      <w:lvlText w:val="%1"/>
      <w:numFmt w:val="lowerLetter"/>
      <w:start w:val="1"/>
    </w:lvl>
    <w:lvl w:ilvl="1">
      <w:lvlJc w:val="left"/>
      <w:lvlText w:val="(%2)"/>
      <w:numFmt w:val="lowerLetter"/>
      <w:start w:val="2"/>
    </w:lvl>
  </w:abstractNum>
  <w:abstractNum w:abstractNumId="113">
    <w:nsid w:val="6AA7B75C"/>
    <w:multiLevelType w:val="hybridMultilevel"/>
    <w:lvl w:ilvl="0">
      <w:lvlJc w:val="left"/>
      <w:lvlText w:val="(%1)"/>
      <w:numFmt w:val="lowerLetter"/>
      <w:start w:val="9"/>
    </w:lvl>
    <w:lvl w:ilvl="1">
      <w:lvlJc w:val="left"/>
      <w:lvlText w:val="%2"/>
      <w:numFmt w:val="lowerLetter"/>
      <w:start w:val="1"/>
    </w:lvl>
  </w:abstractNum>
  <w:abstractNum w:abstractNumId="114">
    <w:nsid w:val="1DF029D3"/>
    <w:multiLevelType w:val="hybridMultilevel"/>
    <w:lvl w:ilvl="0">
      <w:lvlJc w:val="left"/>
      <w:lvlText w:val="%1."/>
      <w:numFmt w:val="decimal"/>
      <w:start w:val="2"/>
    </w:lvl>
    <w:lvl w:ilvl="1">
      <w:lvlJc w:val="left"/>
      <w:lvlText w:val="(%2)"/>
      <w:numFmt w:val="lowerLetter"/>
      <w:start w:val="1"/>
    </w:lvl>
  </w:abstractNum>
  <w:abstractNum w:abstractNumId="115">
    <w:nsid w:val="5675FF3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6">
    <w:nsid w:val="3DD15094"/>
    <w:multiLevelType w:val="hybridMultilevel"/>
    <w:lvl w:ilvl="0">
      <w:lvlJc w:val="left"/>
      <w:lvlText w:val="(%1)"/>
      <w:numFmt w:val="lowerLetter"/>
      <w:start w:val="1"/>
    </w:lvl>
  </w:abstractNum>
  <w:abstractNum w:abstractNumId="117">
    <w:nsid w:val="3DB012B3"/>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18">
    <w:nsid w:val="2708C9AF"/>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119">
    <w:nsid w:val="5B25ACE2"/>
    <w:multiLevelType w:val="hybridMultilevel"/>
    <w:lvl w:ilvl="0">
      <w:lvlJc w:val="left"/>
      <w:lvlText w:val="(%1)"/>
      <w:numFmt w:val="lowerLetter"/>
      <w:start w:val="1"/>
    </w:lvl>
  </w:abstractNum>
  <w:abstractNum w:abstractNumId="120">
    <w:nsid w:val="175DFCF0"/>
    <w:multiLevelType w:val="hybridMultilevel"/>
    <w:lvl w:ilvl="0">
      <w:lvlJc w:val="left"/>
      <w:lvlText w:val="(%1)"/>
      <w:numFmt w:val="lowerLetter"/>
      <w:start w:val="8"/>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lvl w:ilvl="1">
      <w:lvlJc w:val="left"/>
      <w:lvlText w:val="%2)"/>
      <w:numFmt w:val="lowerLetter"/>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74" Type="http://schemas.openxmlformats.org/officeDocument/2006/relationships/hyperlink" Target="https://www.sec.gov/Archives/edgar/data/1013237/000095010326000335/dp239706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2026-04-02T05:06:58Z</dcterms:created>
  <dcterms:modified xsi:type="dcterms:W3CDTF">2026-04-02T05:06:58Z</dcterms:modified>
</cp:coreProperties>
</file>