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486410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 w:lineRule="exact"/>
        <w:rPr>
          <w:sz w:val="24"/>
          <w:szCs w:val="24"/>
          <w:color w:val="auto"/>
        </w:rPr>
      </w:pPr>
    </w:p>
    <w:p>
      <w:pPr>
        <w:ind w:left="3640"/>
        <w:spacing w:after="0"/>
        <w:rPr>
          <w:sz w:val="20"/>
          <w:szCs w:val="20"/>
          <w:color w:val="auto"/>
        </w:rPr>
      </w:pPr>
      <w:r>
        <w:rPr>
          <w:rFonts w:ascii="Arial" w:cs="Arial" w:eastAsia="Arial" w:hAnsi="Arial"/>
          <w:sz w:val="16"/>
          <w:szCs w:val="16"/>
          <w:color w:val="auto"/>
        </w:rPr>
        <w:t>_________________________________________________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9" w:lineRule="exact"/>
        <w:rPr>
          <w:sz w:val="24"/>
          <w:szCs w:val="24"/>
          <w:color w:val="auto"/>
        </w:rPr>
      </w:pPr>
    </w:p>
    <w:p>
      <w:pPr>
        <w:ind w:left="3640"/>
        <w:spacing w:after="0"/>
        <w:rPr>
          <w:sz w:val="20"/>
          <w:szCs w:val="20"/>
          <w:color w:val="auto"/>
        </w:rPr>
      </w:pPr>
      <w:r>
        <w:rPr>
          <w:rFonts w:ascii="Arial" w:cs="Arial" w:eastAsia="Arial" w:hAnsi="Arial"/>
          <w:sz w:val="16"/>
          <w:szCs w:val="16"/>
          <w:color w:val="auto"/>
        </w:rPr>
        <w:t>_________________________________________________</w:t>
      </w:r>
    </w:p>
    <w:p>
      <w:pPr>
        <w:spacing w:after="0" w:line="49" w:lineRule="exact"/>
        <w:rPr>
          <w:sz w:val="24"/>
          <w:szCs w:val="24"/>
          <w:color w:val="auto"/>
        </w:rPr>
      </w:pPr>
    </w:p>
    <w:p>
      <w:pPr>
        <w:ind w:left="480" w:hanging="454"/>
        <w:spacing w:after="0"/>
        <w:tabs>
          <w:tab w:leader="none" w:pos="480" w:val="left"/>
        </w:tabs>
        <w:numPr>
          <w:ilvl w:val="0"/>
          <w:numId w:val="1"/>
        </w:numPr>
        <w:rPr>
          <w:rFonts w:ascii="Arial" w:cs="Arial" w:eastAsia="Arial" w:hAnsi="Arial"/>
          <w:sz w:val="20"/>
          <w:szCs w:val="20"/>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quarterly period ended May 31, 2023</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3900" w:right="1640" w:hanging="3874"/>
        <w:spacing w:after="0" w:line="403" w:lineRule="auto"/>
        <w:tabs>
          <w:tab w:leader="none" w:pos="487" w:val="left"/>
        </w:tabs>
        <w:numPr>
          <w:ilvl w:val="0"/>
          <w:numId w:val="2"/>
        </w:numPr>
        <w:rPr>
          <w:rFonts w:ascii="MS PGothic" w:cs="MS PGothic" w:eastAsia="MS PGothic" w:hAnsi="MS PGothic"/>
          <w:sz w:val="20"/>
          <w:szCs w:val="20"/>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______to ______</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1-11869</w:t>
      </w:r>
    </w:p>
    <w:p>
      <w:pPr>
        <w:spacing w:after="0" w:line="27" w:lineRule="exact"/>
        <w:rPr>
          <w:sz w:val="24"/>
          <w:szCs w:val="24"/>
          <w:color w:val="auto"/>
        </w:rPr>
      </w:pPr>
    </w:p>
    <w:p>
      <w:pPr>
        <w:ind w:left="3640"/>
        <w:spacing w:after="0"/>
        <w:rPr>
          <w:sz w:val="20"/>
          <w:szCs w:val="20"/>
          <w:color w:val="auto"/>
        </w:rPr>
      </w:pPr>
      <w:r>
        <w:rPr>
          <w:rFonts w:ascii="Arial" w:cs="Arial" w:eastAsia="Arial" w:hAnsi="Arial"/>
          <w:sz w:val="16"/>
          <w:szCs w:val="16"/>
          <w:color w:val="auto"/>
        </w:rPr>
        <w:t>_________________________________________________</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FACTSET RESEARCH SYSTEMS INC.</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77470</wp:posOffset>
            </wp:positionV>
            <wp:extent cx="1414145" cy="257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145" cy="257175"/>
                    </a:xfrm>
                    <a:prstGeom prst="rect">
                      <a:avLst/>
                    </a:prstGeom>
                    <a:noFill/>
                  </pic:spPr>
                </pic:pic>
              </a:graphicData>
            </a:graphic>
          </wp:anchor>
        </w:drawing>
      </w:r>
    </w:p>
    <w:p>
      <w:pPr>
        <w:spacing w:after="0" w:line="200" w:lineRule="exact"/>
        <w:rPr>
          <w:sz w:val="24"/>
          <w:szCs w:val="24"/>
          <w:color w:val="auto"/>
        </w:rPr>
      </w:pPr>
    </w:p>
    <w:p>
      <w:pPr>
        <w:spacing w:after="0" w:line="392" w:lineRule="exact"/>
        <w:rPr>
          <w:sz w:val="24"/>
          <w:szCs w:val="24"/>
          <w:color w:val="auto"/>
        </w:rPr>
      </w:pPr>
    </w:p>
    <w:tbl>
      <w:tblPr>
        <w:tblLayout w:type="fixed"/>
        <w:tblInd w:w="1240" w:type="dxa"/>
        <w:tblCellMar>
          <w:top w:w="0" w:type="dxa"/>
          <w:left w:w="0" w:type="dxa"/>
          <w:bottom w:w="0" w:type="dxa"/>
          <w:right w:w="0" w:type="dxa"/>
        </w:tblCellMar>
      </w:tblPr>
      <w:tr>
        <w:trPr>
          <w:trHeight w:val="206"/>
        </w:trPr>
        <w:tc>
          <w:tcPr>
            <w:tcW w:w="6440" w:type="dxa"/>
            <w:vAlign w:val="bottom"/>
          </w:tcPr>
          <w:p>
            <w:pPr>
              <w:jc w:val="right"/>
              <w:spacing w:after="0"/>
              <w:rPr>
                <w:sz w:val="20"/>
                <w:szCs w:val="20"/>
                <w:color w:val="auto"/>
              </w:rPr>
            </w:pPr>
            <w:r>
              <w:rPr>
                <w:rFonts w:ascii="Arial" w:cs="Arial" w:eastAsia="Arial" w:hAnsi="Arial"/>
                <w:sz w:val="16"/>
                <w:szCs w:val="16"/>
                <w:color w:val="auto"/>
              </w:rPr>
              <w:t>_________________________________________________</w:t>
            </w:r>
          </w:p>
        </w:tc>
        <w:tc>
          <w:tcPr>
            <w:tcW w:w="1420" w:type="dxa"/>
            <w:vAlign w:val="bottom"/>
          </w:tcPr>
          <w:p>
            <w:pPr>
              <w:spacing w:after="0"/>
              <w:rPr>
                <w:sz w:val="17"/>
                <w:szCs w:val="17"/>
                <w:color w:val="auto"/>
              </w:rPr>
            </w:pPr>
          </w:p>
        </w:tc>
      </w:tr>
      <w:tr>
        <w:trPr>
          <w:trHeight w:val="248"/>
        </w:trPr>
        <w:tc>
          <w:tcPr>
            <w:tcW w:w="6440" w:type="dxa"/>
            <w:vAlign w:val="bottom"/>
          </w:tcPr>
          <w:p>
            <w:pPr>
              <w:jc w:val="center"/>
              <w:ind w:right="3212"/>
              <w:spacing w:after="0"/>
              <w:rPr>
                <w:sz w:val="20"/>
                <w:szCs w:val="20"/>
                <w:color w:val="auto"/>
              </w:rPr>
            </w:pPr>
            <w:r>
              <w:rPr>
                <w:rFonts w:ascii="Arial" w:cs="Arial" w:eastAsia="Arial" w:hAnsi="Arial"/>
                <w:sz w:val="18"/>
                <w:szCs w:val="18"/>
                <w:b w:val="1"/>
                <w:bCs w:val="1"/>
                <w:color w:val="auto"/>
                <w:w w:val="93"/>
              </w:rPr>
              <w:t>Delaware</w:t>
            </w:r>
          </w:p>
        </w:tc>
        <w:tc>
          <w:tcPr>
            <w:tcW w:w="1420" w:type="dxa"/>
            <w:vAlign w:val="bottom"/>
          </w:tcPr>
          <w:p>
            <w:pPr>
              <w:jc w:val="right"/>
              <w:ind w:right="150"/>
              <w:spacing w:after="0"/>
              <w:rPr>
                <w:sz w:val="20"/>
                <w:szCs w:val="20"/>
                <w:color w:val="auto"/>
              </w:rPr>
            </w:pPr>
            <w:r>
              <w:rPr>
                <w:rFonts w:ascii="Arial" w:cs="Arial" w:eastAsia="Arial" w:hAnsi="Arial"/>
                <w:sz w:val="18"/>
                <w:szCs w:val="18"/>
                <w:b w:val="1"/>
                <w:bCs w:val="1"/>
                <w:color w:val="auto"/>
              </w:rPr>
              <w:t>13-3362547</w:t>
            </w:r>
          </w:p>
        </w:tc>
      </w:tr>
      <w:tr>
        <w:trPr>
          <w:trHeight w:val="189"/>
        </w:trPr>
        <w:tc>
          <w:tcPr>
            <w:tcW w:w="6440" w:type="dxa"/>
            <w:vAlign w:val="bottom"/>
          </w:tcPr>
          <w:p>
            <w:pPr>
              <w:jc w:val="center"/>
              <w:ind w:right="3212"/>
              <w:spacing w:after="0" w:line="189" w:lineRule="exact"/>
              <w:rPr>
                <w:sz w:val="20"/>
                <w:szCs w:val="20"/>
                <w:color w:val="auto"/>
              </w:rPr>
            </w:pPr>
            <w:r>
              <w:rPr>
                <w:rFonts w:ascii="Arial" w:cs="Arial" w:eastAsia="Arial" w:hAnsi="Arial"/>
                <w:sz w:val="18"/>
                <w:szCs w:val="18"/>
                <w:color w:val="auto"/>
                <w:w w:val="93"/>
              </w:rPr>
              <w:t>(State or other jurisdiction of</w:t>
            </w:r>
          </w:p>
        </w:tc>
        <w:tc>
          <w:tcPr>
            <w:tcW w:w="1420" w:type="dxa"/>
            <w:vAlign w:val="bottom"/>
          </w:tcPr>
          <w:p>
            <w:pPr>
              <w:jc w:val="center"/>
              <w:spacing w:after="0" w:line="189" w:lineRule="exact"/>
              <w:rPr>
                <w:sz w:val="20"/>
                <w:szCs w:val="20"/>
                <w:color w:val="auto"/>
              </w:rPr>
            </w:pPr>
            <w:r>
              <w:rPr>
                <w:rFonts w:ascii="Arial" w:cs="Arial" w:eastAsia="Arial" w:hAnsi="Arial"/>
                <w:sz w:val="18"/>
                <w:szCs w:val="18"/>
                <w:color w:val="auto"/>
                <w:w w:val="93"/>
              </w:rPr>
              <w:t>(I.R.S. Employer</w:t>
            </w:r>
          </w:p>
        </w:tc>
      </w:tr>
      <w:tr>
        <w:trPr>
          <w:trHeight w:val="230"/>
        </w:trPr>
        <w:tc>
          <w:tcPr>
            <w:tcW w:w="6440" w:type="dxa"/>
            <w:vAlign w:val="bottom"/>
          </w:tcPr>
          <w:p>
            <w:pPr>
              <w:jc w:val="center"/>
              <w:ind w:right="3212"/>
              <w:spacing w:after="0"/>
              <w:rPr>
                <w:sz w:val="20"/>
                <w:szCs w:val="20"/>
                <w:color w:val="auto"/>
              </w:rPr>
            </w:pPr>
            <w:r>
              <w:rPr>
                <w:rFonts w:ascii="Arial" w:cs="Arial" w:eastAsia="Arial" w:hAnsi="Arial"/>
                <w:sz w:val="18"/>
                <w:szCs w:val="18"/>
                <w:color w:val="auto"/>
                <w:w w:val="93"/>
              </w:rPr>
              <w:t>incorporation or organization)</w:t>
            </w:r>
          </w:p>
        </w:tc>
        <w:tc>
          <w:tcPr>
            <w:tcW w:w="1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365"/>
        </w:trPr>
        <w:tc>
          <w:tcPr>
            <w:tcW w:w="6440" w:type="dxa"/>
            <w:vAlign w:val="bottom"/>
          </w:tcPr>
          <w:p>
            <w:pPr>
              <w:jc w:val="center"/>
              <w:ind w:right="3212"/>
              <w:spacing w:after="0"/>
              <w:rPr>
                <w:sz w:val="20"/>
                <w:szCs w:val="20"/>
                <w:color w:val="auto"/>
              </w:rPr>
            </w:pPr>
            <w:r>
              <w:rPr>
                <w:rFonts w:ascii="Arial" w:cs="Arial" w:eastAsia="Arial" w:hAnsi="Arial"/>
                <w:sz w:val="18"/>
                <w:szCs w:val="18"/>
                <w:b w:val="1"/>
                <w:bCs w:val="1"/>
                <w:color w:val="auto"/>
                <w:w w:val="90"/>
              </w:rPr>
              <w:t>45 Glover Avenue, Norwalk, Connecticut</w:t>
            </w:r>
          </w:p>
        </w:tc>
        <w:tc>
          <w:tcPr>
            <w:tcW w:w="1420" w:type="dxa"/>
            <w:vAlign w:val="bottom"/>
          </w:tcPr>
          <w:p>
            <w:pPr>
              <w:jc w:val="right"/>
              <w:ind w:right="370"/>
              <w:spacing w:after="0"/>
              <w:rPr>
                <w:sz w:val="20"/>
                <w:szCs w:val="20"/>
                <w:color w:val="auto"/>
              </w:rPr>
            </w:pPr>
            <w:r>
              <w:rPr>
                <w:rFonts w:ascii="Arial" w:cs="Arial" w:eastAsia="Arial" w:hAnsi="Arial"/>
                <w:sz w:val="18"/>
                <w:szCs w:val="18"/>
                <w:b w:val="1"/>
                <w:bCs w:val="1"/>
                <w:color w:val="auto"/>
              </w:rPr>
              <w:t>06850</w:t>
            </w:r>
          </w:p>
        </w:tc>
      </w:tr>
      <w:tr>
        <w:trPr>
          <w:trHeight w:val="256"/>
        </w:trPr>
        <w:tc>
          <w:tcPr>
            <w:tcW w:w="6440" w:type="dxa"/>
            <w:vAlign w:val="bottom"/>
          </w:tcPr>
          <w:p>
            <w:pPr>
              <w:jc w:val="center"/>
              <w:ind w:right="3212"/>
              <w:spacing w:after="0"/>
              <w:rPr>
                <w:sz w:val="20"/>
                <w:szCs w:val="20"/>
                <w:color w:val="auto"/>
              </w:rPr>
            </w:pPr>
            <w:r>
              <w:rPr>
                <w:rFonts w:ascii="Arial" w:cs="Arial" w:eastAsia="Arial" w:hAnsi="Arial"/>
                <w:sz w:val="18"/>
                <w:szCs w:val="18"/>
                <w:color w:val="auto"/>
                <w:w w:val="92"/>
              </w:rPr>
              <w:t>(Address of principal executive offices)</w:t>
            </w:r>
          </w:p>
        </w:tc>
        <w:tc>
          <w:tcPr>
            <w:tcW w:w="1420" w:type="dxa"/>
            <w:vAlign w:val="bottom"/>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7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(203) 810-1000</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 if changed since last report: None</w:t>
      </w:r>
    </w:p>
    <w:p>
      <w:pPr>
        <w:spacing w:after="0" w:line="100" w:lineRule="exact"/>
        <w:rPr>
          <w:sz w:val="24"/>
          <w:szCs w:val="24"/>
          <w:color w:val="auto"/>
        </w:rPr>
      </w:pPr>
    </w:p>
    <w:p>
      <w:pPr>
        <w:ind w:left="3640"/>
        <w:spacing w:after="0"/>
        <w:rPr>
          <w:sz w:val="20"/>
          <w:szCs w:val="20"/>
          <w:color w:val="auto"/>
        </w:rPr>
      </w:pPr>
      <w:r>
        <w:rPr>
          <w:rFonts w:ascii="Arial" w:cs="Arial" w:eastAsia="Arial" w:hAnsi="Arial"/>
          <w:sz w:val="16"/>
          <w:szCs w:val="16"/>
          <w:color w:val="auto"/>
        </w:rPr>
        <w:t>_________________________________________________</w:t>
      </w:r>
    </w:p>
    <w:p>
      <w:pPr>
        <w:spacing w:after="0" w:line="9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0"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2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Trading Symbols(s)</w:t>
            </w:r>
          </w:p>
        </w:tc>
        <w:tc>
          <w:tcPr>
            <w:tcW w:w="42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c>
          <w:tcPr>
            <w:tcW w:w="0" w:type="dxa"/>
            <w:vAlign w:val="bottom"/>
          </w:tcPr>
          <w:p>
            <w:pPr>
              <w:spacing w:after="0"/>
              <w:rPr>
                <w:sz w:val="1"/>
                <w:szCs w:val="1"/>
                <w:color w:val="auto"/>
              </w:rPr>
            </w:pPr>
          </w:p>
        </w:tc>
      </w:tr>
      <w:tr>
        <w:trPr>
          <w:trHeight w:val="244"/>
        </w:trPr>
        <w:tc>
          <w:tcPr>
            <w:tcW w:w="3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Common Stock, $0.01 Par Value</w:t>
            </w:r>
          </w:p>
        </w:tc>
        <w:tc>
          <w:tcPr>
            <w:tcW w:w="2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FDS</w:t>
            </w:r>
          </w:p>
        </w:tc>
        <w:tc>
          <w:tcPr>
            <w:tcW w:w="4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New York Stock Exchange LLC</w:t>
            </w:r>
          </w:p>
        </w:tc>
        <w:tc>
          <w:tcPr>
            <w:tcW w:w="0" w:type="dxa"/>
            <w:vAlign w:val="bottom"/>
          </w:tcPr>
          <w:p>
            <w:pPr>
              <w:spacing w:after="0"/>
              <w:rPr>
                <w:sz w:val="1"/>
                <w:szCs w:val="1"/>
                <w:color w:val="auto"/>
              </w:rPr>
            </w:pPr>
          </w:p>
        </w:tc>
      </w:tr>
      <w:tr>
        <w:trPr>
          <w:trHeight w:val="108"/>
        </w:trPr>
        <w:tc>
          <w:tcPr>
            <w:tcW w:w="3260" w:type="dxa"/>
            <w:vAlign w:val="bottom"/>
            <w:tcBorders>
              <w:left w:val="single" w:sz="8" w:color="auto"/>
              <w:right w:val="single" w:sz="8" w:color="auto"/>
            </w:tcBorders>
            <w:vMerge w:val="continue"/>
          </w:tcPr>
          <w:p>
            <w:pPr>
              <w:spacing w:after="0"/>
              <w:rPr>
                <w:sz w:val="9"/>
                <w:szCs w:val="9"/>
                <w:color w:val="auto"/>
              </w:rPr>
            </w:pPr>
          </w:p>
        </w:tc>
        <w:tc>
          <w:tcPr>
            <w:tcW w:w="2960" w:type="dxa"/>
            <w:vAlign w:val="bottom"/>
            <w:tcBorders>
              <w:right w:val="single" w:sz="8" w:color="auto"/>
            </w:tcBorders>
            <w:vMerge w:val="continue"/>
          </w:tcPr>
          <w:p>
            <w:pPr>
              <w:spacing w:after="0"/>
              <w:rPr>
                <w:sz w:val="9"/>
                <w:szCs w:val="9"/>
                <w:color w:val="auto"/>
              </w:rPr>
            </w:pPr>
          </w:p>
        </w:tc>
        <w:tc>
          <w:tcPr>
            <w:tcW w:w="4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The Nasdaq Stock Market</w:t>
            </w:r>
          </w:p>
        </w:tc>
        <w:tc>
          <w:tcPr>
            <w:tcW w:w="0" w:type="dxa"/>
            <w:vAlign w:val="bottom"/>
          </w:tcPr>
          <w:p>
            <w:pPr>
              <w:spacing w:after="0"/>
              <w:rPr>
                <w:sz w:val="1"/>
                <w:szCs w:val="1"/>
                <w:color w:val="auto"/>
              </w:rPr>
            </w:pPr>
          </w:p>
        </w:tc>
      </w:tr>
      <w:tr>
        <w:trPr>
          <w:trHeight w:val="142"/>
        </w:trPr>
        <w:tc>
          <w:tcPr>
            <w:tcW w:w="3260" w:type="dxa"/>
            <w:vAlign w:val="bottom"/>
            <w:tcBorders>
              <w:left w:val="single" w:sz="8" w:color="auto"/>
              <w:bottom w:val="single" w:sz="8" w:color="auto"/>
              <w:right w:val="single" w:sz="8" w:color="auto"/>
            </w:tcBorders>
          </w:tcPr>
          <w:p>
            <w:pPr>
              <w:spacing w:after="0"/>
              <w:rPr>
                <w:sz w:val="12"/>
                <w:szCs w:val="12"/>
                <w:color w:val="auto"/>
              </w:rPr>
            </w:pPr>
          </w:p>
        </w:tc>
        <w:tc>
          <w:tcPr>
            <w:tcW w:w="2960" w:type="dxa"/>
            <w:vAlign w:val="bottom"/>
            <w:tcBorders>
              <w:bottom w:val="single" w:sz="8" w:color="auto"/>
              <w:right w:val="single" w:sz="8" w:color="auto"/>
            </w:tcBorders>
          </w:tcPr>
          <w:p>
            <w:pPr>
              <w:spacing w:after="0"/>
              <w:rPr>
                <w:sz w:val="12"/>
                <w:szCs w:val="12"/>
                <w:color w:val="auto"/>
              </w:rPr>
            </w:pPr>
          </w:p>
        </w:tc>
        <w:tc>
          <w:tcPr>
            <w:tcW w:w="420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99"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8"/>
          <w:szCs w:val="18"/>
          <w:b w:val="1"/>
          <w:bCs w:val="1"/>
          <w:color w:val="auto"/>
        </w:rPr>
        <w:t>Yes</w:t>
      </w:r>
      <w:r>
        <w:rPr>
          <w:rFonts w:ascii="Arial" w:cs="Arial" w:eastAsia="Arial" w:hAnsi="Arial"/>
          <w:sz w:val="18"/>
          <w:szCs w:val="18"/>
          <w:color w:val="auto"/>
        </w:rPr>
        <w:t xml:space="preserve"> x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p>
    <w:p>
      <w:pPr>
        <w:spacing w:after="0" w:line="68"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w:t>
      </w:r>
      <w:r>
        <w:rPr>
          <w:rFonts w:ascii="Arial" w:cs="Arial" w:eastAsia="Arial" w:hAnsi="Arial"/>
          <w:sz w:val="18"/>
          <w:szCs w:val="18"/>
          <w:b w:val="1"/>
          <w:bCs w:val="1"/>
          <w:color w:val="auto"/>
        </w:rPr>
        <w:t>Yes</w:t>
      </w:r>
      <w:r>
        <w:rPr>
          <w:rFonts w:ascii="Arial" w:cs="Arial" w:eastAsia="Arial" w:hAnsi="Arial"/>
          <w:sz w:val="18"/>
          <w:szCs w:val="18"/>
          <w:color w:val="auto"/>
        </w:rPr>
        <w:t xml:space="preserve"> x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p>
    <w:p>
      <w:pPr>
        <w:spacing w:after="0" w:line="68"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Large accelerated filer </w:t>
      </w:r>
      <w:r>
        <w:rPr>
          <w:rFonts w:ascii="Arial" w:cs="Arial" w:eastAsia="Arial" w:hAnsi="Arial"/>
          <w:sz w:val="18"/>
          <w:szCs w:val="18"/>
          <w:color w:val="auto"/>
        </w:rPr>
        <w:t>x</w:t>
      </w:r>
      <w:r>
        <w:rPr>
          <w:rFonts w:ascii="Arial" w:cs="Arial" w:eastAsia="Arial" w:hAnsi="Arial"/>
          <w:sz w:val="18"/>
          <w:szCs w:val="18"/>
          <w:b w:val="1"/>
          <w:bCs w:val="1"/>
          <w:color w:val="auto"/>
        </w:rPr>
        <w:t xml:space="preserve"> Accelerated filer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Non-accelerated filer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Smaller reporting company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Emerging growth company </w:t>
      </w:r>
      <w:r>
        <w:rPr>
          <w:rFonts w:ascii="MS PGothic" w:cs="MS PGothic" w:eastAsia="MS PGothic" w:hAnsi="MS PGothic"/>
          <w:sz w:val="18"/>
          <w:szCs w:val="18"/>
          <w:color w:val="auto"/>
          <w:highlight w:val="black"/>
        </w:rPr>
        <w:t>☐</w:t>
      </w:r>
    </w:p>
    <w:p>
      <w:pPr>
        <w:spacing w:after="0" w:line="103"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 </w:t>
      </w:r>
      <w:r>
        <w:rPr>
          <w:rFonts w:ascii="Arial" w:cs="Arial" w:eastAsia="Arial" w:hAnsi="Arial"/>
          <w:sz w:val="18"/>
          <w:szCs w:val="18"/>
          <w:color w:val="auto"/>
        </w:rPr>
        <w:t>x</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63"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$.01 par value, as of June 26, 2023 was 38,146,230.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593725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0580" w:type="dxa"/>
            <w:vAlign w:val="bottom"/>
            <w:gridSpan w:val="2"/>
          </w:tcPr>
          <w:p>
            <w:pPr>
              <w:spacing w:after="0"/>
              <w:rPr>
                <w:sz w:val="20"/>
                <w:szCs w:val="20"/>
                <w:color w:val="auto"/>
              </w:rPr>
            </w:pPr>
            <w:r>
              <w:rPr>
                <w:rFonts w:ascii="Arial" w:cs="Arial" w:eastAsia="Arial" w:hAnsi="Arial"/>
                <w:sz w:val="18"/>
                <w:szCs w:val="18"/>
                <w:color w:val="auto"/>
              </w:rPr>
              <w:t>Table of Contents</w:t>
            </w:r>
          </w:p>
        </w:tc>
        <w:tc>
          <w:tcPr>
            <w:tcW w:w="660" w:type="dxa"/>
            <w:vAlign w:val="bottom"/>
          </w:tcPr>
          <w:p>
            <w:pPr>
              <w:spacing w:after="0"/>
              <w:rPr>
                <w:sz w:val="20"/>
                <w:szCs w:val="20"/>
                <w:color w:val="auto"/>
              </w:rPr>
            </w:pPr>
          </w:p>
        </w:tc>
      </w:tr>
      <w:tr>
        <w:trPr>
          <w:trHeight w:val="630"/>
        </w:trPr>
        <w:tc>
          <w:tcPr>
            <w:tcW w:w="10580" w:type="dxa"/>
            <w:vAlign w:val="bottom"/>
            <w:gridSpan w:val="2"/>
          </w:tcPr>
          <w:p>
            <w:pPr>
              <w:spacing w:after="0"/>
              <w:rPr>
                <w:sz w:val="20"/>
                <w:szCs w:val="20"/>
                <w:color w:val="auto"/>
              </w:rPr>
            </w:pPr>
            <w:r>
              <w:rPr>
                <w:rFonts w:ascii="Arial" w:cs="Arial" w:eastAsia="Arial" w:hAnsi="Arial"/>
                <w:sz w:val="18"/>
                <w:szCs w:val="18"/>
                <w:b w:val="1"/>
                <w:bCs w:val="1"/>
                <w:color w:val="auto"/>
              </w:rPr>
              <w:t>FactSet Research Systems Inc.</w:t>
            </w:r>
          </w:p>
        </w:tc>
        <w:tc>
          <w:tcPr>
            <w:tcW w:w="660" w:type="dxa"/>
            <w:vAlign w:val="bottom"/>
          </w:tcPr>
          <w:p>
            <w:pPr>
              <w:spacing w:after="0"/>
              <w:rPr>
                <w:sz w:val="24"/>
                <w:szCs w:val="24"/>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b w:val="1"/>
                <w:bCs w:val="1"/>
                <w:color w:val="auto"/>
                <w:w w:val="99"/>
              </w:rPr>
              <w:t>Form 10-Q</w:t>
            </w:r>
          </w:p>
        </w:tc>
        <w:tc>
          <w:tcPr>
            <w:tcW w:w="96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34"/>
        </w:trPr>
        <w:tc>
          <w:tcPr>
            <w:tcW w:w="10580" w:type="dxa"/>
            <w:vAlign w:val="bottom"/>
            <w:gridSpan w:val="2"/>
          </w:tcPr>
          <w:p>
            <w:pPr>
              <w:spacing w:after="0"/>
              <w:rPr>
                <w:sz w:val="20"/>
                <w:szCs w:val="20"/>
                <w:color w:val="auto"/>
              </w:rPr>
            </w:pPr>
            <w:r>
              <w:rPr>
                <w:rFonts w:ascii="Arial" w:cs="Arial" w:eastAsia="Arial" w:hAnsi="Arial"/>
                <w:sz w:val="18"/>
                <w:szCs w:val="18"/>
                <w:b w:val="1"/>
                <w:bCs w:val="1"/>
                <w:color w:val="auto"/>
              </w:rPr>
              <w:t>For the Quarter Ended May 31, 2023</w:t>
            </w:r>
          </w:p>
        </w:tc>
        <w:tc>
          <w:tcPr>
            <w:tcW w:w="660" w:type="dxa"/>
            <w:vAlign w:val="bottom"/>
          </w:tcPr>
          <w:p>
            <w:pPr>
              <w:spacing w:after="0"/>
              <w:rPr>
                <w:sz w:val="20"/>
                <w:szCs w:val="20"/>
                <w:color w:val="auto"/>
              </w:rPr>
            </w:pPr>
          </w:p>
        </w:tc>
      </w:tr>
      <w:tr>
        <w:trPr>
          <w:trHeight w:val="391"/>
        </w:trPr>
        <w:tc>
          <w:tcPr>
            <w:tcW w:w="920" w:type="dxa"/>
            <w:vAlign w:val="bottom"/>
          </w:tcPr>
          <w:p>
            <w:pPr>
              <w:spacing w:after="0"/>
              <w:rPr>
                <w:sz w:val="20"/>
                <w:szCs w:val="20"/>
                <w:color w:val="auto"/>
              </w:rPr>
            </w:pPr>
            <w:r>
              <w:rPr>
                <w:rFonts w:ascii="Arial" w:cs="Arial" w:eastAsia="Arial" w:hAnsi="Arial"/>
                <w:sz w:val="18"/>
                <w:szCs w:val="18"/>
                <w:b w:val="1"/>
                <w:bCs w:val="1"/>
                <w:color w:val="auto"/>
              </w:rPr>
              <w:t>Index</w:t>
            </w:r>
          </w:p>
        </w:tc>
        <w:tc>
          <w:tcPr>
            <w:tcW w:w="96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63"/>
        </w:trPr>
        <w:tc>
          <w:tcPr>
            <w:tcW w:w="920" w:type="dxa"/>
            <w:vAlign w:val="bottom"/>
          </w:tcPr>
          <w:p>
            <w:pPr>
              <w:spacing w:after="0"/>
              <w:rPr>
                <w:sz w:val="22"/>
                <w:szCs w:val="22"/>
                <w:color w:val="auto"/>
              </w:rPr>
            </w:pPr>
          </w:p>
        </w:tc>
        <w:tc>
          <w:tcPr>
            <w:tcW w:w="9660" w:type="dxa"/>
            <w:vAlign w:val="bottom"/>
          </w:tcPr>
          <w:p>
            <w:pPr>
              <w:spacing w:after="0"/>
              <w:rPr>
                <w:sz w:val="22"/>
                <w:szCs w:val="22"/>
                <w:color w:val="auto"/>
              </w:rPr>
            </w:pPr>
          </w:p>
        </w:tc>
        <w:tc>
          <w:tcPr>
            <w:tcW w:w="6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Page</w:t>
            </w:r>
          </w:p>
        </w:tc>
      </w:tr>
      <w:tr>
        <w:trPr>
          <w:trHeight w:val="216"/>
        </w:trPr>
        <w:tc>
          <w:tcPr>
            <w:tcW w:w="920" w:type="dxa"/>
            <w:vAlign w:val="bottom"/>
          </w:tcPr>
          <w:p>
            <w:pPr>
              <w:ind w:left="20"/>
              <w:spacing w:after="0"/>
              <w:rPr>
                <w:sz w:val="20"/>
                <w:szCs w:val="20"/>
                <w:color w:val="auto"/>
              </w:rPr>
            </w:pPr>
            <w:r>
              <w:rPr>
                <w:rFonts w:ascii="Arial" w:cs="Arial" w:eastAsia="Arial" w:hAnsi="Arial"/>
                <w:sz w:val="18"/>
                <w:szCs w:val="18"/>
                <w:b w:val="1"/>
                <w:bCs w:val="1"/>
                <w:color w:val="auto"/>
              </w:rPr>
              <w:t>Part I</w:t>
            </w:r>
          </w:p>
        </w:tc>
        <w:tc>
          <w:tcPr>
            <w:tcW w:w="9660" w:type="dxa"/>
            <w:vAlign w:val="bottom"/>
          </w:tcPr>
          <w:p>
            <w:pPr>
              <w:ind w:left="60"/>
              <w:spacing w:after="0"/>
              <w:rPr>
                <w:sz w:val="20"/>
                <w:szCs w:val="20"/>
                <w:color w:val="auto"/>
              </w:rPr>
            </w:pPr>
            <w:r>
              <w:rPr>
                <w:rFonts w:ascii="Arial" w:cs="Arial" w:eastAsia="Arial" w:hAnsi="Arial"/>
                <w:sz w:val="18"/>
                <w:szCs w:val="18"/>
                <w:b w:val="1"/>
                <w:bCs w:val="1"/>
                <w:color w:val="auto"/>
              </w:rPr>
              <w:t>FINANCIAL INFORMATION</w:t>
            </w:r>
          </w:p>
        </w:tc>
        <w:tc>
          <w:tcPr>
            <w:tcW w:w="660" w:type="dxa"/>
            <w:vAlign w:val="bottom"/>
          </w:tcPr>
          <w:p>
            <w:pPr>
              <w:spacing w:after="0"/>
              <w:rPr>
                <w:sz w:val="18"/>
                <w:szCs w:val="18"/>
                <w:color w:val="auto"/>
              </w:rPr>
            </w:pPr>
          </w:p>
        </w:tc>
      </w:tr>
      <w:tr>
        <w:trPr>
          <w:trHeight w:val="243"/>
        </w:trPr>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1.</w:t>
            </w:r>
          </w:p>
        </w:tc>
        <w:tc>
          <w:tcPr>
            <w:tcW w:w="9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Financial Statements</w:t>
            </w:r>
          </w:p>
        </w:tc>
        <w:tc>
          <w:tcPr>
            <w:tcW w:w="660" w:type="dxa"/>
            <w:vAlign w:val="bottom"/>
            <w:shd w:val="clear" w:color="auto" w:fill="CCEEFF"/>
          </w:tcPr>
          <w:p>
            <w:pPr>
              <w:spacing w:after="0"/>
              <w:rPr>
                <w:sz w:val="21"/>
                <w:szCs w:val="21"/>
                <w:color w:val="auto"/>
              </w:rPr>
            </w:pPr>
          </w:p>
        </w:tc>
      </w:tr>
      <w:tr>
        <w:trPr>
          <w:trHeight w:val="229"/>
        </w:trPr>
        <w:tc>
          <w:tcPr>
            <w:tcW w:w="920" w:type="dxa"/>
            <w:vAlign w:val="bottom"/>
          </w:tcPr>
          <w:p>
            <w:pPr>
              <w:spacing w:after="0"/>
              <w:rPr>
                <w:sz w:val="19"/>
                <w:szCs w:val="19"/>
                <w:color w:val="auto"/>
              </w:rPr>
            </w:pPr>
          </w:p>
        </w:tc>
        <w:tc>
          <w:tcPr>
            <w:tcW w:w="9660" w:type="dxa"/>
            <w:vAlign w:val="bottom"/>
          </w:tcPr>
          <w:p>
            <w:pPr>
              <w:ind w:left="60"/>
              <w:spacing w:after="0"/>
              <w:rPr>
                <w:sz w:val="20"/>
                <w:szCs w:val="20"/>
                <w:color w:val="auto"/>
              </w:rPr>
            </w:pPr>
            <w:r>
              <w:rPr>
                <w:rFonts w:ascii="Arial" w:cs="Arial" w:eastAsia="Arial" w:hAnsi="Arial"/>
                <w:sz w:val="18"/>
                <w:szCs w:val="18"/>
                <w:color w:val="auto"/>
              </w:rPr>
              <w:t>Consolidated Statements of Income for the three and nine months ended May 31, 2023 and 2022</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4</w:t>
            </w:r>
          </w:p>
        </w:tc>
      </w:tr>
      <w:tr>
        <w:trPr>
          <w:trHeight w:val="230"/>
        </w:trPr>
        <w:tc>
          <w:tcPr>
            <w:tcW w:w="920" w:type="dxa"/>
            <w:vAlign w:val="bottom"/>
            <w:shd w:val="clear" w:color="auto" w:fill="CCEEFF"/>
          </w:tcPr>
          <w:p>
            <w:pPr>
              <w:spacing w:after="0"/>
              <w:rPr>
                <w:sz w:val="19"/>
                <w:szCs w:val="19"/>
                <w:color w:val="auto"/>
              </w:rPr>
            </w:pPr>
          </w:p>
        </w:tc>
        <w:tc>
          <w:tcPr>
            <w:tcW w:w="9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Consolidated Statements of Comprehensive Income for the three and nine months ended May 31, 2023 and 2022</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r>
      <w:tr>
        <w:trPr>
          <w:trHeight w:val="237"/>
        </w:trPr>
        <w:tc>
          <w:tcPr>
            <w:tcW w:w="920" w:type="dxa"/>
            <w:vAlign w:val="bottom"/>
          </w:tcPr>
          <w:p>
            <w:pPr>
              <w:spacing w:after="0"/>
              <w:rPr>
                <w:sz w:val="20"/>
                <w:szCs w:val="20"/>
                <w:color w:val="auto"/>
              </w:rPr>
            </w:pPr>
          </w:p>
        </w:tc>
        <w:tc>
          <w:tcPr>
            <w:tcW w:w="9660" w:type="dxa"/>
            <w:vAlign w:val="bottom"/>
          </w:tcPr>
          <w:p>
            <w:pPr>
              <w:ind w:left="60"/>
              <w:spacing w:after="0"/>
              <w:rPr>
                <w:sz w:val="20"/>
                <w:szCs w:val="20"/>
                <w:color w:val="auto"/>
              </w:rPr>
            </w:pPr>
            <w:r>
              <w:rPr>
                <w:rFonts w:ascii="Arial" w:cs="Arial" w:eastAsia="Arial" w:hAnsi="Arial"/>
                <w:sz w:val="18"/>
                <w:szCs w:val="18"/>
                <w:color w:val="auto"/>
              </w:rPr>
              <w:t>Consolidated Balance Sheets at May 31, 2023 and August 31, 2022</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6</w:t>
            </w:r>
          </w:p>
        </w:tc>
      </w:tr>
      <w:tr>
        <w:trPr>
          <w:trHeight w:val="236"/>
        </w:trPr>
        <w:tc>
          <w:tcPr>
            <w:tcW w:w="920" w:type="dxa"/>
            <w:vAlign w:val="bottom"/>
            <w:shd w:val="clear" w:color="auto" w:fill="CCEEFF"/>
          </w:tcPr>
          <w:p>
            <w:pPr>
              <w:spacing w:after="0"/>
              <w:rPr>
                <w:sz w:val="20"/>
                <w:szCs w:val="20"/>
                <w:color w:val="auto"/>
              </w:rPr>
            </w:pPr>
          </w:p>
        </w:tc>
        <w:tc>
          <w:tcPr>
            <w:tcW w:w="9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Consolidated Statements of Cash Flows for the nine months ended May 31, 2023 and 2022</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r>
      <w:tr>
        <w:trPr>
          <w:trHeight w:val="229"/>
        </w:trPr>
        <w:tc>
          <w:tcPr>
            <w:tcW w:w="920" w:type="dxa"/>
            <w:vAlign w:val="bottom"/>
          </w:tcPr>
          <w:p>
            <w:pPr>
              <w:spacing w:after="0"/>
              <w:rPr>
                <w:sz w:val="19"/>
                <w:szCs w:val="19"/>
                <w:color w:val="auto"/>
              </w:rPr>
            </w:pPr>
          </w:p>
        </w:tc>
        <w:tc>
          <w:tcPr>
            <w:tcW w:w="9660" w:type="dxa"/>
            <w:vAlign w:val="bottom"/>
          </w:tcPr>
          <w:p>
            <w:pPr>
              <w:ind w:left="60"/>
              <w:spacing w:after="0"/>
              <w:rPr>
                <w:sz w:val="20"/>
                <w:szCs w:val="20"/>
                <w:color w:val="auto"/>
              </w:rPr>
            </w:pPr>
            <w:r>
              <w:rPr>
                <w:rFonts w:ascii="Arial" w:cs="Arial" w:eastAsia="Arial" w:hAnsi="Arial"/>
                <w:sz w:val="18"/>
                <w:szCs w:val="18"/>
                <w:color w:val="auto"/>
                <w:w w:val="98"/>
              </w:rPr>
              <w:t>Consolidated Statements of Changes in Stockholders’ Equity for the three and nine months ended May 31, 2023 and 2022</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8</w:t>
            </w:r>
          </w:p>
        </w:tc>
      </w:tr>
      <w:tr>
        <w:trPr>
          <w:trHeight w:val="243"/>
        </w:trPr>
        <w:tc>
          <w:tcPr>
            <w:tcW w:w="920" w:type="dxa"/>
            <w:vAlign w:val="bottom"/>
            <w:shd w:val="clear" w:color="auto" w:fill="CCEEFF"/>
          </w:tcPr>
          <w:p>
            <w:pPr>
              <w:spacing w:after="0"/>
              <w:rPr>
                <w:sz w:val="21"/>
                <w:szCs w:val="21"/>
                <w:color w:val="auto"/>
              </w:rPr>
            </w:pPr>
          </w:p>
        </w:tc>
        <w:tc>
          <w:tcPr>
            <w:tcW w:w="9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Notes to the Consolidated Financial Statements</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r>
      <w:tr>
        <w:trPr>
          <w:trHeight w:val="229"/>
        </w:trPr>
        <w:tc>
          <w:tcPr>
            <w:tcW w:w="920" w:type="dxa"/>
            <w:vAlign w:val="bottom"/>
          </w:tcPr>
          <w:p>
            <w:pPr>
              <w:ind w:left="20"/>
              <w:spacing w:after="0"/>
              <w:rPr>
                <w:sz w:val="20"/>
                <w:szCs w:val="20"/>
                <w:color w:val="auto"/>
              </w:rPr>
            </w:pPr>
            <w:r>
              <w:rPr>
                <w:rFonts w:ascii="Arial" w:cs="Arial" w:eastAsia="Arial" w:hAnsi="Arial"/>
                <w:sz w:val="18"/>
                <w:szCs w:val="18"/>
                <w:color w:val="auto"/>
              </w:rPr>
              <w:t>Item 2.</w:t>
            </w:r>
          </w:p>
        </w:tc>
        <w:tc>
          <w:tcPr>
            <w:tcW w:w="9660" w:type="dxa"/>
            <w:vAlign w:val="bottom"/>
          </w:tcPr>
          <w:p>
            <w:pPr>
              <w:ind w:left="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35</w:t>
            </w:r>
          </w:p>
        </w:tc>
      </w:tr>
      <w:tr>
        <w:trPr>
          <w:trHeight w:val="230"/>
        </w:trPr>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3.</w:t>
            </w:r>
          </w:p>
        </w:tc>
        <w:tc>
          <w:tcPr>
            <w:tcW w:w="9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Quantitative and Qualitative Disclosures About Market Risk</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r>
      <w:tr>
        <w:trPr>
          <w:trHeight w:val="237"/>
        </w:trPr>
        <w:tc>
          <w:tcPr>
            <w:tcW w:w="920" w:type="dxa"/>
            <w:vAlign w:val="bottom"/>
          </w:tcPr>
          <w:p>
            <w:pPr>
              <w:ind w:left="20"/>
              <w:spacing w:after="0"/>
              <w:rPr>
                <w:sz w:val="20"/>
                <w:szCs w:val="20"/>
                <w:color w:val="auto"/>
              </w:rPr>
            </w:pPr>
            <w:r>
              <w:rPr>
                <w:rFonts w:ascii="Arial" w:cs="Arial" w:eastAsia="Arial" w:hAnsi="Arial"/>
                <w:sz w:val="18"/>
                <w:szCs w:val="18"/>
                <w:color w:val="auto"/>
              </w:rPr>
              <w:t>Item 4.</w:t>
            </w:r>
          </w:p>
        </w:tc>
        <w:tc>
          <w:tcPr>
            <w:tcW w:w="9660" w:type="dxa"/>
            <w:vAlign w:val="bottom"/>
          </w:tcPr>
          <w:p>
            <w:pPr>
              <w:ind w:left="60"/>
              <w:spacing w:after="0"/>
              <w:rPr>
                <w:sz w:val="20"/>
                <w:szCs w:val="20"/>
                <w:color w:val="auto"/>
              </w:rPr>
            </w:pPr>
            <w:r>
              <w:rPr>
                <w:rFonts w:ascii="Arial" w:cs="Arial" w:eastAsia="Arial" w:hAnsi="Arial"/>
                <w:sz w:val="18"/>
                <w:szCs w:val="18"/>
                <w:color w:val="auto"/>
              </w:rPr>
              <w:t>Controls and Procedures</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57</w:t>
            </w:r>
          </w:p>
        </w:tc>
      </w:tr>
      <w:tr>
        <w:trPr>
          <w:trHeight w:val="236"/>
        </w:trPr>
        <w:tc>
          <w:tcPr>
            <w:tcW w:w="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Part II</w:t>
            </w:r>
          </w:p>
        </w:tc>
        <w:tc>
          <w:tcPr>
            <w:tcW w:w="966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OTHER INFORMATION</w:t>
            </w:r>
          </w:p>
        </w:tc>
        <w:tc>
          <w:tcPr>
            <w:tcW w:w="660" w:type="dxa"/>
            <w:vAlign w:val="bottom"/>
            <w:shd w:val="clear" w:color="auto" w:fill="CCEEFF"/>
          </w:tcPr>
          <w:p>
            <w:pPr>
              <w:spacing w:after="0"/>
              <w:rPr>
                <w:sz w:val="20"/>
                <w:szCs w:val="20"/>
                <w:color w:val="auto"/>
              </w:rPr>
            </w:pPr>
          </w:p>
        </w:tc>
      </w:tr>
      <w:tr>
        <w:trPr>
          <w:trHeight w:val="229"/>
        </w:trPr>
        <w:tc>
          <w:tcPr>
            <w:tcW w:w="920" w:type="dxa"/>
            <w:vAlign w:val="bottom"/>
          </w:tcPr>
          <w:p>
            <w:pPr>
              <w:ind w:left="20"/>
              <w:spacing w:after="0"/>
              <w:rPr>
                <w:sz w:val="20"/>
                <w:szCs w:val="20"/>
                <w:color w:val="auto"/>
              </w:rPr>
            </w:pPr>
            <w:r>
              <w:rPr>
                <w:rFonts w:ascii="Arial" w:cs="Arial" w:eastAsia="Arial" w:hAnsi="Arial"/>
                <w:sz w:val="18"/>
                <w:szCs w:val="18"/>
                <w:color w:val="auto"/>
              </w:rPr>
              <w:t>Item 1.</w:t>
            </w:r>
          </w:p>
        </w:tc>
        <w:tc>
          <w:tcPr>
            <w:tcW w:w="9660" w:type="dxa"/>
            <w:vAlign w:val="bottom"/>
          </w:tcPr>
          <w:p>
            <w:pPr>
              <w:ind w:left="60"/>
              <w:spacing w:after="0"/>
              <w:rPr>
                <w:sz w:val="20"/>
                <w:szCs w:val="20"/>
                <w:color w:val="auto"/>
              </w:rPr>
            </w:pPr>
            <w:r>
              <w:rPr>
                <w:rFonts w:ascii="Arial" w:cs="Arial" w:eastAsia="Arial" w:hAnsi="Arial"/>
                <w:sz w:val="18"/>
                <w:szCs w:val="18"/>
                <w:color w:val="auto"/>
              </w:rPr>
              <w:t>Legal Proceedings</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57</w:t>
            </w:r>
          </w:p>
        </w:tc>
      </w:tr>
      <w:tr>
        <w:trPr>
          <w:trHeight w:val="243"/>
        </w:trPr>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1A.</w:t>
            </w:r>
          </w:p>
        </w:tc>
        <w:tc>
          <w:tcPr>
            <w:tcW w:w="9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Risk Factors</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57</w:t>
            </w:r>
          </w:p>
        </w:tc>
      </w:tr>
      <w:tr>
        <w:trPr>
          <w:trHeight w:val="229"/>
        </w:trPr>
        <w:tc>
          <w:tcPr>
            <w:tcW w:w="920" w:type="dxa"/>
            <w:vAlign w:val="bottom"/>
          </w:tcPr>
          <w:p>
            <w:pPr>
              <w:ind w:left="20"/>
              <w:spacing w:after="0"/>
              <w:rPr>
                <w:sz w:val="20"/>
                <w:szCs w:val="20"/>
                <w:color w:val="auto"/>
              </w:rPr>
            </w:pPr>
            <w:r>
              <w:rPr>
                <w:rFonts w:ascii="Arial" w:cs="Arial" w:eastAsia="Arial" w:hAnsi="Arial"/>
                <w:sz w:val="18"/>
                <w:szCs w:val="18"/>
                <w:color w:val="auto"/>
              </w:rPr>
              <w:t>Item 2.</w:t>
            </w:r>
          </w:p>
        </w:tc>
        <w:tc>
          <w:tcPr>
            <w:tcW w:w="9660" w:type="dxa"/>
            <w:vAlign w:val="bottom"/>
          </w:tcPr>
          <w:p>
            <w:pPr>
              <w:ind w:left="60"/>
              <w:spacing w:after="0"/>
              <w:rPr>
                <w:sz w:val="20"/>
                <w:szCs w:val="20"/>
                <w:color w:val="auto"/>
              </w:rPr>
            </w:pPr>
            <w:r>
              <w:rPr>
                <w:rFonts w:ascii="Arial" w:cs="Arial" w:eastAsia="Arial" w:hAnsi="Arial"/>
                <w:sz w:val="18"/>
                <w:szCs w:val="18"/>
                <w:color w:val="auto"/>
              </w:rPr>
              <w:t>Unregistered Sales of Equity Securities and Use of Proceeds</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57</w:t>
            </w:r>
          </w:p>
        </w:tc>
      </w:tr>
      <w:tr>
        <w:trPr>
          <w:trHeight w:val="229"/>
        </w:trPr>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3.</w:t>
            </w:r>
          </w:p>
        </w:tc>
        <w:tc>
          <w:tcPr>
            <w:tcW w:w="9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Defaults Upon Senior Securities</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58</w:t>
            </w:r>
          </w:p>
        </w:tc>
      </w:tr>
      <w:tr>
        <w:trPr>
          <w:trHeight w:val="237"/>
        </w:trPr>
        <w:tc>
          <w:tcPr>
            <w:tcW w:w="920" w:type="dxa"/>
            <w:vAlign w:val="bottom"/>
          </w:tcPr>
          <w:p>
            <w:pPr>
              <w:ind w:left="20"/>
              <w:spacing w:after="0"/>
              <w:rPr>
                <w:sz w:val="20"/>
                <w:szCs w:val="20"/>
                <w:color w:val="auto"/>
              </w:rPr>
            </w:pPr>
            <w:r>
              <w:rPr>
                <w:rFonts w:ascii="Arial" w:cs="Arial" w:eastAsia="Arial" w:hAnsi="Arial"/>
                <w:sz w:val="18"/>
                <w:szCs w:val="18"/>
                <w:color w:val="auto"/>
              </w:rPr>
              <w:t>Item 4.</w:t>
            </w:r>
          </w:p>
        </w:tc>
        <w:tc>
          <w:tcPr>
            <w:tcW w:w="9660" w:type="dxa"/>
            <w:vAlign w:val="bottom"/>
          </w:tcPr>
          <w:p>
            <w:pPr>
              <w:ind w:left="60"/>
              <w:spacing w:after="0"/>
              <w:rPr>
                <w:sz w:val="20"/>
                <w:szCs w:val="20"/>
                <w:color w:val="auto"/>
              </w:rPr>
            </w:pPr>
            <w:r>
              <w:rPr>
                <w:rFonts w:ascii="Arial" w:cs="Arial" w:eastAsia="Arial" w:hAnsi="Arial"/>
                <w:sz w:val="18"/>
                <w:szCs w:val="18"/>
                <w:color w:val="auto"/>
              </w:rPr>
              <w:t>Mine Safety Disclosures</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58</w:t>
            </w:r>
          </w:p>
        </w:tc>
      </w:tr>
      <w:tr>
        <w:trPr>
          <w:trHeight w:val="236"/>
        </w:trPr>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5.</w:t>
            </w:r>
          </w:p>
        </w:tc>
        <w:tc>
          <w:tcPr>
            <w:tcW w:w="9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 Information</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58</w:t>
            </w:r>
          </w:p>
        </w:tc>
      </w:tr>
      <w:tr>
        <w:trPr>
          <w:trHeight w:val="230"/>
        </w:trPr>
        <w:tc>
          <w:tcPr>
            <w:tcW w:w="920" w:type="dxa"/>
            <w:vAlign w:val="bottom"/>
          </w:tcPr>
          <w:p>
            <w:pPr>
              <w:ind w:left="20"/>
              <w:spacing w:after="0"/>
              <w:rPr>
                <w:sz w:val="20"/>
                <w:szCs w:val="20"/>
                <w:color w:val="auto"/>
              </w:rPr>
            </w:pPr>
            <w:r>
              <w:rPr>
                <w:rFonts w:ascii="Arial" w:cs="Arial" w:eastAsia="Arial" w:hAnsi="Arial"/>
                <w:sz w:val="18"/>
                <w:szCs w:val="18"/>
                <w:color w:val="auto"/>
              </w:rPr>
              <w:t>Item 6.</w:t>
            </w:r>
          </w:p>
        </w:tc>
        <w:tc>
          <w:tcPr>
            <w:tcW w:w="9660" w:type="dxa"/>
            <w:vAlign w:val="bottom"/>
          </w:tcPr>
          <w:p>
            <w:pPr>
              <w:ind w:left="60"/>
              <w:spacing w:after="0"/>
              <w:rPr>
                <w:sz w:val="20"/>
                <w:szCs w:val="20"/>
                <w:color w:val="auto"/>
              </w:rPr>
            </w:pPr>
            <w:r>
              <w:rPr>
                <w:rFonts w:ascii="Arial" w:cs="Arial" w:eastAsia="Arial" w:hAnsi="Arial"/>
                <w:sz w:val="18"/>
                <w:szCs w:val="18"/>
                <w:color w:val="auto"/>
              </w:rPr>
              <w:t>Exhibits</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59</w:t>
            </w:r>
          </w:p>
        </w:tc>
      </w:tr>
      <w:tr>
        <w:trPr>
          <w:trHeight w:val="243"/>
        </w:trPr>
        <w:tc>
          <w:tcPr>
            <w:tcW w:w="920" w:type="dxa"/>
            <w:vAlign w:val="bottom"/>
            <w:shd w:val="clear" w:color="auto" w:fill="CCEEFF"/>
          </w:tcPr>
          <w:p>
            <w:pPr>
              <w:spacing w:after="0"/>
              <w:rPr>
                <w:sz w:val="21"/>
                <w:szCs w:val="21"/>
                <w:color w:val="auto"/>
              </w:rPr>
            </w:pPr>
          </w:p>
        </w:tc>
        <w:tc>
          <w:tcPr>
            <w:tcW w:w="9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Signatures</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w:t>
            </w:r>
          </w:p>
        </w:tc>
      </w:tr>
    </w:tbl>
    <w:p>
      <w:pPr>
        <w:spacing w:after="0" w:line="25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For additional information about FactSet Research Systems Inc. and access to its Annual Reports to Stockholders and Securities and Exchange Commission filings, free of charge, please visit FactSet’s website (</w:t>
      </w:r>
      <w:r>
        <w:rPr>
          <w:rFonts w:ascii="Arial" w:cs="Arial" w:eastAsia="Arial" w:hAnsi="Arial"/>
          <w:sz w:val="18"/>
          <w:szCs w:val="18"/>
          <w:u w:val="single" w:color="auto"/>
          <w:color w:val="auto"/>
        </w:rPr>
        <w:t>https://investor.factset.com)</w:t>
      </w:r>
      <w:r>
        <w:rPr>
          <w:rFonts w:ascii="Arial" w:cs="Arial" w:eastAsia="Arial" w:hAnsi="Arial"/>
          <w:sz w:val="18"/>
          <w:szCs w:val="18"/>
          <w:color w:val="auto"/>
        </w:rPr>
        <w:t>. Any information on or linked from the website is not incorporated by reference into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Special Note Regarding Forward-Looking Statements</w:t>
      </w:r>
    </w:p>
    <w:p>
      <w:pPr>
        <w:spacing w:after="0" w:line="19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FactSet Research Systems Inc. has made statements under the captions Part I, Item 2. </w:t>
      </w:r>
      <w:r>
        <w:rPr>
          <w:rFonts w:ascii="Arial" w:cs="Arial" w:eastAsia="Arial" w:hAnsi="Arial"/>
          <w:sz w:val="16"/>
          <w:szCs w:val="16"/>
          <w:i w:val="1"/>
          <w:iCs w:val="1"/>
          <w:color w:val="auto"/>
        </w:rPr>
        <w:t>Management’s Discussion and Analysis of Financial Condition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Results of Operations, </w:t>
      </w:r>
      <w:r>
        <w:rPr>
          <w:rFonts w:ascii="Arial" w:cs="Arial" w:eastAsia="Arial" w:hAnsi="Arial"/>
          <w:sz w:val="16"/>
          <w:szCs w:val="16"/>
          <w:color w:val="auto"/>
        </w:rPr>
        <w:t>Part II, Item 1A.</w:t>
      </w:r>
      <w:r>
        <w:rPr>
          <w:rFonts w:ascii="Arial" w:cs="Arial" w:eastAsia="Arial" w:hAnsi="Arial"/>
          <w:sz w:val="16"/>
          <w:szCs w:val="16"/>
          <w:i w:val="1"/>
          <w:iCs w:val="1"/>
          <w:color w:val="auto"/>
        </w:rPr>
        <w:t xml:space="preserve"> Risk Factors, </w:t>
      </w:r>
      <w:r>
        <w:rPr>
          <w:rFonts w:ascii="Arial" w:cs="Arial" w:eastAsia="Arial" w:hAnsi="Arial"/>
          <w:sz w:val="16"/>
          <w:szCs w:val="16"/>
          <w:color w:val="auto"/>
        </w:rPr>
        <w:t>and in other sections of this Quarterly Report on Form 10-Q for the three and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May 31, 2023, that are forward-looking statements. In some cases, you can identify these statements by words such as "may," "might," "will," "should," "expects," "plans," "anticipates," "believes," "estimates," "intends," "projects," "indicates," "predicts," "potential," or "continue," and similar expressions.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These forward-looking statements, which are subject to risks, uncertainties and assumptions about us, may include projections of our future financial performance and anticipated trends in our business. These statements are only predictions based on our current expectations, estimates, forecasts and projections about future events. These statements are not guarantees of future performance and involve a number of risks, uncertainties and assumptions. There are many important factors that could cause our actual results, level of activity, performance or achievements to differ materially from the results, level of activity, performance or achievements expressed or implied by the forward-looking statements, including the numerous factors discussed under Item 1A.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 our Annual Report on Form 10-K for the fiscal year ended August 31, 2022, that should be specifically considered.</w:t>
      </w:r>
    </w:p>
    <w:p>
      <w:pPr>
        <w:spacing w:after="0" w:line="13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Forward-looking statements speak only as of the date they are made, and actual results could differ materially from those anticipated in forward-looking statements. We do not intend, and are under no duty, to update any of these forward-looking statements after the date of this Quarterly Report on Form 10-Q to reflect actual results, future events or circumstances, or revised expectations.</w:t>
      </w:r>
    </w:p>
    <w:p>
      <w:pPr>
        <w:spacing w:after="0" w:line="1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intend that all forward-looking statements we make will be subject to safe harbor protection of the federal securities laws as found in Section 27A of the Securities Act of 1933 and Section 21E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54" w:lineRule="exact"/>
        <w:rPr>
          <w:sz w:val="20"/>
          <w:szCs w:val="20"/>
          <w:color w:val="auto"/>
        </w:rPr>
      </w:pPr>
    </w:p>
    <w:p>
      <w:pPr>
        <w:ind w:left="3420"/>
        <w:spacing w:after="0"/>
        <w:rPr>
          <w:sz w:val="20"/>
          <w:szCs w:val="20"/>
          <w:color w:val="auto"/>
        </w:rPr>
      </w:pPr>
      <w:r>
        <w:rPr>
          <w:rFonts w:ascii="Arial" w:cs="Arial" w:eastAsia="Arial" w:hAnsi="Arial"/>
          <w:sz w:val="25"/>
          <w:szCs w:val="25"/>
          <w:b w:val="1"/>
          <w:bCs w:val="1"/>
          <w:color w:val="auto"/>
        </w:rPr>
        <w:t>PART I – FINANCIAL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FactSet Research Systems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 – Unaudited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40" w:type="dxa"/>
            <w:vAlign w:val="bottom"/>
            <w:gridSpan w:val="3"/>
          </w:tcPr>
          <w:p>
            <w:pPr>
              <w:jc w:val="right"/>
              <w:ind w:right="630"/>
              <w:spacing w:after="0"/>
              <w:rPr>
                <w:sz w:val="20"/>
                <w:szCs w:val="20"/>
                <w:color w:val="auto"/>
              </w:rPr>
            </w:pPr>
            <w:r>
              <w:rPr>
                <w:rFonts w:ascii="Arial" w:cs="Arial" w:eastAsia="Arial" w:hAnsi="Arial"/>
                <w:sz w:val="18"/>
                <w:szCs w:val="18"/>
                <w:color w:val="auto"/>
              </w:rPr>
              <w:t>Three Months Ended</w:t>
            </w:r>
          </w:p>
        </w:tc>
        <w:tc>
          <w:tcPr>
            <w:tcW w:w="360" w:type="dxa"/>
            <w:vAlign w:val="bottom"/>
          </w:tcPr>
          <w:p>
            <w:pPr>
              <w:spacing w:after="0"/>
              <w:rPr>
                <w:sz w:val="20"/>
                <w:szCs w:val="20"/>
                <w:color w:val="auto"/>
              </w:rPr>
            </w:pPr>
          </w:p>
        </w:tc>
        <w:tc>
          <w:tcPr>
            <w:tcW w:w="2660" w:type="dxa"/>
            <w:vAlign w:val="bottom"/>
            <w:gridSpan w:val="3"/>
          </w:tcPr>
          <w:p>
            <w:pPr>
              <w:jc w:val="right"/>
              <w:ind w:right="690"/>
              <w:spacing w:after="0"/>
              <w:rPr>
                <w:sz w:val="20"/>
                <w:szCs w:val="20"/>
                <w:color w:val="auto"/>
              </w:rPr>
            </w:pPr>
            <w:r>
              <w:rPr>
                <w:rFonts w:ascii="Arial" w:cs="Arial" w:eastAsia="Arial" w:hAnsi="Arial"/>
                <w:sz w:val="18"/>
                <w:szCs w:val="18"/>
                <w:color w:val="auto"/>
              </w:rPr>
              <w:t>Nine Months Ended</w:t>
            </w:r>
          </w:p>
        </w:tc>
      </w:tr>
      <w:tr>
        <w:trPr>
          <w:trHeight w:val="243"/>
        </w:trPr>
        <w:tc>
          <w:tcPr>
            <w:tcW w:w="5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80" w:type="dxa"/>
            <w:vAlign w:val="bottom"/>
            <w:gridSpan w:val="2"/>
          </w:tcPr>
          <w:p>
            <w:pPr>
              <w:jc w:val="right"/>
              <w:ind w:right="30"/>
              <w:spacing w:after="0"/>
              <w:rPr>
                <w:sz w:val="20"/>
                <w:szCs w:val="20"/>
                <w:color w:val="auto"/>
              </w:rPr>
            </w:pPr>
            <w:r>
              <w:rPr>
                <w:rFonts w:ascii="Arial" w:cs="Arial" w:eastAsia="Arial" w:hAnsi="Arial"/>
                <w:sz w:val="18"/>
                <w:szCs w:val="18"/>
                <w:color w:val="auto"/>
              </w:rPr>
              <w:t>May 31,</w:t>
            </w:r>
          </w:p>
        </w:tc>
        <w:tc>
          <w:tcPr>
            <w:tcW w:w="1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0" w:type="dxa"/>
            <w:vAlign w:val="bottom"/>
            <w:gridSpan w:val="2"/>
          </w:tcPr>
          <w:p>
            <w:pPr>
              <w:jc w:val="right"/>
              <w:ind w:right="50"/>
              <w:spacing w:after="0"/>
              <w:rPr>
                <w:sz w:val="20"/>
                <w:szCs w:val="20"/>
                <w:color w:val="auto"/>
              </w:rPr>
            </w:pPr>
            <w:r>
              <w:rPr>
                <w:rFonts w:ascii="Arial" w:cs="Arial" w:eastAsia="Arial" w:hAnsi="Arial"/>
                <w:sz w:val="18"/>
                <w:szCs w:val="18"/>
                <w:color w:val="auto"/>
              </w:rPr>
              <w:t>May 31,</w:t>
            </w:r>
          </w:p>
        </w:tc>
        <w:tc>
          <w:tcPr>
            <w:tcW w:w="1060" w:type="dxa"/>
            <w:vAlign w:val="bottom"/>
          </w:tcPr>
          <w:p>
            <w:pPr>
              <w:spacing w:after="0"/>
              <w:rPr>
                <w:sz w:val="21"/>
                <w:szCs w:val="21"/>
                <w:color w:val="auto"/>
              </w:rPr>
            </w:pPr>
          </w:p>
        </w:tc>
      </w:tr>
      <w:tr>
        <w:trPr>
          <w:trHeight w:val="270"/>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 except per share data)</w:t>
            </w: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2023</w:t>
            </w:r>
          </w:p>
        </w:tc>
        <w:tc>
          <w:tcPr>
            <w:tcW w:w="4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2023</w:t>
            </w:r>
          </w:p>
        </w:tc>
        <w:tc>
          <w:tcPr>
            <w:tcW w:w="4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529,811</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488,751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1,549,711</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1,344,595</w:t>
            </w:r>
          </w:p>
        </w:tc>
      </w:tr>
      <w:tr>
        <w:trPr>
          <w:trHeight w:val="237"/>
        </w:trPr>
        <w:tc>
          <w:tcPr>
            <w:tcW w:w="52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36"/>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services</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241,689</w:t>
            </w:r>
          </w:p>
        </w:tc>
        <w:tc>
          <w:tcPr>
            <w:tcW w:w="4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222,618</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709,537</w:t>
            </w:r>
          </w:p>
        </w:tc>
        <w:tc>
          <w:tcPr>
            <w:tcW w:w="4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629,162</w:t>
            </w: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115,725</w:t>
            </w: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119,881</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325,903</w:t>
            </w: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309,185</w:t>
            </w:r>
          </w:p>
        </w:tc>
      </w:tr>
      <w:tr>
        <w:trPr>
          <w:trHeight w:val="24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 impairments</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4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48,998</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4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62,985</w:t>
            </w:r>
          </w:p>
        </w:tc>
      </w:tr>
      <w:tr>
        <w:trPr>
          <w:trHeight w:val="223"/>
        </w:trPr>
        <w:tc>
          <w:tcPr>
            <w:tcW w:w="5240" w:type="dxa"/>
            <w:vAlign w:val="bottom"/>
          </w:tcPr>
          <w:p>
            <w:pPr>
              <w:ind w:left="240"/>
              <w:spacing w:after="0"/>
              <w:rPr>
                <w:sz w:val="20"/>
                <w:szCs w:val="20"/>
                <w:color w:val="auto"/>
              </w:rPr>
            </w:pPr>
            <w:r>
              <w:rPr>
                <w:rFonts w:ascii="Arial" w:cs="Arial" w:eastAsia="Arial" w:hAnsi="Arial"/>
                <w:sz w:val="18"/>
                <w:szCs w:val="18"/>
                <w:color w:val="auto"/>
              </w:rPr>
              <w:t>Total operating expenses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357,852</w:t>
            </w: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391,497</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1,036,607</w:t>
            </w: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1,001,332</w:t>
            </w:r>
          </w:p>
        </w:tc>
      </w:tr>
      <w:tr>
        <w:trPr>
          <w:trHeight w:val="270"/>
        </w:trPr>
        <w:tc>
          <w:tcPr>
            <w:tcW w:w="52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171,959</w:t>
            </w: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97,254</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513,104</w:t>
            </w: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343,263</w:t>
            </w:r>
          </w:p>
        </w:tc>
      </w:tr>
      <w:tr>
        <w:trPr>
          <w:trHeight w:val="270"/>
        </w:trPr>
        <w:tc>
          <w:tcPr>
            <w:tcW w:w="52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37"/>
        </w:trPr>
        <w:tc>
          <w:tcPr>
            <w:tcW w:w="524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36"/>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income</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w:t>
            </w:r>
          </w:p>
        </w:tc>
        <w:tc>
          <w:tcPr>
            <w:tcW w:w="4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4,133</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8,191</w:t>
            </w:r>
          </w:p>
        </w:tc>
        <w:tc>
          <w:tcPr>
            <w:tcW w:w="4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w:t>
            </w: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(16,354)</w:t>
            </w: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(16,184)</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(49,628)</w:t>
            </w: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(20,118)</w:t>
            </w:r>
          </w:p>
        </w:tc>
      </w:tr>
      <w:tr>
        <w:trPr>
          <w:trHeight w:val="24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3,310</w:t>
            </w:r>
          </w:p>
        </w:tc>
        <w:tc>
          <w:tcPr>
            <w:tcW w:w="4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4,978</w:t>
            </w:r>
          </w:p>
        </w:tc>
        <w:tc>
          <w:tcPr>
            <w:tcW w:w="4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w:t>
            </w:r>
          </w:p>
        </w:tc>
      </w:tr>
      <w:tr>
        <w:trPr>
          <w:trHeight w:val="223"/>
        </w:trPr>
        <w:tc>
          <w:tcPr>
            <w:tcW w:w="5240" w:type="dxa"/>
            <w:vAlign w:val="bottom"/>
          </w:tcPr>
          <w:p>
            <w:pPr>
              <w:ind w:left="240"/>
              <w:spacing w:after="0"/>
              <w:rPr>
                <w:sz w:val="20"/>
                <w:szCs w:val="20"/>
                <w:color w:val="auto"/>
              </w:rPr>
            </w:pPr>
            <w:r>
              <w:rPr>
                <w:rFonts w:ascii="Arial" w:cs="Arial" w:eastAsia="Arial" w:hAnsi="Arial"/>
                <w:sz w:val="18"/>
                <w:szCs w:val="18"/>
                <w:color w:val="auto"/>
              </w:rPr>
              <w:t>Total other income (expense), net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(9,961)</w:t>
            </w: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(11,974)</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(36,459)</w:t>
            </w: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(16,097)</w:t>
            </w:r>
          </w:p>
        </w:tc>
      </w:tr>
      <w:tr>
        <w:trPr>
          <w:trHeight w:val="270"/>
        </w:trPr>
        <w:tc>
          <w:tcPr>
            <w:tcW w:w="52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161,998</w:t>
            </w: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85,280</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476,645</w:t>
            </w: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327,166</w:t>
            </w:r>
          </w:p>
        </w:tc>
      </w:tr>
      <w:tr>
        <w:trPr>
          <w:trHeight w:val="270"/>
        </w:trPr>
        <w:tc>
          <w:tcPr>
            <w:tcW w:w="52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27,335</w:t>
            </w: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10,370</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73,591</w:t>
            </w: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34,671</w:t>
            </w:r>
          </w:p>
        </w:tc>
      </w:tr>
      <w:tr>
        <w:trPr>
          <w:trHeight w:val="261"/>
        </w:trPr>
        <w:tc>
          <w:tcPr>
            <w:tcW w:w="5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134,663</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74,910</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403,054</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292,495</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5"/>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240" w:type="dxa"/>
            <w:vAlign w:val="bottom"/>
          </w:tcPr>
          <w:p>
            <w:pPr>
              <w:ind w:left="20"/>
              <w:spacing w:after="0" w:line="203" w:lineRule="exact"/>
              <w:rPr>
                <w:sz w:val="20"/>
                <w:szCs w:val="20"/>
                <w:color w:val="auto"/>
              </w:rPr>
            </w:pPr>
            <w:r>
              <w:rPr>
                <w:rFonts w:ascii="Arial" w:cs="Arial" w:eastAsia="Arial" w:hAnsi="Arial"/>
                <w:sz w:val="18"/>
                <w:szCs w:val="18"/>
                <w:color w:val="auto"/>
              </w:rPr>
              <w:t>Diluted earnings per common share</w:t>
            </w: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3.46</w:t>
            </w:r>
          </w:p>
        </w:tc>
        <w:tc>
          <w:tcPr>
            <w:tcW w:w="44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1.93</w:t>
            </w:r>
          </w:p>
        </w:tc>
        <w:tc>
          <w:tcPr>
            <w:tcW w:w="3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10.35</w:t>
            </w:r>
          </w:p>
        </w:tc>
        <w:tc>
          <w:tcPr>
            <w:tcW w:w="44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7.58</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7"/>
        </w:trPr>
        <w:tc>
          <w:tcPr>
            <w:tcW w:w="5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Basic weighted average common shares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38,278</w:t>
            </w:r>
          </w:p>
        </w:tc>
        <w:tc>
          <w:tcPr>
            <w:tcW w:w="4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37,934</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38,227</w:t>
            </w:r>
          </w:p>
        </w:tc>
        <w:tc>
          <w:tcPr>
            <w:tcW w:w="4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37,716</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49"/>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common shares</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38,912</w:t>
            </w:r>
          </w:p>
        </w:tc>
        <w:tc>
          <w:tcPr>
            <w:tcW w:w="4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38,720</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38,936</w:t>
            </w:r>
          </w:p>
        </w:tc>
        <w:tc>
          <w:tcPr>
            <w:tcW w:w="4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38,607</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Table of Contents</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751"/>
        </w:trPr>
        <w:tc>
          <w:tcPr>
            <w:tcW w:w="5700" w:type="dxa"/>
            <w:vAlign w:val="bottom"/>
          </w:tcPr>
          <w:p>
            <w:pPr>
              <w:spacing w:after="0"/>
              <w:rPr>
                <w:sz w:val="20"/>
                <w:szCs w:val="20"/>
                <w:color w:val="auto"/>
              </w:rPr>
            </w:pPr>
            <w:r>
              <w:rPr>
                <w:rFonts w:ascii="Arial" w:cs="Arial" w:eastAsia="Arial" w:hAnsi="Arial"/>
                <w:sz w:val="18"/>
                <w:szCs w:val="18"/>
                <w:b w:val="1"/>
                <w:bCs w:val="1"/>
                <w:color w:val="auto"/>
              </w:rPr>
              <w:t>FactSet Research Systems Inc.</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4"/>
        </w:trPr>
        <w:tc>
          <w:tcPr>
            <w:tcW w:w="7080" w:type="dxa"/>
            <w:vAlign w:val="bottom"/>
            <w:gridSpan w:val="3"/>
          </w:tcPr>
          <w:p>
            <w:pPr>
              <w:spacing w:after="0"/>
              <w:rPr>
                <w:sz w:val="20"/>
                <w:szCs w:val="20"/>
                <w:color w:val="auto"/>
              </w:rPr>
            </w:pPr>
            <w:r>
              <w:rPr>
                <w:rFonts w:ascii="Arial" w:cs="Arial" w:eastAsia="Arial" w:hAnsi="Arial"/>
                <w:sz w:val="18"/>
                <w:szCs w:val="18"/>
                <w:b w:val="1"/>
                <w:bCs w:val="1"/>
                <w:color w:val="auto"/>
              </w:rPr>
              <w:t>CONSOLIDATED STATEMENTS OF COMPREHENSIVE INCOME – Unaudited</w:t>
            </w: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6"/>
        </w:trPr>
        <w:tc>
          <w:tcPr>
            <w:tcW w:w="5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60" w:type="dxa"/>
            <w:vAlign w:val="bottom"/>
            <w:gridSpan w:val="3"/>
          </w:tcPr>
          <w:p>
            <w:pPr>
              <w:jc w:val="right"/>
              <w:ind w:right="530"/>
              <w:spacing w:after="0"/>
              <w:rPr>
                <w:sz w:val="20"/>
                <w:szCs w:val="20"/>
                <w:color w:val="auto"/>
              </w:rPr>
            </w:pPr>
            <w:r>
              <w:rPr>
                <w:rFonts w:ascii="Arial" w:cs="Arial" w:eastAsia="Arial" w:hAnsi="Arial"/>
                <w:sz w:val="18"/>
                <w:szCs w:val="18"/>
                <w:color w:val="auto"/>
              </w:rPr>
              <w:t>Three Months Ended</w:t>
            </w:r>
          </w:p>
        </w:tc>
        <w:tc>
          <w:tcPr>
            <w:tcW w:w="320" w:type="dxa"/>
            <w:vAlign w:val="bottom"/>
          </w:tcPr>
          <w:p>
            <w:pPr>
              <w:spacing w:after="0"/>
              <w:rPr>
                <w:sz w:val="22"/>
                <w:szCs w:val="22"/>
                <w:color w:val="auto"/>
              </w:rPr>
            </w:pPr>
          </w:p>
        </w:tc>
        <w:tc>
          <w:tcPr>
            <w:tcW w:w="2460" w:type="dxa"/>
            <w:vAlign w:val="bottom"/>
            <w:gridSpan w:val="3"/>
          </w:tcPr>
          <w:p>
            <w:pPr>
              <w:jc w:val="right"/>
              <w:ind w:right="570"/>
              <w:spacing w:after="0"/>
              <w:rPr>
                <w:sz w:val="20"/>
                <w:szCs w:val="20"/>
                <w:color w:val="auto"/>
              </w:rPr>
            </w:pPr>
            <w:r>
              <w:rPr>
                <w:rFonts w:ascii="Arial" w:cs="Arial" w:eastAsia="Arial" w:hAnsi="Arial"/>
                <w:sz w:val="18"/>
                <w:szCs w:val="18"/>
                <w:color w:val="auto"/>
              </w:rPr>
              <w:t>Nine Months Ended</w:t>
            </w:r>
          </w:p>
        </w:tc>
      </w:tr>
      <w:tr>
        <w:trPr>
          <w:trHeight w:val="230"/>
        </w:trPr>
        <w:tc>
          <w:tcPr>
            <w:tcW w:w="5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gridSpan w:val="2"/>
          </w:tcPr>
          <w:p>
            <w:pPr>
              <w:jc w:val="right"/>
              <w:ind w:right="10"/>
              <w:spacing w:after="0"/>
              <w:rPr>
                <w:sz w:val="20"/>
                <w:szCs w:val="20"/>
                <w:color w:val="auto"/>
              </w:rPr>
            </w:pPr>
            <w:r>
              <w:rPr>
                <w:rFonts w:ascii="Arial" w:cs="Arial" w:eastAsia="Arial" w:hAnsi="Arial"/>
                <w:sz w:val="18"/>
                <w:szCs w:val="18"/>
                <w:color w:val="auto"/>
              </w:rPr>
              <w:t>May 31,</w:t>
            </w: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gridSpan w:val="2"/>
          </w:tcPr>
          <w:p>
            <w:pPr>
              <w:jc w:val="right"/>
              <w:ind w:right="10"/>
              <w:spacing w:after="0"/>
              <w:rPr>
                <w:sz w:val="20"/>
                <w:szCs w:val="20"/>
                <w:color w:val="auto"/>
              </w:rPr>
            </w:pPr>
            <w:r>
              <w:rPr>
                <w:rFonts w:ascii="Arial" w:cs="Arial" w:eastAsia="Arial" w:hAnsi="Arial"/>
                <w:sz w:val="18"/>
                <w:szCs w:val="18"/>
                <w:color w:val="auto"/>
              </w:rPr>
              <w:t>May 31,</w:t>
            </w:r>
          </w:p>
        </w:tc>
        <w:tc>
          <w:tcPr>
            <w:tcW w:w="980" w:type="dxa"/>
            <w:vAlign w:val="bottom"/>
          </w:tcPr>
          <w:p>
            <w:pPr>
              <w:spacing w:after="0"/>
              <w:rPr>
                <w:sz w:val="20"/>
                <w:szCs w:val="20"/>
                <w:color w:val="auto"/>
              </w:rPr>
            </w:pPr>
          </w:p>
        </w:tc>
      </w:tr>
      <w:tr>
        <w:trPr>
          <w:trHeight w:val="270"/>
        </w:trPr>
        <w:tc>
          <w:tcPr>
            <w:tcW w:w="570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2023</w:t>
            </w:r>
          </w:p>
        </w:tc>
        <w:tc>
          <w:tcPr>
            <w:tcW w:w="4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2023</w:t>
            </w:r>
          </w:p>
        </w:tc>
        <w:tc>
          <w:tcPr>
            <w:tcW w:w="4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2022</w:t>
            </w: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134,663</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74,910</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403,054</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292,495</w:t>
            </w:r>
          </w:p>
        </w:tc>
      </w:tr>
      <w:tr>
        <w:trPr>
          <w:trHeight w:val="257"/>
        </w:trPr>
        <w:tc>
          <w:tcPr>
            <w:tcW w:w="5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5700" w:type="dxa"/>
            <w:vAlign w:val="bottom"/>
          </w:tcPr>
          <w:p>
            <w:pPr>
              <w:ind w:left="360"/>
              <w:spacing w:after="0"/>
              <w:rPr>
                <w:sz w:val="20"/>
                <w:szCs w:val="20"/>
                <w:color w:val="auto"/>
              </w:rPr>
            </w:pPr>
            <w:r>
              <w:rPr>
                <w:rFonts w:ascii="Arial" w:cs="Arial" w:eastAsia="Arial" w:hAnsi="Arial"/>
                <w:sz w:val="18"/>
                <w:szCs w:val="18"/>
                <w:color w:val="auto"/>
              </w:rPr>
              <w:t>Net unrealized gain (loss) on cash flow hedges*</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(2,044)</w:t>
            </w:r>
          </w:p>
        </w:tc>
        <w:tc>
          <w:tcPr>
            <w:tcW w:w="4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810</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2,257</w:t>
            </w:r>
          </w:p>
        </w:tc>
        <w:tc>
          <w:tcPr>
            <w:tcW w:w="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5,620</w:t>
            </w:r>
          </w:p>
        </w:tc>
      </w:tr>
      <w:tr>
        <w:trPr>
          <w:trHeight w:val="236"/>
        </w:trPr>
        <w:tc>
          <w:tcPr>
            <w:tcW w:w="5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 gains (losses)</w:t>
            </w: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4,943</w:t>
            </w:r>
          </w:p>
        </w:tc>
        <w:tc>
          <w:tcPr>
            <w:tcW w:w="4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(22,096)</w:t>
            </w: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16,782</w:t>
            </w:r>
          </w:p>
        </w:tc>
        <w:tc>
          <w:tcPr>
            <w:tcW w:w="4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(43,792)</w:t>
            </w:r>
          </w:p>
        </w:tc>
      </w:tr>
      <w:tr>
        <w:trPr>
          <w:trHeight w:val="223"/>
        </w:trPr>
        <w:tc>
          <w:tcPr>
            <w:tcW w:w="5700" w:type="dxa"/>
            <w:vAlign w:val="bottom"/>
          </w:tcPr>
          <w:p>
            <w:pPr>
              <w:ind w:left="800"/>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2,899</w:t>
            </w: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(21,286)</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19,039</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(38,172)</w:t>
            </w:r>
          </w:p>
        </w:tc>
      </w:tr>
      <w:tr>
        <w:trPr>
          <w:trHeight w:val="261"/>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137,562</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53,624</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422,093</w:t>
            </w:r>
          </w:p>
        </w:tc>
        <w:tc>
          <w:tcPr>
            <w:tcW w:w="4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254,323</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*Presented net of a tax benefit of $704 thousand and a tax expense of $1,350 thousand for the three months ended May 31, 2023 and May 31, 2022, respectively. Presented net of a tax expense of $781 thousand and $1,819 thousand for the nine months ended May 31, 2023 and May 31, 2022, respectively.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Table of Contents</w:t>
            </w: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751"/>
        </w:trPr>
        <w:tc>
          <w:tcPr>
            <w:tcW w:w="7740" w:type="dxa"/>
            <w:vAlign w:val="bottom"/>
          </w:tcPr>
          <w:p>
            <w:pPr>
              <w:spacing w:after="0"/>
              <w:rPr>
                <w:sz w:val="20"/>
                <w:szCs w:val="20"/>
                <w:color w:val="auto"/>
              </w:rPr>
            </w:pPr>
            <w:r>
              <w:rPr>
                <w:rFonts w:ascii="Arial" w:cs="Arial" w:eastAsia="Arial" w:hAnsi="Arial"/>
                <w:sz w:val="18"/>
                <w:szCs w:val="18"/>
                <w:b w:val="1"/>
                <w:bCs w:val="1"/>
                <w:color w:val="auto"/>
              </w:rPr>
              <w:t>FactSet Research Systems Inc.</w:t>
            </w: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4"/>
        </w:trPr>
        <w:tc>
          <w:tcPr>
            <w:tcW w:w="7740" w:type="dxa"/>
            <w:vAlign w:val="bottom"/>
          </w:tcPr>
          <w:p>
            <w:pPr>
              <w:spacing w:after="0"/>
              <w:rPr>
                <w:sz w:val="20"/>
                <w:szCs w:val="20"/>
                <w:color w:val="auto"/>
              </w:rPr>
            </w:pPr>
            <w:r>
              <w:rPr>
                <w:rFonts w:ascii="Arial" w:cs="Arial" w:eastAsia="Arial" w:hAnsi="Arial"/>
                <w:sz w:val="18"/>
                <w:szCs w:val="18"/>
                <w:b w:val="1"/>
                <w:bCs w:val="1"/>
                <w:color w:val="auto"/>
              </w:rPr>
              <w:t>CONSOLIDATED BALANCE SHEETS – Unaudited</w:t>
            </w: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97"/>
        </w:trPr>
        <w:tc>
          <w:tcPr>
            <w:tcW w:w="77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 except share data)</w:t>
            </w:r>
          </w:p>
        </w:tc>
        <w:tc>
          <w:tcPr>
            <w:tcW w:w="2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May 31, 2023</w:t>
            </w: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3"/>
              </w:rPr>
              <w:t>August 31, 2022</w:t>
            </w:r>
          </w:p>
        </w:tc>
      </w:tr>
      <w:tr>
        <w:trPr>
          <w:trHeight w:val="223"/>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7"/>
        </w:trPr>
        <w:tc>
          <w:tcPr>
            <w:tcW w:w="774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486,627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503,273</w:t>
            </w:r>
          </w:p>
        </w:tc>
      </w:tr>
      <w:tr>
        <w:trPr>
          <w:trHeight w:val="236"/>
        </w:trPr>
        <w:tc>
          <w:tcPr>
            <w:tcW w:w="7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Investments</w:t>
            </w:r>
          </w:p>
        </w:tc>
        <w:tc>
          <w:tcPr>
            <w:tcW w:w="28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32,151</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33,219</w:t>
            </w:r>
          </w:p>
        </w:tc>
      </w:tr>
      <w:tr>
        <w:trPr>
          <w:trHeight w:val="270"/>
        </w:trPr>
        <w:tc>
          <w:tcPr>
            <w:tcW w:w="7740" w:type="dxa"/>
            <w:vAlign w:val="bottom"/>
          </w:tcPr>
          <w:p>
            <w:pPr>
              <w:ind w:left="140"/>
              <w:spacing w:after="0"/>
              <w:rPr>
                <w:sz w:val="20"/>
                <w:szCs w:val="20"/>
                <w:color w:val="auto"/>
              </w:rPr>
            </w:pPr>
            <w:r>
              <w:rPr>
                <w:rFonts w:ascii="Arial" w:cs="Arial" w:eastAsia="Arial" w:hAnsi="Arial"/>
                <w:sz w:val="18"/>
                <w:szCs w:val="18"/>
                <w:color w:val="auto"/>
              </w:rPr>
              <w:t>Accounts receivable, net of reserves of $5,956 at May 31, 2023 and $2,776 at August 31, 2022</w:t>
            </w:r>
          </w:p>
        </w:tc>
        <w:tc>
          <w:tcPr>
            <w:tcW w:w="2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237,794</w:t>
            </w: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204,102</w:t>
            </w:r>
          </w:p>
        </w:tc>
      </w:tr>
      <w:tr>
        <w:trPr>
          <w:trHeight w:val="230"/>
        </w:trPr>
        <w:tc>
          <w:tcPr>
            <w:tcW w:w="7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taxes</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21,566</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38,539</w:t>
            </w:r>
          </w:p>
        </w:tc>
      </w:tr>
      <w:tr>
        <w:trPr>
          <w:trHeight w:val="243"/>
        </w:trPr>
        <w:tc>
          <w:tcPr>
            <w:tcW w:w="7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66,171</w:t>
            </w: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91,214</w:t>
            </w:r>
          </w:p>
        </w:tc>
      </w:tr>
      <w:tr>
        <w:trPr>
          <w:trHeight w:val="223"/>
        </w:trPr>
        <w:tc>
          <w:tcPr>
            <w:tcW w:w="7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844,309</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870,347</w:t>
            </w:r>
          </w:p>
        </w:tc>
      </w:tr>
      <w:tr>
        <w:trPr>
          <w:trHeight w:val="229"/>
        </w:trPr>
        <w:tc>
          <w:tcPr>
            <w:tcW w:w="7740" w:type="dxa"/>
            <w:vAlign w:val="bottom"/>
          </w:tcPr>
          <w:p>
            <w:pPr>
              <w:ind w:left="140"/>
              <w:spacing w:after="0"/>
              <w:rPr>
                <w:sz w:val="20"/>
                <w:szCs w:val="20"/>
                <w:color w:val="auto"/>
              </w:rPr>
            </w:pPr>
            <w:r>
              <w:rPr>
                <w:rFonts w:ascii="Arial" w:cs="Arial" w:eastAsia="Arial" w:hAnsi="Arial"/>
                <w:sz w:val="18"/>
                <w:szCs w:val="18"/>
                <w:color w:val="auto"/>
              </w:rPr>
              <w:t>Property, equipment and leasehold improvements, net</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81,908</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80,843</w:t>
            </w:r>
          </w:p>
        </w:tc>
      </w:tr>
      <w:tr>
        <w:trPr>
          <w:trHeight w:val="243"/>
        </w:trPr>
        <w:tc>
          <w:tcPr>
            <w:tcW w:w="7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982,162</w:t>
            </w: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965,848</w:t>
            </w:r>
          </w:p>
        </w:tc>
      </w:tr>
      <w:tr>
        <w:trPr>
          <w:trHeight w:val="229"/>
        </w:trPr>
        <w:tc>
          <w:tcPr>
            <w:tcW w:w="7740" w:type="dxa"/>
            <w:vAlign w:val="bottom"/>
          </w:tcPr>
          <w:p>
            <w:pPr>
              <w:ind w:left="140"/>
              <w:spacing w:after="0"/>
              <w:rPr>
                <w:sz w:val="20"/>
                <w:szCs w:val="20"/>
                <w:color w:val="auto"/>
              </w:rPr>
            </w:pPr>
            <w:r>
              <w:rPr>
                <w:rFonts w:ascii="Arial" w:cs="Arial" w:eastAsia="Arial" w:hAnsi="Arial"/>
                <w:sz w:val="18"/>
                <w:szCs w:val="18"/>
                <w:color w:val="auto"/>
              </w:rPr>
              <w:t>Intangible assets, net</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1,859,242</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1,895,909</w:t>
            </w:r>
          </w:p>
        </w:tc>
      </w:tr>
      <w:tr>
        <w:trPr>
          <w:trHeight w:val="229"/>
        </w:trPr>
        <w:tc>
          <w:tcPr>
            <w:tcW w:w="7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taxes</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12,041</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w:t>
            </w:r>
          </w:p>
        </w:tc>
      </w:tr>
      <w:tr>
        <w:trPr>
          <w:trHeight w:val="237"/>
        </w:trPr>
        <w:tc>
          <w:tcPr>
            <w:tcW w:w="7740" w:type="dxa"/>
            <w:vAlign w:val="bottom"/>
          </w:tcPr>
          <w:p>
            <w:pPr>
              <w:ind w:left="140"/>
              <w:spacing w:after="0"/>
              <w:rPr>
                <w:sz w:val="20"/>
                <w:szCs w:val="20"/>
                <w:color w:val="auto"/>
              </w:rPr>
            </w:pPr>
            <w:r>
              <w:rPr>
                <w:rFonts w:ascii="Arial" w:cs="Arial" w:eastAsia="Arial" w:hAnsi="Arial"/>
                <w:sz w:val="18"/>
                <w:szCs w:val="18"/>
                <w:color w:val="auto"/>
              </w:rPr>
              <w:t>Lease right-of-use assets, net</w:t>
            </w: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156,786</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159,458</w:t>
            </w:r>
          </w:p>
        </w:tc>
      </w:tr>
      <w:tr>
        <w:trPr>
          <w:trHeight w:val="236"/>
        </w:trPr>
        <w:tc>
          <w:tcPr>
            <w:tcW w:w="7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61,462</w:t>
            </w:r>
          </w:p>
        </w:tc>
        <w:tc>
          <w:tcPr>
            <w:tcW w:w="1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38,747</w:t>
            </w:r>
          </w:p>
        </w:tc>
      </w:tr>
      <w:tr>
        <w:trPr>
          <w:trHeight w:val="223"/>
        </w:trPr>
        <w:tc>
          <w:tcPr>
            <w:tcW w:w="7740" w:type="dxa"/>
            <w:vAlign w:val="bottom"/>
          </w:tcPr>
          <w:p>
            <w:pPr>
              <w:ind w:left="36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3,997,910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4,014,305</w:t>
            </w: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1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29"/>
        </w:trPr>
        <w:tc>
          <w:tcPr>
            <w:tcW w:w="7740" w:type="dxa"/>
            <w:vAlign w:val="bottom"/>
          </w:tcPr>
          <w:p>
            <w:pPr>
              <w:ind w:left="14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110,282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108,395</w:t>
            </w:r>
          </w:p>
        </w:tc>
      </w:tr>
      <w:tr>
        <w:trPr>
          <w:trHeight w:val="230"/>
        </w:trPr>
        <w:tc>
          <w:tcPr>
            <w:tcW w:w="7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lease liabilities</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29,600</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29,185</w:t>
            </w:r>
          </w:p>
        </w:tc>
      </w:tr>
      <w:tr>
        <w:trPr>
          <w:trHeight w:val="237"/>
        </w:trPr>
        <w:tc>
          <w:tcPr>
            <w:tcW w:w="7740" w:type="dxa"/>
            <w:vAlign w:val="bottom"/>
          </w:tcPr>
          <w:p>
            <w:pPr>
              <w:ind w:left="140"/>
              <w:spacing w:after="0"/>
              <w:rPr>
                <w:sz w:val="20"/>
                <w:szCs w:val="20"/>
                <w:color w:val="auto"/>
              </w:rPr>
            </w:pPr>
            <w:r>
              <w:rPr>
                <w:rFonts w:ascii="Arial" w:cs="Arial" w:eastAsia="Arial" w:hAnsi="Arial"/>
                <w:sz w:val="18"/>
                <w:szCs w:val="18"/>
                <w:color w:val="auto"/>
              </w:rPr>
              <w:t>Accrued compensation</w:t>
            </w: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75,803</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114,808</w:t>
            </w:r>
          </w:p>
        </w:tc>
      </w:tr>
      <w:tr>
        <w:trPr>
          <w:trHeight w:val="276"/>
        </w:trPr>
        <w:tc>
          <w:tcPr>
            <w:tcW w:w="7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revenues</w:t>
            </w:r>
          </w:p>
        </w:tc>
        <w:tc>
          <w:tcPr>
            <w:tcW w:w="28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147,813</w:t>
            </w: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152,039</w:t>
            </w:r>
          </w:p>
        </w:tc>
      </w:tr>
      <w:tr>
        <w:trPr>
          <w:trHeight w:val="230"/>
        </w:trPr>
        <w:tc>
          <w:tcPr>
            <w:tcW w:w="7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Dividends payable</w:t>
            </w: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37,442</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33,860</w:t>
            </w:r>
          </w:p>
        </w:tc>
      </w:tr>
      <w:tr>
        <w:trPr>
          <w:trHeight w:val="223"/>
        </w:trPr>
        <w:tc>
          <w:tcPr>
            <w:tcW w:w="7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400,940</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438,287</w:t>
            </w:r>
          </w:p>
        </w:tc>
      </w:tr>
      <w:tr>
        <w:trPr>
          <w:trHeight w:val="237"/>
        </w:trPr>
        <w:tc>
          <w:tcPr>
            <w:tcW w:w="7740" w:type="dxa"/>
            <w:vAlign w:val="bottom"/>
          </w:tcPr>
          <w:p>
            <w:pPr>
              <w:ind w:left="140"/>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1,674,194</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1,982,424</w:t>
            </w:r>
          </w:p>
        </w:tc>
      </w:tr>
      <w:tr>
        <w:trPr>
          <w:trHeight w:val="236"/>
        </w:trPr>
        <w:tc>
          <w:tcPr>
            <w:tcW w:w="7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taxes</w:t>
            </w:r>
          </w:p>
        </w:tc>
        <w:tc>
          <w:tcPr>
            <w:tcW w:w="28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6,068</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8,800</w:t>
            </w:r>
          </w:p>
        </w:tc>
      </w:tr>
      <w:tr>
        <w:trPr>
          <w:trHeight w:val="270"/>
        </w:trPr>
        <w:tc>
          <w:tcPr>
            <w:tcW w:w="7740" w:type="dxa"/>
            <w:vAlign w:val="bottom"/>
          </w:tcPr>
          <w:p>
            <w:pPr>
              <w:ind w:left="140"/>
              <w:spacing w:after="0"/>
              <w:rPr>
                <w:sz w:val="20"/>
                <w:szCs w:val="20"/>
                <w:color w:val="auto"/>
              </w:rPr>
            </w:pPr>
            <w:r>
              <w:rPr>
                <w:rFonts w:ascii="Arial" w:cs="Arial" w:eastAsia="Arial" w:hAnsi="Arial"/>
                <w:sz w:val="18"/>
                <w:szCs w:val="18"/>
                <w:color w:val="auto"/>
              </w:rPr>
              <w:t>Deferred revenues, non-current</w:t>
            </w:r>
          </w:p>
        </w:tc>
        <w:tc>
          <w:tcPr>
            <w:tcW w:w="2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7,580</w:t>
            </w: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7,212</w:t>
            </w:r>
          </w:p>
        </w:tc>
      </w:tr>
      <w:tr>
        <w:trPr>
          <w:trHeight w:val="230"/>
        </w:trPr>
        <w:tc>
          <w:tcPr>
            <w:tcW w:w="7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Taxes payable</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36,448</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34,211</w:t>
            </w:r>
          </w:p>
        </w:tc>
      </w:tr>
      <w:tr>
        <w:trPr>
          <w:trHeight w:val="237"/>
        </w:trPr>
        <w:tc>
          <w:tcPr>
            <w:tcW w:w="7740" w:type="dxa"/>
            <w:vAlign w:val="bottom"/>
          </w:tcPr>
          <w:p>
            <w:pPr>
              <w:ind w:left="140"/>
              <w:spacing w:after="0"/>
              <w:rPr>
                <w:sz w:val="20"/>
                <w:szCs w:val="20"/>
                <w:color w:val="auto"/>
              </w:rPr>
            </w:pPr>
            <w:r>
              <w:rPr>
                <w:rFonts w:ascii="Arial" w:cs="Arial" w:eastAsia="Arial" w:hAnsi="Arial"/>
                <w:sz w:val="18"/>
                <w:szCs w:val="18"/>
                <w:color w:val="auto"/>
              </w:rPr>
              <w:t>Long-term lease liabilities</w:t>
            </w: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200,740</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208,622</w:t>
            </w:r>
          </w:p>
        </w:tc>
      </w:tr>
      <w:tr>
        <w:trPr>
          <w:trHeight w:val="263"/>
        </w:trPr>
        <w:tc>
          <w:tcPr>
            <w:tcW w:w="7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auto"/>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3,107</w:t>
            </w:r>
          </w:p>
        </w:tc>
        <w:tc>
          <w:tcPr>
            <w:tcW w:w="16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3,341</w:t>
            </w:r>
          </w:p>
        </w:tc>
      </w:tr>
      <w:tr>
        <w:trPr>
          <w:trHeight w:val="223"/>
        </w:trPr>
        <w:tc>
          <w:tcPr>
            <w:tcW w:w="7740" w:type="dxa"/>
            <w:vAlign w:val="bottom"/>
          </w:tcPr>
          <w:p>
            <w:pPr>
              <w:ind w:left="360"/>
              <w:spacing w:after="0"/>
              <w:rPr>
                <w:sz w:val="20"/>
                <w:szCs w:val="20"/>
                <w:color w:val="auto"/>
              </w:rPr>
            </w:pPr>
            <w:r>
              <w:rPr>
                <w:rFonts w:ascii="Arial" w:cs="Arial" w:eastAsia="Arial" w:hAnsi="Arial"/>
                <w:sz w:val="18"/>
                <w:szCs w:val="18"/>
                <w:b w:val="1"/>
                <w:bCs w:val="1"/>
                <w:color w:val="auto"/>
              </w:rPr>
              <w:t>TOTAL LIABILITIES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2,329,077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2,682,897</w:t>
            </w: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17"/>
        </w:trPr>
        <w:tc>
          <w:tcPr>
            <w:tcW w:w="7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Commitments and contingencies (see Note 12)</w:t>
            </w:r>
          </w:p>
        </w:tc>
        <w:tc>
          <w:tcPr>
            <w:tcW w:w="28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r>
      <w:tr>
        <w:trPr>
          <w:trHeight w:val="239"/>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4"/>
        </w:trPr>
        <w:tc>
          <w:tcPr>
            <w:tcW w:w="7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 $0.01 par value, 10,000,000 shares authorized, none issued</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75"/>
        </w:trPr>
        <w:tc>
          <w:tcPr>
            <w:tcW w:w="7740" w:type="dxa"/>
            <w:vAlign w:val="bottom"/>
          </w:tcPr>
          <w:p>
            <w:pPr>
              <w:ind w:left="140"/>
              <w:spacing w:after="0" w:line="176" w:lineRule="exact"/>
              <w:rPr>
                <w:sz w:val="20"/>
                <w:szCs w:val="20"/>
                <w:color w:val="auto"/>
              </w:rPr>
            </w:pPr>
            <w:r>
              <w:rPr>
                <w:rFonts w:ascii="Arial" w:cs="Arial" w:eastAsia="Arial" w:hAnsi="Arial"/>
                <w:sz w:val="18"/>
                <w:szCs w:val="18"/>
                <w:color w:val="auto"/>
                <w:w w:val="94"/>
              </w:rPr>
              <w:t>Common stock, $0.01 par value; 150,000,000 shares authorized; 42,009,099 and 41,653,218 shares</w:t>
            </w:r>
          </w:p>
        </w:tc>
        <w:tc>
          <w:tcPr>
            <w:tcW w:w="2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8"/>
        </w:trPr>
        <w:tc>
          <w:tcPr>
            <w:tcW w:w="7740" w:type="dxa"/>
            <w:vAlign w:val="bottom"/>
          </w:tcPr>
          <w:p>
            <w:pPr>
              <w:ind w:left="140"/>
              <w:spacing w:after="0" w:line="189" w:lineRule="exact"/>
              <w:rPr>
                <w:sz w:val="20"/>
                <w:szCs w:val="20"/>
                <w:color w:val="auto"/>
              </w:rPr>
            </w:pPr>
            <w:r>
              <w:rPr>
                <w:rFonts w:ascii="Arial" w:cs="Arial" w:eastAsia="Arial" w:hAnsi="Arial"/>
                <w:sz w:val="18"/>
                <w:szCs w:val="18"/>
                <w:color w:val="auto"/>
              </w:rPr>
              <w:t>issued; 38,205,735 and 38,044,756 shares outstanding at May 31, 2023 and August 31, 2022,</w:t>
            </w:r>
          </w:p>
        </w:tc>
        <w:tc>
          <w:tcPr>
            <w:tcW w:w="2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30"/>
        </w:trPr>
        <w:tc>
          <w:tcPr>
            <w:tcW w:w="7740" w:type="dxa"/>
            <w:vAlign w:val="bottom"/>
          </w:tcPr>
          <w:p>
            <w:pPr>
              <w:ind w:left="140"/>
              <w:spacing w:after="0"/>
              <w:rPr>
                <w:sz w:val="20"/>
                <w:szCs w:val="20"/>
                <w:color w:val="auto"/>
              </w:rPr>
            </w:pPr>
            <w:r>
              <w:rPr>
                <w:rFonts w:ascii="Arial" w:cs="Arial" w:eastAsia="Arial" w:hAnsi="Arial"/>
                <w:sz w:val="18"/>
                <w:szCs w:val="18"/>
                <w:color w:val="auto"/>
              </w:rPr>
              <w:t>respectively</w:t>
            </w: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420</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417</w:t>
            </w:r>
          </w:p>
        </w:tc>
      </w:tr>
      <w:tr>
        <w:trPr>
          <w:trHeight w:val="230"/>
        </w:trPr>
        <w:tc>
          <w:tcPr>
            <w:tcW w:w="7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1,290,596</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1,190,350</w:t>
            </w:r>
          </w:p>
        </w:tc>
      </w:tr>
      <w:tr>
        <w:trPr>
          <w:trHeight w:val="188"/>
        </w:trPr>
        <w:tc>
          <w:tcPr>
            <w:tcW w:w="7740" w:type="dxa"/>
            <w:vAlign w:val="bottom"/>
          </w:tcPr>
          <w:p>
            <w:pPr>
              <w:ind w:left="140"/>
              <w:spacing w:after="0" w:line="189" w:lineRule="exact"/>
              <w:rPr>
                <w:sz w:val="20"/>
                <w:szCs w:val="20"/>
                <w:color w:val="auto"/>
              </w:rPr>
            </w:pPr>
            <w:r>
              <w:rPr>
                <w:rFonts w:ascii="Arial" w:cs="Arial" w:eastAsia="Arial" w:hAnsi="Arial"/>
                <w:sz w:val="18"/>
                <w:szCs w:val="18"/>
                <w:color w:val="auto"/>
                <w:w w:val="99"/>
              </w:rPr>
              <w:t>Treasury stock, at cost: 3,803,364 and 3,608,462 shares at May 31, 2023 and August 31, 2022,</w:t>
            </w:r>
          </w:p>
        </w:tc>
        <w:tc>
          <w:tcPr>
            <w:tcW w:w="2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30"/>
        </w:trPr>
        <w:tc>
          <w:tcPr>
            <w:tcW w:w="7740" w:type="dxa"/>
            <w:vAlign w:val="bottom"/>
          </w:tcPr>
          <w:p>
            <w:pPr>
              <w:ind w:left="140"/>
              <w:spacing w:after="0"/>
              <w:rPr>
                <w:sz w:val="20"/>
                <w:szCs w:val="20"/>
                <w:color w:val="auto"/>
              </w:rPr>
            </w:pPr>
            <w:r>
              <w:rPr>
                <w:rFonts w:ascii="Arial" w:cs="Arial" w:eastAsia="Arial" w:hAnsi="Arial"/>
                <w:sz w:val="18"/>
                <w:szCs w:val="18"/>
                <w:color w:val="auto"/>
              </w:rPr>
              <w:t>respectively</w:t>
            </w: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(1,010,081)</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(930,715)</w:t>
            </w:r>
          </w:p>
        </w:tc>
      </w:tr>
      <w:tr>
        <w:trPr>
          <w:trHeight w:val="230"/>
        </w:trPr>
        <w:tc>
          <w:tcPr>
            <w:tcW w:w="7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1,477,242</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1,179,739</w:t>
            </w:r>
          </w:p>
        </w:tc>
      </w:tr>
      <w:tr>
        <w:trPr>
          <w:trHeight w:val="243"/>
        </w:trPr>
        <w:tc>
          <w:tcPr>
            <w:tcW w:w="7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(89,344)</w:t>
            </w: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(108,383)</w:t>
            </w:r>
          </w:p>
        </w:tc>
      </w:tr>
      <w:tr>
        <w:trPr>
          <w:trHeight w:val="223"/>
        </w:trPr>
        <w:tc>
          <w:tcPr>
            <w:tcW w:w="77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STOCKHOLDERS’ EQUITY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1,668,833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1,331,408</w:t>
            </w:r>
          </w:p>
        </w:tc>
      </w:tr>
      <w:tr>
        <w:trPr>
          <w:trHeight w:val="223"/>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3,997,910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4,014,305</w:t>
            </w:r>
          </w:p>
        </w:tc>
      </w:tr>
      <w:tr>
        <w:trPr>
          <w:trHeight w:val="20"/>
        </w:trPr>
        <w:tc>
          <w:tcPr>
            <w:tcW w:w="7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8600" w:type="dxa"/>
            <w:vAlign w:val="bottom"/>
          </w:tcPr>
          <w:p>
            <w:pPr>
              <w:spacing w:after="0"/>
              <w:rPr>
                <w:sz w:val="20"/>
                <w:szCs w:val="20"/>
                <w:color w:val="auto"/>
              </w:rPr>
            </w:pPr>
            <w:r>
              <w:rPr>
                <w:rFonts w:ascii="Arial" w:cs="Arial" w:eastAsia="Arial" w:hAnsi="Arial"/>
                <w:sz w:val="18"/>
                <w:szCs w:val="18"/>
                <w:color w:val="auto"/>
              </w:rPr>
              <w:t>Table of Contents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751"/>
        </w:trPr>
        <w:tc>
          <w:tcPr>
            <w:tcW w:w="8600" w:type="dxa"/>
            <w:vAlign w:val="bottom"/>
          </w:tcPr>
          <w:p>
            <w:pPr>
              <w:spacing w:after="0"/>
              <w:rPr>
                <w:sz w:val="20"/>
                <w:szCs w:val="20"/>
                <w:color w:val="auto"/>
              </w:rPr>
            </w:pPr>
            <w:r>
              <w:rPr>
                <w:rFonts w:ascii="Arial" w:cs="Arial" w:eastAsia="Arial" w:hAnsi="Arial"/>
                <w:sz w:val="18"/>
                <w:szCs w:val="18"/>
                <w:b w:val="1"/>
                <w:bCs w:val="1"/>
                <w:color w:val="auto"/>
              </w:rPr>
              <w:t>FactSet Research Systems Inc.</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4"/>
        </w:trPr>
        <w:tc>
          <w:tcPr>
            <w:tcW w:w="8600" w:type="dxa"/>
            <w:vAlign w:val="bottom"/>
          </w:tcPr>
          <w:p>
            <w:pPr>
              <w:spacing w:after="0"/>
              <w:rPr>
                <w:sz w:val="20"/>
                <w:szCs w:val="20"/>
                <w:color w:val="auto"/>
              </w:rPr>
            </w:pPr>
            <w:r>
              <w:rPr>
                <w:rFonts w:ascii="Arial" w:cs="Arial" w:eastAsia="Arial" w:hAnsi="Arial"/>
                <w:sz w:val="18"/>
                <w:szCs w:val="18"/>
                <w:b w:val="1"/>
                <w:bCs w:val="1"/>
                <w:color w:val="auto"/>
              </w:rPr>
              <w:t>CONSOLIDATED STATEMENTS OF CASH FLOWS – Unaudited</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56"/>
        </w:trPr>
        <w:tc>
          <w:tcPr>
            <w:tcW w:w="8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340" w:type="dxa"/>
            <w:vAlign w:val="bottom"/>
            <w:gridSpan w:val="3"/>
          </w:tcPr>
          <w:p>
            <w:pPr>
              <w:jc w:val="right"/>
              <w:ind w:right="510"/>
              <w:spacing w:after="0"/>
              <w:rPr>
                <w:sz w:val="20"/>
                <w:szCs w:val="20"/>
                <w:color w:val="auto"/>
              </w:rPr>
            </w:pPr>
            <w:r>
              <w:rPr>
                <w:rFonts w:ascii="Arial" w:cs="Arial" w:eastAsia="Arial" w:hAnsi="Arial"/>
                <w:sz w:val="18"/>
                <w:szCs w:val="18"/>
                <w:color w:val="auto"/>
              </w:rPr>
              <w:t>Nine Months Ended</w:t>
            </w:r>
          </w:p>
        </w:tc>
      </w:tr>
      <w:tr>
        <w:trPr>
          <w:trHeight w:val="230"/>
        </w:trPr>
        <w:tc>
          <w:tcPr>
            <w:tcW w:w="8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May 31,</w:t>
            </w:r>
          </w:p>
        </w:tc>
        <w:tc>
          <w:tcPr>
            <w:tcW w:w="940" w:type="dxa"/>
            <w:vAlign w:val="bottom"/>
          </w:tcPr>
          <w:p>
            <w:pPr>
              <w:spacing w:after="0"/>
              <w:rPr>
                <w:sz w:val="20"/>
                <w:szCs w:val="20"/>
                <w:color w:val="auto"/>
              </w:rPr>
            </w:pPr>
          </w:p>
        </w:tc>
      </w:tr>
      <w:tr>
        <w:trPr>
          <w:trHeight w:val="243"/>
        </w:trPr>
        <w:tc>
          <w:tcPr>
            <w:tcW w:w="86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2023</w:t>
            </w:r>
          </w:p>
        </w:tc>
        <w:tc>
          <w:tcPr>
            <w:tcW w:w="3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r>
      <w:tr>
        <w:trPr>
          <w:trHeight w:val="223"/>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7"/>
        </w:trPr>
        <w:tc>
          <w:tcPr>
            <w:tcW w:w="86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403,054</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292,495</w:t>
            </w:r>
          </w:p>
        </w:tc>
      </w:tr>
      <w:tr>
        <w:trPr>
          <w:trHeight w:val="236"/>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29"/>
        </w:trPr>
        <w:tc>
          <w:tcPr>
            <w:tcW w:w="86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78,681</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60,176</w:t>
            </w:r>
          </w:p>
        </w:tc>
      </w:tr>
      <w:tr>
        <w:trPr>
          <w:trHeight w:val="243"/>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lease right-of-use assets</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29,245</w:t>
            </w:r>
          </w:p>
        </w:tc>
        <w:tc>
          <w:tcPr>
            <w:tcW w:w="3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32,936</w:t>
            </w:r>
          </w:p>
        </w:tc>
      </w:tr>
      <w:tr>
        <w:trPr>
          <w:trHeight w:val="229"/>
        </w:trPr>
        <w:tc>
          <w:tcPr>
            <w:tcW w:w="8600" w:type="dxa"/>
            <w:vAlign w:val="bottom"/>
          </w:tcPr>
          <w:p>
            <w:pPr>
              <w:ind w:left="14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44,365</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40,604</w:t>
            </w:r>
          </w:p>
        </w:tc>
      </w:tr>
      <w:tr>
        <w:trPr>
          <w:trHeight w:val="229"/>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(12,716)</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(5,488)</w:t>
            </w:r>
          </w:p>
        </w:tc>
      </w:tr>
      <w:tr>
        <w:trPr>
          <w:trHeight w:val="237"/>
        </w:trPr>
        <w:tc>
          <w:tcPr>
            <w:tcW w:w="8600" w:type="dxa"/>
            <w:vAlign w:val="bottom"/>
          </w:tcPr>
          <w:p>
            <w:pPr>
              <w:ind w:left="140"/>
              <w:spacing w:after="0"/>
              <w:rPr>
                <w:sz w:val="20"/>
                <w:szCs w:val="20"/>
                <w:color w:val="auto"/>
              </w:rPr>
            </w:pPr>
            <w:r>
              <w:rPr>
                <w:rFonts w:ascii="Arial" w:cs="Arial" w:eastAsia="Arial" w:hAnsi="Arial"/>
                <w:sz w:val="18"/>
                <w:szCs w:val="18"/>
                <w:color w:val="auto"/>
              </w:rPr>
              <w:t>Asset impairments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1,167</w:t>
            </w:r>
          </w:p>
        </w:tc>
        <w:tc>
          <w:tcPr>
            <w:tcW w:w="3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62,985</w:t>
            </w:r>
          </w:p>
        </w:tc>
      </w:tr>
      <w:tr>
        <w:trPr>
          <w:trHeight w:val="236"/>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assets and liabilities, net of effects of acquisitions</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30"/>
        </w:trPr>
        <w:tc>
          <w:tcPr>
            <w:tcW w:w="8600" w:type="dxa"/>
            <w:vAlign w:val="bottom"/>
          </w:tcPr>
          <w:p>
            <w:pPr>
              <w:ind w:left="140"/>
              <w:spacing w:after="0"/>
              <w:rPr>
                <w:sz w:val="20"/>
                <w:szCs w:val="20"/>
                <w:color w:val="auto"/>
              </w:rPr>
            </w:pPr>
            <w:r>
              <w:rPr>
                <w:rFonts w:ascii="Arial" w:cs="Arial" w:eastAsia="Arial" w:hAnsi="Arial"/>
                <w:sz w:val="18"/>
                <w:szCs w:val="18"/>
                <w:color w:val="auto"/>
              </w:rPr>
              <w:t>Accounts receivable, net of reserves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(37,879)</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(39,005)</w:t>
            </w:r>
          </w:p>
        </w:tc>
      </w:tr>
      <w:tr>
        <w:trPr>
          <w:trHeight w:val="243"/>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5,870</w:t>
            </w:r>
          </w:p>
        </w:tc>
        <w:tc>
          <w:tcPr>
            <w:tcW w:w="3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15,292</w:t>
            </w:r>
          </w:p>
        </w:tc>
      </w:tr>
      <w:tr>
        <w:trPr>
          <w:trHeight w:val="230"/>
        </w:trPr>
        <w:tc>
          <w:tcPr>
            <w:tcW w:w="8600" w:type="dxa"/>
            <w:vAlign w:val="bottom"/>
          </w:tcPr>
          <w:p>
            <w:pPr>
              <w:ind w:left="140"/>
              <w:spacing w:after="0"/>
              <w:rPr>
                <w:sz w:val="20"/>
                <w:szCs w:val="20"/>
                <w:color w:val="auto"/>
              </w:rPr>
            </w:pPr>
            <w:r>
              <w:rPr>
                <w:rFonts w:ascii="Arial" w:cs="Arial" w:eastAsia="Arial" w:hAnsi="Arial"/>
                <w:sz w:val="18"/>
                <w:szCs w:val="18"/>
                <w:color w:val="auto"/>
              </w:rPr>
              <w:t>Accrued compensation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(39,935)</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(23,992)</w:t>
            </w:r>
          </w:p>
        </w:tc>
      </w:tr>
      <w:tr>
        <w:trPr>
          <w:trHeight w:val="229"/>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revenues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4,091</w:t>
            </w:r>
          </w:p>
        </w:tc>
      </w:tr>
      <w:tr>
        <w:trPr>
          <w:trHeight w:val="237"/>
        </w:trPr>
        <w:tc>
          <w:tcPr>
            <w:tcW w:w="8600" w:type="dxa"/>
            <w:vAlign w:val="bottom"/>
          </w:tcPr>
          <w:p>
            <w:pPr>
              <w:ind w:left="140"/>
              <w:spacing w:after="0"/>
              <w:rPr>
                <w:sz w:val="20"/>
                <w:szCs w:val="20"/>
                <w:color w:val="auto"/>
              </w:rPr>
            </w:pPr>
            <w:r>
              <w:rPr>
                <w:rFonts w:ascii="Arial" w:cs="Arial" w:eastAsia="Arial" w:hAnsi="Arial"/>
                <w:sz w:val="18"/>
                <w:szCs w:val="18"/>
                <w:color w:val="auto"/>
              </w:rPr>
              <w:t>Taxes payable, net of prepaid taxes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19,112</w:t>
            </w:r>
          </w:p>
        </w:tc>
        <w:tc>
          <w:tcPr>
            <w:tcW w:w="3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(18,552)</w:t>
            </w:r>
          </w:p>
        </w:tc>
      </w:tr>
      <w:tr>
        <w:trPr>
          <w:trHeight w:val="236"/>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Lease liabilities, net</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(34,041)</w:t>
            </w: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(35,961)</w:t>
            </w: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36,841</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w:t>
            </w:r>
          </w:p>
        </w:tc>
      </w:tr>
      <w:tr>
        <w:trPr>
          <w:trHeight w:val="237"/>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Net cash provided by operating activities</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489,903</w:t>
            </w: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386,924</w:t>
            </w:r>
          </w:p>
        </w:tc>
      </w:tr>
      <w:tr>
        <w:trPr>
          <w:trHeight w:val="216"/>
        </w:trPr>
        <w:tc>
          <w:tcPr>
            <w:tcW w:w="8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Purchases of property, equipment, leasehold improvements and capitalized internal-use software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(61,421)</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(35,950)</w:t>
            </w:r>
          </w:p>
        </w:tc>
      </w:tr>
      <w:tr>
        <w:trPr>
          <w:trHeight w:val="243"/>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of businesses, net of cash and cash equivalents acquired</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(1,981,641)</w:t>
            </w:r>
          </w:p>
        </w:tc>
      </w:tr>
      <w:tr>
        <w:trPr>
          <w:trHeight w:val="216"/>
        </w:trPr>
        <w:tc>
          <w:tcPr>
            <w:tcW w:w="8600" w:type="dxa"/>
            <w:vAlign w:val="bottom"/>
          </w:tcPr>
          <w:p>
            <w:pPr>
              <w:ind w:left="20"/>
              <w:spacing w:after="0"/>
              <w:rPr>
                <w:sz w:val="20"/>
                <w:szCs w:val="20"/>
                <w:color w:val="auto"/>
              </w:rPr>
            </w:pPr>
            <w:r>
              <w:rPr>
                <w:rFonts w:ascii="Arial" w:cs="Arial" w:eastAsia="Arial" w:hAnsi="Arial"/>
                <w:sz w:val="18"/>
                <w:szCs w:val="18"/>
                <w:color w:val="auto"/>
              </w:rPr>
              <w:t>Purchases of investments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(10,889)</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w:t>
            </w:r>
          </w:p>
        </w:tc>
      </w:tr>
      <w:tr>
        <w:trPr>
          <w:trHeight w:val="237"/>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(72,310)</w:t>
            </w: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(2,018,269)</w:t>
            </w:r>
          </w:p>
        </w:tc>
      </w:tr>
      <w:tr>
        <w:trPr>
          <w:trHeight w:val="216"/>
        </w:trPr>
        <w:tc>
          <w:tcPr>
            <w:tcW w:w="8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Proceeds from debt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2,238,355</w:t>
            </w:r>
          </w:p>
        </w:tc>
      </w:tr>
      <w:tr>
        <w:trPr>
          <w:trHeight w:val="243"/>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 of debt</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(312,500)</w:t>
            </w:r>
          </w:p>
        </w:tc>
        <w:tc>
          <w:tcPr>
            <w:tcW w:w="3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Payments of debt issuance costs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(9,736)</w:t>
            </w: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payments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(101,377)</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(92,334)</w:t>
            </w:r>
          </w:p>
        </w:tc>
      </w:tr>
      <w:tr>
        <w:trPr>
          <w:trHeight w:val="237"/>
        </w:trPr>
        <w:tc>
          <w:tcPr>
            <w:tcW w:w="8600" w:type="dxa"/>
            <w:vAlign w:val="bottom"/>
          </w:tcPr>
          <w:p>
            <w:pPr>
              <w:ind w:left="20"/>
              <w:spacing w:after="0"/>
              <w:rPr>
                <w:sz w:val="20"/>
                <w:szCs w:val="20"/>
                <w:color w:val="auto"/>
              </w:rPr>
            </w:pPr>
            <w:r>
              <w:rPr>
                <w:rFonts w:ascii="Arial" w:cs="Arial" w:eastAsia="Arial" w:hAnsi="Arial"/>
                <w:sz w:val="18"/>
                <w:szCs w:val="18"/>
                <w:color w:val="auto"/>
              </w:rPr>
              <w:t>Proceeds from employee stock plans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55,885</w:t>
            </w:r>
          </w:p>
        </w:tc>
        <w:tc>
          <w:tcPr>
            <w:tcW w:w="3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74,173</w:t>
            </w:r>
          </w:p>
        </w:tc>
      </w:tr>
      <w:tr>
        <w:trPr>
          <w:trHeight w:val="236"/>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Repurchases of common stock</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(67,092)</w:t>
            </w: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(18,639)</w:t>
            </w: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Other financing activities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(12,273)</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(3,263)</w:t>
            </w:r>
          </w:p>
        </w:tc>
      </w:tr>
      <w:tr>
        <w:trPr>
          <w:trHeight w:val="237"/>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(437,357)</w:t>
            </w: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1,488,556</w:t>
            </w:r>
          </w:p>
        </w:tc>
      </w:tr>
      <w:tr>
        <w:trPr>
          <w:trHeight w:val="243"/>
        </w:trPr>
        <w:tc>
          <w:tcPr>
            <w:tcW w:w="8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3"/>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3,118</w:t>
            </w:r>
          </w:p>
        </w:tc>
        <w:tc>
          <w:tcPr>
            <w:tcW w:w="3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(12,110)</w:t>
            </w:r>
          </w:p>
        </w:tc>
      </w:tr>
      <w:tr>
        <w:trPr>
          <w:trHeight w:val="223"/>
        </w:trPr>
        <w:tc>
          <w:tcPr>
            <w:tcW w:w="860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(16,646)</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(154,899)</w:t>
            </w:r>
          </w:p>
        </w:tc>
      </w:tr>
      <w:tr>
        <w:trPr>
          <w:trHeight w:val="23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503,273</w:t>
            </w: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681,865</w:t>
            </w:r>
          </w:p>
        </w:tc>
      </w:tr>
      <w:tr>
        <w:trPr>
          <w:trHeight w:val="237"/>
        </w:trPr>
        <w:tc>
          <w:tcPr>
            <w:tcW w:w="860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486,627</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526,966</w:t>
            </w:r>
          </w:p>
        </w:tc>
      </w:tr>
      <w:tr>
        <w:trPr>
          <w:trHeight w:val="20"/>
        </w:trPr>
        <w:tc>
          <w:tcPr>
            <w:tcW w:w="8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FactSet Research Systems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STOCKHOLDERS’ EQUITY- Unaudited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the Three Months Ended May 31, 2023</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80" w:type="dxa"/>
            <w:vAlign w:val="bottom"/>
          </w:tcPr>
          <w:p>
            <w:pPr>
              <w:spacing w:after="0"/>
              <w:rPr>
                <w:sz w:val="13"/>
                <w:szCs w:val="13"/>
                <w:color w:val="auto"/>
              </w:rPr>
            </w:pPr>
          </w:p>
        </w:tc>
        <w:tc>
          <w:tcPr>
            <w:tcW w:w="1940" w:type="dxa"/>
            <w:vAlign w:val="bottom"/>
            <w:gridSpan w:val="3"/>
          </w:tcPr>
          <w:p>
            <w:pPr>
              <w:jc w:val="right"/>
              <w:ind w:right="517"/>
              <w:spacing w:after="0"/>
              <w:rPr>
                <w:sz w:val="20"/>
                <w:szCs w:val="20"/>
                <w:color w:val="auto"/>
              </w:rPr>
            </w:pPr>
            <w:r>
              <w:rPr>
                <w:rFonts w:ascii="Arial" w:cs="Arial" w:eastAsia="Arial" w:hAnsi="Arial"/>
                <w:sz w:val="13"/>
                <w:szCs w:val="13"/>
                <w:color w:val="auto"/>
              </w:rPr>
              <w:t>Common Stock</w:t>
            </w:r>
          </w:p>
        </w:tc>
        <w:tc>
          <w:tcPr>
            <w:tcW w:w="160" w:type="dxa"/>
            <w:vAlign w:val="bottom"/>
          </w:tcPr>
          <w:p>
            <w:pPr>
              <w:spacing w:after="0"/>
              <w:rPr>
                <w:sz w:val="13"/>
                <w:szCs w:val="13"/>
                <w:color w:val="auto"/>
              </w:rPr>
            </w:pPr>
          </w:p>
        </w:tc>
        <w:tc>
          <w:tcPr>
            <w:tcW w:w="820" w:type="dxa"/>
            <w:vAlign w:val="bottom"/>
          </w:tcPr>
          <w:p>
            <w:pPr>
              <w:jc w:val="right"/>
              <w:ind w:right="159"/>
              <w:spacing w:after="0"/>
              <w:rPr>
                <w:sz w:val="20"/>
                <w:szCs w:val="20"/>
                <w:color w:val="auto"/>
              </w:rPr>
            </w:pPr>
            <w:r>
              <w:rPr>
                <w:rFonts w:ascii="Arial" w:cs="Arial" w:eastAsia="Arial" w:hAnsi="Arial"/>
                <w:sz w:val="13"/>
                <w:szCs w:val="13"/>
                <w:color w:val="auto"/>
              </w:rPr>
              <w:t>Additional</w:t>
            </w:r>
          </w:p>
        </w:tc>
        <w:tc>
          <w:tcPr>
            <w:tcW w:w="1940" w:type="dxa"/>
            <w:vAlign w:val="bottom"/>
            <w:gridSpan w:val="3"/>
          </w:tcPr>
          <w:p>
            <w:pPr>
              <w:jc w:val="right"/>
              <w:ind w:right="517"/>
              <w:spacing w:after="0"/>
              <w:rPr>
                <w:sz w:val="20"/>
                <w:szCs w:val="20"/>
                <w:color w:val="auto"/>
              </w:rPr>
            </w:pPr>
            <w:r>
              <w:rPr>
                <w:rFonts w:ascii="Arial" w:cs="Arial" w:eastAsia="Arial" w:hAnsi="Arial"/>
                <w:sz w:val="13"/>
                <w:szCs w:val="13"/>
                <w:color w:val="auto"/>
              </w:rPr>
              <w:t>Treasury Stock</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ind w:right="139"/>
              <w:spacing w:after="0"/>
              <w:rPr>
                <w:sz w:val="20"/>
                <w:szCs w:val="20"/>
                <w:color w:val="auto"/>
              </w:rPr>
            </w:pPr>
            <w:r>
              <w:rPr>
                <w:rFonts w:ascii="Arial" w:cs="Arial" w:eastAsia="Arial" w:hAnsi="Arial"/>
                <w:sz w:val="13"/>
                <w:szCs w:val="13"/>
                <w:color w:val="auto"/>
                <w:w w:val="95"/>
              </w:rPr>
              <w:t>Accumulated</w:t>
            </w:r>
          </w:p>
        </w:tc>
        <w:tc>
          <w:tcPr>
            <w:tcW w:w="160" w:type="dxa"/>
            <w:vAlign w:val="bottom"/>
          </w:tcPr>
          <w:p>
            <w:pPr>
              <w:spacing w:after="0"/>
              <w:rPr>
                <w:sz w:val="13"/>
                <w:szCs w:val="13"/>
                <w:color w:val="auto"/>
              </w:rPr>
            </w:pPr>
          </w:p>
        </w:tc>
        <w:tc>
          <w:tcPr>
            <w:tcW w:w="960" w:type="dxa"/>
            <w:vAlign w:val="bottom"/>
          </w:tcPr>
          <w:p>
            <w:pPr>
              <w:jc w:val="center"/>
              <w:ind w:right="78"/>
              <w:spacing w:after="0"/>
              <w:rPr>
                <w:sz w:val="20"/>
                <w:szCs w:val="20"/>
                <w:color w:val="auto"/>
              </w:rPr>
            </w:pPr>
            <w:r>
              <w:rPr>
                <w:rFonts w:ascii="Arial" w:cs="Arial" w:eastAsia="Arial" w:hAnsi="Arial"/>
                <w:sz w:val="13"/>
                <w:szCs w:val="13"/>
                <w:color w:val="auto"/>
                <w:w w:val="89"/>
              </w:rPr>
              <w:t>Total</w:t>
            </w:r>
          </w:p>
        </w:tc>
        <w:tc>
          <w:tcPr>
            <w:tcW w:w="0" w:type="dxa"/>
            <w:vAlign w:val="bottom"/>
          </w:tcPr>
          <w:p>
            <w:pPr>
              <w:spacing w:after="0"/>
              <w:rPr>
                <w:sz w:val="1"/>
                <w:szCs w:val="1"/>
                <w:color w:val="auto"/>
              </w:rPr>
            </w:pPr>
          </w:p>
        </w:tc>
      </w:tr>
      <w:tr>
        <w:trPr>
          <w:trHeight w:val="54"/>
        </w:trPr>
        <w:tc>
          <w:tcPr>
            <w:tcW w:w="318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vMerge w:val="restart"/>
          </w:tcPr>
          <w:p>
            <w:pPr>
              <w:jc w:val="right"/>
              <w:ind w:right="239"/>
              <w:spacing w:after="0" w:line="95" w:lineRule="exact"/>
              <w:rPr>
                <w:sz w:val="20"/>
                <w:szCs w:val="20"/>
                <w:color w:val="auto"/>
              </w:rPr>
            </w:pPr>
            <w:r>
              <w:rPr>
                <w:rFonts w:ascii="Arial" w:cs="Arial" w:eastAsia="Arial" w:hAnsi="Arial"/>
                <w:sz w:val="10"/>
                <w:szCs w:val="10"/>
                <w:color w:val="auto"/>
              </w:rPr>
              <w:t>Paid-in</w:t>
            </w: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vMerge w:val="restart"/>
          </w:tcPr>
          <w:p>
            <w:pPr>
              <w:jc w:val="right"/>
              <w:ind w:right="199"/>
              <w:spacing w:after="0" w:line="95" w:lineRule="exact"/>
              <w:rPr>
                <w:sz w:val="20"/>
                <w:szCs w:val="20"/>
                <w:color w:val="auto"/>
              </w:rPr>
            </w:pPr>
            <w:r>
              <w:rPr>
                <w:rFonts w:ascii="Arial" w:cs="Arial" w:eastAsia="Arial" w:hAnsi="Arial"/>
                <w:sz w:val="10"/>
                <w:szCs w:val="10"/>
                <w:color w:val="auto"/>
              </w:rPr>
              <w:t>Retained</w:t>
            </w:r>
          </w:p>
        </w:tc>
        <w:tc>
          <w:tcPr>
            <w:tcW w:w="160" w:type="dxa"/>
            <w:vAlign w:val="bottom"/>
          </w:tcPr>
          <w:p>
            <w:pPr>
              <w:spacing w:after="0"/>
              <w:rPr>
                <w:sz w:val="4"/>
                <w:szCs w:val="4"/>
                <w:color w:val="auto"/>
              </w:rPr>
            </w:pPr>
          </w:p>
        </w:tc>
        <w:tc>
          <w:tcPr>
            <w:tcW w:w="940" w:type="dxa"/>
            <w:vAlign w:val="bottom"/>
            <w:vMerge w:val="restart"/>
          </w:tcPr>
          <w:p>
            <w:pPr>
              <w:jc w:val="right"/>
              <w:ind w:right="339"/>
              <w:spacing w:after="0" w:line="95" w:lineRule="exact"/>
              <w:rPr>
                <w:sz w:val="20"/>
                <w:szCs w:val="20"/>
                <w:color w:val="auto"/>
              </w:rPr>
            </w:pPr>
            <w:r>
              <w:rPr>
                <w:rFonts w:ascii="Arial" w:cs="Arial" w:eastAsia="Arial" w:hAnsi="Arial"/>
                <w:sz w:val="10"/>
                <w:szCs w:val="10"/>
                <w:color w:val="auto"/>
              </w:rPr>
              <w:t>Other</w:t>
            </w:r>
          </w:p>
        </w:tc>
        <w:tc>
          <w:tcPr>
            <w:tcW w:w="160" w:type="dxa"/>
            <w:vAlign w:val="bottom"/>
          </w:tcPr>
          <w:p>
            <w:pPr>
              <w:spacing w:after="0"/>
              <w:rPr>
                <w:sz w:val="4"/>
                <w:szCs w:val="4"/>
                <w:color w:val="auto"/>
              </w:rPr>
            </w:pPr>
          </w:p>
        </w:tc>
        <w:tc>
          <w:tcPr>
            <w:tcW w:w="960" w:type="dxa"/>
            <w:vAlign w:val="bottom"/>
            <w:vMerge w:val="restart"/>
          </w:tcPr>
          <w:p>
            <w:pPr>
              <w:jc w:val="center"/>
              <w:ind w:right="78"/>
              <w:spacing w:after="0" w:line="95" w:lineRule="exact"/>
              <w:rPr>
                <w:sz w:val="20"/>
                <w:szCs w:val="20"/>
                <w:color w:val="auto"/>
              </w:rPr>
            </w:pPr>
            <w:r>
              <w:rPr>
                <w:rFonts w:ascii="Arial" w:cs="Arial" w:eastAsia="Arial" w:hAnsi="Arial"/>
                <w:sz w:val="10"/>
                <w:szCs w:val="10"/>
                <w:color w:val="auto"/>
              </w:rPr>
              <w:t>Stockholders’</w:t>
            </w:r>
          </w:p>
        </w:tc>
        <w:tc>
          <w:tcPr>
            <w:tcW w:w="0" w:type="dxa"/>
            <w:vAlign w:val="bottom"/>
          </w:tcPr>
          <w:p>
            <w:pPr>
              <w:spacing w:after="0"/>
              <w:rPr>
                <w:sz w:val="1"/>
                <w:szCs w:val="1"/>
                <w:color w:val="auto"/>
              </w:rPr>
            </w:pPr>
          </w:p>
        </w:tc>
      </w:tr>
      <w:tr>
        <w:trPr>
          <w:trHeight w:val="20"/>
        </w:trPr>
        <w:tc>
          <w:tcPr>
            <w:tcW w:w="318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(in thousands, except share data)</w:t>
            </w:r>
          </w:p>
        </w:tc>
        <w:tc>
          <w:tcPr>
            <w:tcW w:w="960" w:type="dxa"/>
            <w:vAlign w:val="bottom"/>
            <w:vMerge w:val="restart"/>
          </w:tcPr>
          <w:p>
            <w:pPr>
              <w:jc w:val="right"/>
              <w:ind w:right="237"/>
              <w:spacing w:after="0"/>
              <w:rPr>
                <w:sz w:val="20"/>
                <w:szCs w:val="20"/>
                <w:color w:val="auto"/>
              </w:rPr>
            </w:pPr>
            <w:r>
              <w:rPr>
                <w:rFonts w:ascii="Arial" w:cs="Arial" w:eastAsia="Arial" w:hAnsi="Arial"/>
                <w:sz w:val="13"/>
                <w:szCs w:val="13"/>
                <w:color w:val="auto"/>
              </w:rPr>
              <w:t>Shares</w:t>
            </w:r>
          </w:p>
        </w:tc>
        <w:tc>
          <w:tcPr>
            <w:tcW w:w="180" w:type="dxa"/>
            <w:vAlign w:val="bottom"/>
          </w:tcPr>
          <w:p>
            <w:pPr>
              <w:spacing w:after="0" w:line="20" w:lineRule="exact"/>
              <w:rPr>
                <w:sz w:val="1"/>
                <w:szCs w:val="1"/>
                <w:color w:val="auto"/>
              </w:rPr>
            </w:pPr>
          </w:p>
        </w:tc>
        <w:tc>
          <w:tcPr>
            <w:tcW w:w="800" w:type="dxa"/>
            <w:vAlign w:val="bottom"/>
            <w:vMerge w:val="restart"/>
          </w:tcPr>
          <w:p>
            <w:pPr>
              <w:jc w:val="right"/>
              <w:ind w:right="177"/>
              <w:spacing w:after="0"/>
              <w:rPr>
                <w:sz w:val="20"/>
                <w:szCs w:val="20"/>
                <w:color w:val="auto"/>
              </w:rPr>
            </w:pPr>
            <w:r>
              <w:rPr>
                <w:rFonts w:ascii="Arial" w:cs="Arial" w:eastAsia="Arial" w:hAnsi="Arial"/>
                <w:sz w:val="13"/>
                <w:szCs w:val="13"/>
                <w:color w:val="auto"/>
                <w:w w:val="94"/>
              </w:rPr>
              <w:t>Par Value</w:t>
            </w:r>
          </w:p>
        </w:tc>
        <w:tc>
          <w:tcPr>
            <w:tcW w:w="160" w:type="dxa"/>
            <w:vAlign w:val="bottom"/>
          </w:tcPr>
          <w:p>
            <w:pPr>
              <w:spacing w:after="0" w:line="20" w:lineRule="exact"/>
              <w:rPr>
                <w:sz w:val="1"/>
                <w:szCs w:val="1"/>
                <w:color w:val="auto"/>
              </w:rPr>
            </w:pPr>
          </w:p>
        </w:tc>
        <w:tc>
          <w:tcPr>
            <w:tcW w:w="820" w:type="dxa"/>
            <w:vAlign w:val="bottom"/>
            <w:vMerge w:val="continue"/>
          </w:tcPr>
          <w:p>
            <w:pPr>
              <w:spacing w:after="0" w:line="20" w:lineRule="exact"/>
              <w:rPr>
                <w:sz w:val="1"/>
                <w:szCs w:val="1"/>
                <w:color w:val="auto"/>
              </w:rPr>
            </w:pPr>
          </w:p>
        </w:tc>
        <w:tc>
          <w:tcPr>
            <w:tcW w:w="940" w:type="dxa"/>
            <w:vAlign w:val="bottom"/>
            <w:vMerge w:val="restart"/>
          </w:tcPr>
          <w:p>
            <w:pPr>
              <w:jc w:val="right"/>
              <w:ind w:right="217"/>
              <w:spacing w:after="0"/>
              <w:rPr>
                <w:sz w:val="20"/>
                <w:szCs w:val="20"/>
                <w:color w:val="auto"/>
              </w:rPr>
            </w:pPr>
            <w:r>
              <w:rPr>
                <w:rFonts w:ascii="Arial" w:cs="Arial" w:eastAsia="Arial" w:hAnsi="Arial"/>
                <w:sz w:val="13"/>
                <w:szCs w:val="13"/>
                <w:color w:val="auto"/>
              </w:rPr>
              <w:t>Shares</w:t>
            </w:r>
          </w:p>
        </w:tc>
        <w:tc>
          <w:tcPr>
            <w:tcW w:w="220" w:type="dxa"/>
            <w:vAlign w:val="bottom"/>
          </w:tcPr>
          <w:p>
            <w:pPr>
              <w:spacing w:after="0" w:line="20" w:lineRule="exact"/>
              <w:rPr>
                <w:sz w:val="1"/>
                <w:szCs w:val="1"/>
                <w:color w:val="auto"/>
              </w:rPr>
            </w:pPr>
          </w:p>
        </w:tc>
        <w:tc>
          <w:tcPr>
            <w:tcW w:w="780" w:type="dxa"/>
            <w:vAlign w:val="bottom"/>
            <w:vMerge w:val="restart"/>
          </w:tcPr>
          <w:p>
            <w:pPr>
              <w:jc w:val="right"/>
              <w:ind w:right="217"/>
              <w:spacing w:after="0"/>
              <w:rPr>
                <w:sz w:val="20"/>
                <w:szCs w:val="20"/>
                <w:color w:val="auto"/>
              </w:rPr>
            </w:pPr>
            <w:r>
              <w:rPr>
                <w:rFonts w:ascii="Arial" w:cs="Arial" w:eastAsia="Arial" w:hAnsi="Arial"/>
                <w:sz w:val="13"/>
                <w:szCs w:val="13"/>
                <w:color w:val="auto"/>
              </w:rPr>
              <w:t>Amount</w:t>
            </w:r>
          </w:p>
        </w:tc>
        <w:tc>
          <w:tcPr>
            <w:tcW w:w="180" w:type="dxa"/>
            <w:vAlign w:val="bottom"/>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18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9"/>
              <w:spacing w:after="0"/>
              <w:rPr>
                <w:sz w:val="20"/>
                <w:szCs w:val="20"/>
                <w:color w:val="auto"/>
              </w:rPr>
            </w:pPr>
            <w:r>
              <w:rPr>
                <w:rFonts w:ascii="Arial" w:cs="Arial" w:eastAsia="Arial" w:hAnsi="Arial"/>
                <w:sz w:val="13"/>
                <w:szCs w:val="13"/>
                <w:color w:val="auto"/>
              </w:rPr>
              <w:t>Capital</w:t>
            </w:r>
          </w:p>
        </w:tc>
        <w:tc>
          <w:tcPr>
            <w:tcW w:w="9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99"/>
              <w:spacing w:after="0"/>
              <w:rPr>
                <w:sz w:val="20"/>
                <w:szCs w:val="20"/>
                <w:color w:val="auto"/>
              </w:rPr>
            </w:pPr>
            <w:r>
              <w:rPr>
                <w:rFonts w:ascii="Arial" w:cs="Arial" w:eastAsia="Arial" w:hAnsi="Arial"/>
                <w:sz w:val="13"/>
                <w:szCs w:val="13"/>
                <w:color w:val="auto"/>
              </w:rPr>
              <w:t>Earnings</w:t>
            </w: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w w:val="86"/>
              </w:rPr>
              <w:t>Comprehensive Loss</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78"/>
              <w:spacing w:after="0"/>
              <w:rPr>
                <w:sz w:val="20"/>
                <w:szCs w:val="20"/>
                <w:color w:val="auto"/>
              </w:rPr>
            </w:pPr>
            <w:r>
              <w:rPr>
                <w:rFonts w:ascii="Arial" w:cs="Arial" w:eastAsia="Arial" w:hAnsi="Arial"/>
                <w:sz w:val="13"/>
                <w:szCs w:val="13"/>
                <w:color w:val="auto"/>
                <w:w w:val="93"/>
              </w:rPr>
              <w:t>Equity</w:t>
            </w:r>
          </w:p>
        </w:tc>
        <w:tc>
          <w:tcPr>
            <w:tcW w:w="0" w:type="dxa"/>
            <w:vAlign w:val="bottom"/>
          </w:tcPr>
          <w:p>
            <w:pPr>
              <w:spacing w:after="0"/>
              <w:rPr>
                <w:sz w:val="1"/>
                <w:szCs w:val="1"/>
                <w:color w:val="auto"/>
              </w:rPr>
            </w:pPr>
          </w:p>
        </w:tc>
      </w:tr>
      <w:tr>
        <w:trPr>
          <w:trHeight w:val="169"/>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as of February 28, 2023</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41,949,883</w:t>
            </w:r>
          </w:p>
        </w:tc>
        <w:tc>
          <w:tcPr>
            <w:tcW w:w="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420</w:t>
            </w: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1,261,452</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3,636,175</w:t>
            </w: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(942,496)</w:t>
            </w: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1,380,021</w:t>
            </w: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(92,243)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1,607,154</w:t>
            </w:r>
          </w:p>
        </w:tc>
        <w:tc>
          <w:tcPr>
            <w:tcW w:w="0" w:type="dxa"/>
            <w:vAlign w:val="bottom"/>
          </w:tcPr>
          <w:p>
            <w:pPr>
              <w:spacing w:after="0"/>
              <w:rPr>
                <w:sz w:val="1"/>
                <w:szCs w:val="1"/>
                <w:color w:val="auto"/>
              </w:rPr>
            </w:pPr>
          </w:p>
        </w:tc>
      </w:tr>
      <w:tr>
        <w:trPr>
          <w:trHeight w:val="168"/>
        </w:trPr>
        <w:tc>
          <w:tcPr>
            <w:tcW w:w="318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134,663</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134,663</w:t>
            </w:r>
          </w:p>
        </w:tc>
        <w:tc>
          <w:tcPr>
            <w:tcW w:w="0" w:type="dxa"/>
            <w:vAlign w:val="bottom"/>
          </w:tcPr>
          <w:p>
            <w:pPr>
              <w:spacing w:after="0"/>
              <w:rPr>
                <w:sz w:val="1"/>
                <w:szCs w:val="1"/>
                <w:color w:val="auto"/>
              </w:rPr>
            </w:pPr>
          </w:p>
        </w:tc>
      </w:tr>
      <w:tr>
        <w:trPr>
          <w:trHeight w:val="183"/>
        </w:trPr>
        <w:tc>
          <w:tcPr>
            <w:tcW w:w="31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income (loss)</w:t>
            </w: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2,899</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2,899</w:t>
            </w:r>
          </w:p>
        </w:tc>
        <w:tc>
          <w:tcPr>
            <w:tcW w:w="0" w:type="dxa"/>
            <w:vAlign w:val="bottom"/>
          </w:tcPr>
          <w:p>
            <w:pPr>
              <w:spacing w:after="0"/>
              <w:rPr>
                <w:sz w:val="1"/>
                <w:szCs w:val="1"/>
                <w:color w:val="auto"/>
              </w:rPr>
            </w:pPr>
          </w:p>
        </w:tc>
      </w:tr>
      <w:tr>
        <w:trPr>
          <w:trHeight w:val="160"/>
        </w:trPr>
        <w:tc>
          <w:tcPr>
            <w:tcW w:w="3180" w:type="dxa"/>
            <w:vAlign w:val="bottom"/>
          </w:tcPr>
          <w:p>
            <w:pPr>
              <w:ind w:left="140"/>
              <w:spacing w:after="0"/>
              <w:rPr>
                <w:sz w:val="20"/>
                <w:szCs w:val="20"/>
                <w:color w:val="auto"/>
              </w:rPr>
            </w:pPr>
            <w:r>
              <w:rPr>
                <w:rFonts w:ascii="Arial" w:cs="Arial" w:eastAsia="Arial" w:hAnsi="Arial"/>
                <w:sz w:val="13"/>
                <w:szCs w:val="13"/>
                <w:color w:val="auto"/>
              </w:rPr>
              <w:t>Common stock issued for employee stock plans</w:t>
            </w:r>
          </w:p>
        </w:tc>
        <w:tc>
          <w:tcPr>
            <w:tcW w:w="960" w:type="dxa"/>
            <w:vAlign w:val="bottom"/>
          </w:tcPr>
          <w:p>
            <w:pPr>
              <w:jc w:val="right"/>
              <w:spacing w:after="0"/>
              <w:rPr>
                <w:sz w:val="20"/>
                <w:szCs w:val="20"/>
                <w:color w:val="auto"/>
              </w:rPr>
            </w:pPr>
            <w:r>
              <w:rPr>
                <w:rFonts w:ascii="Arial" w:cs="Arial" w:eastAsia="Arial" w:hAnsi="Arial"/>
                <w:sz w:val="13"/>
                <w:szCs w:val="13"/>
                <w:color w:val="auto"/>
              </w:rPr>
              <w:t>56,055</w:t>
            </w:r>
          </w:p>
        </w:tc>
        <w:tc>
          <w:tcPr>
            <w:tcW w:w="1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12,279</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12,279</w:t>
            </w:r>
          </w:p>
        </w:tc>
        <w:tc>
          <w:tcPr>
            <w:tcW w:w="0" w:type="dxa"/>
            <w:vAlign w:val="bottom"/>
          </w:tcPr>
          <w:p>
            <w:pPr>
              <w:spacing w:after="0"/>
              <w:rPr>
                <w:sz w:val="1"/>
                <w:szCs w:val="1"/>
                <w:color w:val="auto"/>
              </w:rPr>
            </w:pPr>
          </w:p>
        </w:tc>
      </w:tr>
      <w:tr>
        <w:trPr>
          <w:trHeight w:val="29"/>
        </w:trPr>
        <w:tc>
          <w:tcPr>
            <w:tcW w:w="3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31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Vesting of restricted stock</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3,161</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1,239</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(493)</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(493)</w:t>
            </w:r>
          </w:p>
        </w:tc>
        <w:tc>
          <w:tcPr>
            <w:tcW w:w="0" w:type="dxa"/>
            <w:vAlign w:val="bottom"/>
          </w:tcPr>
          <w:p>
            <w:pPr>
              <w:spacing w:after="0"/>
              <w:rPr>
                <w:sz w:val="1"/>
                <w:szCs w:val="1"/>
                <w:color w:val="auto"/>
              </w:rPr>
            </w:pPr>
          </w:p>
        </w:tc>
      </w:tr>
      <w:tr>
        <w:trPr>
          <w:trHeight w:val="168"/>
        </w:trPr>
        <w:tc>
          <w:tcPr>
            <w:tcW w:w="3180" w:type="dxa"/>
            <w:vAlign w:val="bottom"/>
          </w:tcPr>
          <w:p>
            <w:pPr>
              <w:ind w:left="140"/>
              <w:spacing w:after="0"/>
              <w:rPr>
                <w:sz w:val="20"/>
                <w:szCs w:val="20"/>
                <w:color w:val="auto"/>
              </w:rPr>
            </w:pPr>
            <w:r>
              <w:rPr>
                <w:rFonts w:ascii="Arial" w:cs="Arial" w:eastAsia="Arial" w:hAnsi="Arial"/>
                <w:sz w:val="13"/>
                <w:szCs w:val="13"/>
                <w:color w:val="auto"/>
              </w:rPr>
              <w:t>Repurchases of common stock</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165,950</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(67,092)</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(67,092)</w:t>
            </w:r>
          </w:p>
        </w:tc>
        <w:tc>
          <w:tcPr>
            <w:tcW w:w="0" w:type="dxa"/>
            <w:vAlign w:val="bottom"/>
          </w:tcPr>
          <w:p>
            <w:pPr>
              <w:spacing w:after="0"/>
              <w:rPr>
                <w:sz w:val="1"/>
                <w:szCs w:val="1"/>
                <w:color w:val="auto"/>
              </w:rPr>
            </w:pPr>
          </w:p>
        </w:tc>
      </w:tr>
      <w:tr>
        <w:trPr>
          <w:trHeight w:val="177"/>
        </w:trPr>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Stock-based compensation expense</w:t>
            </w:r>
          </w:p>
        </w:tc>
        <w:tc>
          <w:tcPr>
            <w:tcW w:w="9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16,865</w:t>
            </w:r>
          </w:p>
        </w:tc>
        <w:tc>
          <w:tcPr>
            <w:tcW w:w="9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16,865</w:t>
            </w:r>
          </w:p>
        </w:tc>
        <w:tc>
          <w:tcPr>
            <w:tcW w:w="0" w:type="dxa"/>
            <w:vAlign w:val="bottom"/>
          </w:tcPr>
          <w:p>
            <w:pPr>
              <w:spacing w:after="0"/>
              <w:rPr>
                <w:sz w:val="1"/>
                <w:szCs w:val="1"/>
                <w:color w:val="auto"/>
              </w:rPr>
            </w:pPr>
          </w:p>
        </w:tc>
      </w:tr>
      <w:tr>
        <w:trPr>
          <w:trHeight w:val="169"/>
        </w:trPr>
        <w:tc>
          <w:tcPr>
            <w:tcW w:w="3180" w:type="dxa"/>
            <w:vAlign w:val="bottom"/>
          </w:tcPr>
          <w:p>
            <w:pPr>
              <w:ind w:left="140"/>
              <w:spacing w:after="0"/>
              <w:rPr>
                <w:sz w:val="20"/>
                <w:szCs w:val="20"/>
                <w:color w:val="auto"/>
              </w:rPr>
            </w:pPr>
            <w:r>
              <w:rPr>
                <w:rFonts w:ascii="Arial" w:cs="Arial" w:eastAsia="Arial" w:hAnsi="Arial"/>
                <w:sz w:val="13"/>
                <w:szCs w:val="13"/>
                <w:color w:val="auto"/>
              </w:rPr>
              <w:t>Dividends declared</w:t>
            </w:r>
          </w:p>
        </w:tc>
        <w:tc>
          <w:tcPr>
            <w:tcW w:w="9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(37,442)</w:t>
            </w: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(37,442)</w:t>
            </w:r>
          </w:p>
        </w:tc>
        <w:tc>
          <w:tcPr>
            <w:tcW w:w="0" w:type="dxa"/>
            <w:vAlign w:val="bottom"/>
          </w:tcPr>
          <w:p>
            <w:pPr>
              <w:spacing w:after="0"/>
              <w:rPr>
                <w:sz w:val="1"/>
                <w:szCs w:val="1"/>
                <w:color w:val="auto"/>
              </w:rPr>
            </w:pPr>
          </w:p>
        </w:tc>
      </w:tr>
      <w:tr>
        <w:trPr>
          <w:trHeight w:val="199"/>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as of May 31, 2023</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42,009,099</w:t>
            </w: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420</w:t>
            </w: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1,290,596</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3,803,364</w:t>
            </w: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(1,010,081)</w:t>
            </w: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1,477,242</w:t>
            </w: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(89,344)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1,668,833</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For the Nine Months Ended May 31, 2023</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80" w:type="dxa"/>
            <w:vAlign w:val="bottom"/>
          </w:tcPr>
          <w:p>
            <w:pPr>
              <w:spacing w:after="0"/>
              <w:rPr>
                <w:sz w:val="13"/>
                <w:szCs w:val="13"/>
                <w:color w:val="auto"/>
              </w:rPr>
            </w:pPr>
          </w:p>
        </w:tc>
        <w:tc>
          <w:tcPr>
            <w:tcW w:w="1940" w:type="dxa"/>
            <w:vAlign w:val="bottom"/>
            <w:gridSpan w:val="3"/>
            <w:vMerge w:val="restart"/>
          </w:tcPr>
          <w:p>
            <w:pPr>
              <w:jc w:val="right"/>
              <w:ind w:right="517"/>
              <w:spacing w:after="0"/>
              <w:rPr>
                <w:sz w:val="20"/>
                <w:szCs w:val="20"/>
                <w:color w:val="auto"/>
              </w:rPr>
            </w:pPr>
            <w:r>
              <w:rPr>
                <w:rFonts w:ascii="Arial" w:cs="Arial" w:eastAsia="Arial" w:hAnsi="Arial"/>
                <w:sz w:val="13"/>
                <w:szCs w:val="13"/>
                <w:color w:val="auto"/>
              </w:rPr>
              <w:t>Common Stock</w:t>
            </w:r>
          </w:p>
        </w:tc>
        <w:tc>
          <w:tcPr>
            <w:tcW w:w="160" w:type="dxa"/>
            <w:vAlign w:val="bottom"/>
          </w:tcPr>
          <w:p>
            <w:pPr>
              <w:spacing w:after="0"/>
              <w:rPr>
                <w:sz w:val="13"/>
                <w:szCs w:val="13"/>
                <w:color w:val="auto"/>
              </w:rPr>
            </w:pPr>
          </w:p>
        </w:tc>
        <w:tc>
          <w:tcPr>
            <w:tcW w:w="820" w:type="dxa"/>
            <w:vAlign w:val="bottom"/>
            <w:vMerge w:val="restart"/>
          </w:tcPr>
          <w:p>
            <w:pPr>
              <w:jc w:val="right"/>
              <w:ind w:right="157"/>
              <w:spacing w:after="0"/>
              <w:rPr>
                <w:sz w:val="20"/>
                <w:szCs w:val="20"/>
                <w:color w:val="auto"/>
              </w:rPr>
            </w:pPr>
            <w:r>
              <w:rPr>
                <w:rFonts w:ascii="Arial" w:cs="Arial" w:eastAsia="Arial" w:hAnsi="Arial"/>
                <w:sz w:val="13"/>
                <w:szCs w:val="13"/>
                <w:color w:val="auto"/>
              </w:rPr>
              <w:t>Additional</w:t>
            </w:r>
          </w:p>
        </w:tc>
        <w:tc>
          <w:tcPr>
            <w:tcW w:w="1940" w:type="dxa"/>
            <w:vAlign w:val="bottom"/>
            <w:gridSpan w:val="3"/>
            <w:vMerge w:val="restart"/>
          </w:tcPr>
          <w:p>
            <w:pPr>
              <w:jc w:val="right"/>
              <w:ind w:right="517"/>
              <w:spacing w:after="0"/>
              <w:rPr>
                <w:sz w:val="20"/>
                <w:szCs w:val="20"/>
                <w:color w:val="auto"/>
              </w:rPr>
            </w:pPr>
            <w:r>
              <w:rPr>
                <w:rFonts w:ascii="Arial" w:cs="Arial" w:eastAsia="Arial" w:hAnsi="Arial"/>
                <w:sz w:val="13"/>
                <w:szCs w:val="13"/>
                <w:color w:val="auto"/>
              </w:rPr>
              <w:t>Treasury Stock</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center"/>
              <w:ind w:right="37"/>
              <w:spacing w:after="0"/>
              <w:rPr>
                <w:sz w:val="20"/>
                <w:szCs w:val="20"/>
                <w:color w:val="auto"/>
              </w:rPr>
            </w:pPr>
            <w:r>
              <w:rPr>
                <w:rFonts w:ascii="Arial" w:cs="Arial" w:eastAsia="Arial" w:hAnsi="Arial"/>
                <w:sz w:val="13"/>
                <w:szCs w:val="13"/>
                <w:color w:val="auto"/>
                <w:w w:val="90"/>
              </w:rPr>
              <w:t>Accumulated</w:t>
            </w:r>
          </w:p>
        </w:tc>
        <w:tc>
          <w:tcPr>
            <w:tcW w:w="160" w:type="dxa"/>
            <w:vAlign w:val="bottom"/>
          </w:tcPr>
          <w:p>
            <w:pPr>
              <w:spacing w:after="0"/>
              <w:rPr>
                <w:sz w:val="13"/>
                <w:szCs w:val="13"/>
                <w:color w:val="auto"/>
              </w:rPr>
            </w:pPr>
          </w:p>
        </w:tc>
        <w:tc>
          <w:tcPr>
            <w:tcW w:w="960" w:type="dxa"/>
            <w:vAlign w:val="bottom"/>
            <w:vMerge w:val="restart"/>
          </w:tcPr>
          <w:p>
            <w:pPr>
              <w:jc w:val="center"/>
              <w:ind w:right="77"/>
              <w:spacing w:after="0"/>
              <w:rPr>
                <w:sz w:val="20"/>
                <w:szCs w:val="20"/>
                <w:color w:val="auto"/>
              </w:rPr>
            </w:pPr>
            <w:r>
              <w:rPr>
                <w:rFonts w:ascii="Arial" w:cs="Arial" w:eastAsia="Arial" w:hAnsi="Arial"/>
                <w:sz w:val="13"/>
                <w:szCs w:val="13"/>
                <w:color w:val="auto"/>
                <w:w w:val="89"/>
              </w:rPr>
              <w:t>Total</w:t>
            </w:r>
          </w:p>
        </w:tc>
        <w:tc>
          <w:tcPr>
            <w:tcW w:w="0" w:type="dxa"/>
            <w:vAlign w:val="bottom"/>
          </w:tcPr>
          <w:p>
            <w:pPr>
              <w:spacing w:after="0"/>
              <w:rPr>
                <w:sz w:val="1"/>
                <w:szCs w:val="1"/>
                <w:color w:val="auto"/>
              </w:rPr>
            </w:pPr>
          </w:p>
        </w:tc>
      </w:tr>
      <w:tr>
        <w:trPr>
          <w:trHeight w:val="121"/>
        </w:trPr>
        <w:tc>
          <w:tcPr>
            <w:tcW w:w="3180" w:type="dxa"/>
            <w:vAlign w:val="bottom"/>
          </w:tcPr>
          <w:p>
            <w:pPr>
              <w:spacing w:after="0"/>
              <w:rPr>
                <w:sz w:val="10"/>
                <w:szCs w:val="10"/>
                <w:color w:val="auto"/>
              </w:rPr>
            </w:pPr>
          </w:p>
        </w:tc>
        <w:tc>
          <w:tcPr>
            <w:tcW w:w="194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94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jc w:val="center"/>
              <w:ind w:right="37"/>
              <w:spacing w:after="0" w:line="122" w:lineRule="exact"/>
              <w:rPr>
                <w:sz w:val="20"/>
                <w:szCs w:val="20"/>
                <w:color w:val="auto"/>
              </w:rPr>
            </w:pPr>
            <w:r>
              <w:rPr>
                <w:rFonts w:ascii="Arial" w:cs="Arial" w:eastAsia="Arial" w:hAnsi="Arial"/>
                <w:sz w:val="13"/>
                <w:szCs w:val="13"/>
                <w:color w:val="auto"/>
                <w:w w:val="85"/>
              </w:rPr>
              <w:t>Other</w:t>
            </w:r>
          </w:p>
        </w:tc>
        <w:tc>
          <w:tcPr>
            <w:tcW w:w="16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318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vMerge w:val="restart"/>
          </w:tcPr>
          <w:p>
            <w:pPr>
              <w:jc w:val="right"/>
              <w:ind w:right="237"/>
              <w:spacing w:after="0" w:line="134" w:lineRule="exact"/>
              <w:rPr>
                <w:sz w:val="20"/>
                <w:szCs w:val="20"/>
                <w:color w:val="auto"/>
              </w:rPr>
            </w:pPr>
            <w:r>
              <w:rPr>
                <w:rFonts w:ascii="Arial" w:cs="Arial" w:eastAsia="Arial" w:hAnsi="Arial"/>
                <w:sz w:val="13"/>
                <w:szCs w:val="13"/>
                <w:color w:val="auto"/>
              </w:rPr>
              <w:t>Paid-in</w:t>
            </w: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vMerge w:val="restart"/>
          </w:tcPr>
          <w:p>
            <w:pPr>
              <w:jc w:val="right"/>
              <w:ind w:right="197"/>
              <w:spacing w:after="0" w:line="134" w:lineRule="exact"/>
              <w:rPr>
                <w:sz w:val="20"/>
                <w:szCs w:val="20"/>
                <w:color w:val="auto"/>
              </w:rPr>
            </w:pPr>
            <w:r>
              <w:rPr>
                <w:rFonts w:ascii="Arial" w:cs="Arial" w:eastAsia="Arial" w:hAnsi="Arial"/>
                <w:sz w:val="13"/>
                <w:szCs w:val="13"/>
                <w:color w:val="auto"/>
                <w:w w:val="99"/>
              </w:rPr>
              <w:t>Retained</w:t>
            </w:r>
          </w:p>
        </w:tc>
        <w:tc>
          <w:tcPr>
            <w:tcW w:w="120" w:type="dxa"/>
            <w:vAlign w:val="bottom"/>
          </w:tcPr>
          <w:p>
            <w:pPr>
              <w:spacing w:after="0"/>
              <w:rPr>
                <w:sz w:val="3"/>
                <w:szCs w:val="3"/>
                <w:color w:val="auto"/>
              </w:rPr>
            </w:pPr>
          </w:p>
        </w:tc>
        <w:tc>
          <w:tcPr>
            <w:tcW w:w="980" w:type="dxa"/>
            <w:vAlign w:val="bottom"/>
            <w:vMerge w:val="restart"/>
          </w:tcPr>
          <w:p>
            <w:pPr>
              <w:jc w:val="center"/>
              <w:ind w:right="37"/>
              <w:spacing w:after="0" w:line="134" w:lineRule="exact"/>
              <w:rPr>
                <w:sz w:val="20"/>
                <w:szCs w:val="20"/>
                <w:color w:val="auto"/>
              </w:rPr>
            </w:pPr>
            <w:r>
              <w:rPr>
                <w:rFonts w:ascii="Arial" w:cs="Arial" w:eastAsia="Arial" w:hAnsi="Arial"/>
                <w:sz w:val="13"/>
                <w:szCs w:val="13"/>
                <w:color w:val="auto"/>
                <w:w w:val="87"/>
              </w:rPr>
              <w:t>Comprehensive</w:t>
            </w:r>
          </w:p>
        </w:tc>
        <w:tc>
          <w:tcPr>
            <w:tcW w:w="160" w:type="dxa"/>
            <w:vAlign w:val="bottom"/>
          </w:tcPr>
          <w:p>
            <w:pPr>
              <w:spacing w:after="0"/>
              <w:rPr>
                <w:sz w:val="3"/>
                <w:szCs w:val="3"/>
                <w:color w:val="auto"/>
              </w:rPr>
            </w:pPr>
          </w:p>
        </w:tc>
        <w:tc>
          <w:tcPr>
            <w:tcW w:w="960" w:type="dxa"/>
            <w:vAlign w:val="bottom"/>
            <w:vMerge w:val="restart"/>
          </w:tcPr>
          <w:p>
            <w:pPr>
              <w:jc w:val="center"/>
              <w:ind w:right="77"/>
              <w:spacing w:after="0" w:line="134" w:lineRule="exact"/>
              <w:rPr>
                <w:sz w:val="20"/>
                <w:szCs w:val="20"/>
                <w:color w:val="auto"/>
              </w:rPr>
            </w:pPr>
            <w:r>
              <w:rPr>
                <w:rFonts w:ascii="Arial" w:cs="Arial" w:eastAsia="Arial" w:hAnsi="Arial"/>
                <w:sz w:val="13"/>
                <w:szCs w:val="13"/>
                <w:color w:val="auto"/>
                <w:w w:val="89"/>
              </w:rPr>
              <w:t>Stockholders’</w:t>
            </w:r>
          </w:p>
        </w:tc>
        <w:tc>
          <w:tcPr>
            <w:tcW w:w="0" w:type="dxa"/>
            <w:vAlign w:val="bottom"/>
          </w:tcPr>
          <w:p>
            <w:pPr>
              <w:spacing w:after="0"/>
              <w:rPr>
                <w:sz w:val="1"/>
                <w:szCs w:val="1"/>
                <w:color w:val="auto"/>
              </w:rPr>
            </w:pPr>
          </w:p>
        </w:tc>
      </w:tr>
      <w:tr>
        <w:trPr>
          <w:trHeight w:val="74"/>
        </w:trPr>
        <w:tc>
          <w:tcPr>
            <w:tcW w:w="3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(in thousands, except share data)</w:t>
            </w:r>
          </w:p>
        </w:tc>
        <w:tc>
          <w:tcPr>
            <w:tcW w:w="9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Shares</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w w:val="94"/>
              </w:rPr>
              <w:t>Par Value</w:t>
            </w: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Capital</w:t>
            </w:r>
          </w:p>
        </w:tc>
        <w:tc>
          <w:tcPr>
            <w:tcW w:w="94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color w:val="auto"/>
              </w:rPr>
              <w:t>Shares</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color w:val="auto"/>
              </w:rPr>
              <w:t>Amount</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Earnings</w:t>
            </w: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color w:val="auto"/>
                <w:w w:val="87"/>
              </w:rPr>
              <w:t>Loss</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color w:val="auto"/>
                <w:w w:val="93"/>
              </w:rPr>
              <w:t>Equity</w:t>
            </w:r>
          </w:p>
        </w:tc>
        <w:tc>
          <w:tcPr>
            <w:tcW w:w="0" w:type="dxa"/>
            <w:vAlign w:val="bottom"/>
          </w:tcPr>
          <w:p>
            <w:pPr>
              <w:spacing w:after="0"/>
              <w:rPr>
                <w:sz w:val="1"/>
                <w:szCs w:val="1"/>
                <w:color w:val="auto"/>
              </w:rPr>
            </w:pPr>
          </w:p>
        </w:tc>
      </w:tr>
      <w:tr>
        <w:trPr>
          <w:trHeight w:val="176"/>
        </w:trPr>
        <w:tc>
          <w:tcPr>
            <w:tcW w:w="3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as of August 31, 2022</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41,653,218</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417</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1,190,350</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3,608,462</w:t>
            </w: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(930,715)</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1,179,739</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(108,383)</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1,331,408</w:t>
            </w:r>
          </w:p>
        </w:tc>
        <w:tc>
          <w:tcPr>
            <w:tcW w:w="0" w:type="dxa"/>
            <w:vAlign w:val="bottom"/>
          </w:tcPr>
          <w:p>
            <w:pPr>
              <w:spacing w:after="0"/>
              <w:rPr>
                <w:sz w:val="1"/>
                <w:szCs w:val="1"/>
                <w:color w:val="auto"/>
              </w:rPr>
            </w:pPr>
          </w:p>
        </w:tc>
      </w:tr>
      <w:tr>
        <w:trPr>
          <w:trHeight w:val="160"/>
        </w:trPr>
        <w:tc>
          <w:tcPr>
            <w:tcW w:w="318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403,054</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403,054</w:t>
            </w:r>
          </w:p>
        </w:tc>
        <w:tc>
          <w:tcPr>
            <w:tcW w:w="0" w:type="dxa"/>
            <w:vAlign w:val="bottom"/>
          </w:tcPr>
          <w:p>
            <w:pPr>
              <w:spacing w:after="0"/>
              <w:rPr>
                <w:sz w:val="1"/>
                <w:szCs w:val="1"/>
                <w:color w:val="auto"/>
              </w:rPr>
            </w:pPr>
          </w:p>
        </w:tc>
      </w:tr>
      <w:tr>
        <w:trPr>
          <w:trHeight w:val="29"/>
        </w:trPr>
        <w:tc>
          <w:tcPr>
            <w:tcW w:w="3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31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income (loss)</w:t>
            </w: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19,039</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19,039</w:t>
            </w:r>
          </w:p>
        </w:tc>
        <w:tc>
          <w:tcPr>
            <w:tcW w:w="0" w:type="dxa"/>
            <w:vAlign w:val="bottom"/>
          </w:tcPr>
          <w:p>
            <w:pPr>
              <w:spacing w:after="0"/>
              <w:rPr>
                <w:sz w:val="1"/>
                <w:szCs w:val="1"/>
                <w:color w:val="auto"/>
              </w:rPr>
            </w:pPr>
          </w:p>
        </w:tc>
      </w:tr>
      <w:tr>
        <w:trPr>
          <w:trHeight w:val="168"/>
        </w:trPr>
        <w:tc>
          <w:tcPr>
            <w:tcW w:w="3180" w:type="dxa"/>
            <w:vAlign w:val="bottom"/>
          </w:tcPr>
          <w:p>
            <w:pPr>
              <w:ind w:left="140"/>
              <w:spacing w:after="0"/>
              <w:rPr>
                <w:sz w:val="20"/>
                <w:szCs w:val="20"/>
                <w:color w:val="auto"/>
              </w:rPr>
            </w:pPr>
            <w:r>
              <w:rPr>
                <w:rFonts w:ascii="Arial" w:cs="Arial" w:eastAsia="Arial" w:hAnsi="Arial"/>
                <w:sz w:val="13"/>
                <w:szCs w:val="13"/>
                <w:color w:val="auto"/>
              </w:rPr>
              <w:t>Common stock issued for employee stock plans</w:t>
            </w:r>
          </w:p>
        </w:tc>
        <w:tc>
          <w:tcPr>
            <w:tcW w:w="960" w:type="dxa"/>
            <w:vAlign w:val="bottom"/>
          </w:tcPr>
          <w:p>
            <w:pPr>
              <w:jc w:val="right"/>
              <w:spacing w:after="0"/>
              <w:rPr>
                <w:sz w:val="20"/>
                <w:szCs w:val="20"/>
                <w:color w:val="auto"/>
              </w:rPr>
            </w:pPr>
            <w:r>
              <w:rPr>
                <w:rFonts w:ascii="Arial" w:cs="Arial" w:eastAsia="Arial" w:hAnsi="Arial"/>
                <w:sz w:val="13"/>
                <w:szCs w:val="13"/>
                <w:color w:val="auto"/>
              </w:rPr>
              <w:t>283,021</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55,881</w:t>
            </w:r>
          </w:p>
        </w:tc>
        <w:tc>
          <w:tcPr>
            <w:tcW w:w="940" w:type="dxa"/>
            <w:vAlign w:val="bottom"/>
          </w:tcPr>
          <w:p>
            <w:pPr>
              <w:jc w:val="right"/>
              <w:spacing w:after="0"/>
              <w:rPr>
                <w:sz w:val="20"/>
                <w:szCs w:val="20"/>
                <w:color w:val="auto"/>
              </w:rPr>
            </w:pPr>
            <w:r>
              <w:rPr>
                <w:rFonts w:ascii="Arial" w:cs="Arial" w:eastAsia="Arial" w:hAnsi="Arial"/>
                <w:sz w:val="13"/>
                <w:szCs w:val="13"/>
                <w:color w:val="auto"/>
              </w:rPr>
              <w:t>410</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(166)</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55,717</w:t>
            </w:r>
          </w:p>
        </w:tc>
        <w:tc>
          <w:tcPr>
            <w:tcW w:w="0" w:type="dxa"/>
            <w:vAlign w:val="bottom"/>
          </w:tcPr>
          <w:p>
            <w:pPr>
              <w:spacing w:after="0"/>
              <w:rPr>
                <w:sz w:val="1"/>
                <w:szCs w:val="1"/>
                <w:color w:val="auto"/>
              </w:rPr>
            </w:pPr>
          </w:p>
        </w:tc>
      </w:tr>
      <w:tr>
        <w:trPr>
          <w:trHeight w:val="177"/>
        </w:trPr>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Vesting of restricted stock</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72,860</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28,542</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(12,108)</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(12,107)</w:t>
            </w:r>
          </w:p>
        </w:tc>
        <w:tc>
          <w:tcPr>
            <w:tcW w:w="0" w:type="dxa"/>
            <w:vAlign w:val="bottom"/>
          </w:tcPr>
          <w:p>
            <w:pPr>
              <w:spacing w:after="0"/>
              <w:rPr>
                <w:sz w:val="1"/>
                <w:szCs w:val="1"/>
                <w:color w:val="auto"/>
              </w:rPr>
            </w:pPr>
          </w:p>
        </w:tc>
      </w:tr>
      <w:tr>
        <w:trPr>
          <w:trHeight w:val="168"/>
        </w:trPr>
        <w:tc>
          <w:tcPr>
            <w:tcW w:w="3180" w:type="dxa"/>
            <w:vAlign w:val="bottom"/>
          </w:tcPr>
          <w:p>
            <w:pPr>
              <w:ind w:left="140"/>
              <w:spacing w:after="0"/>
              <w:rPr>
                <w:sz w:val="20"/>
                <w:szCs w:val="20"/>
                <w:color w:val="auto"/>
              </w:rPr>
            </w:pPr>
            <w:r>
              <w:rPr>
                <w:rFonts w:ascii="Arial" w:cs="Arial" w:eastAsia="Arial" w:hAnsi="Arial"/>
                <w:sz w:val="13"/>
                <w:szCs w:val="13"/>
                <w:color w:val="auto"/>
              </w:rPr>
              <w:t>Repurchases of common stock</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165,950</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(67,092)</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(67,092)</w:t>
            </w:r>
          </w:p>
        </w:tc>
        <w:tc>
          <w:tcPr>
            <w:tcW w:w="0" w:type="dxa"/>
            <w:vAlign w:val="bottom"/>
          </w:tcPr>
          <w:p>
            <w:pPr>
              <w:spacing w:after="0"/>
              <w:rPr>
                <w:sz w:val="1"/>
                <w:szCs w:val="1"/>
                <w:color w:val="auto"/>
              </w:rPr>
            </w:pPr>
          </w:p>
        </w:tc>
      </w:tr>
      <w:tr>
        <w:trPr>
          <w:trHeight w:val="183"/>
        </w:trPr>
        <w:tc>
          <w:tcPr>
            <w:tcW w:w="31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Stock-based compensation expense</w:t>
            </w: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44,365</w:t>
            </w: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44,365</w:t>
            </w:r>
          </w:p>
        </w:tc>
        <w:tc>
          <w:tcPr>
            <w:tcW w:w="0" w:type="dxa"/>
            <w:vAlign w:val="bottom"/>
          </w:tcPr>
          <w:p>
            <w:pPr>
              <w:spacing w:after="0"/>
              <w:rPr>
                <w:sz w:val="1"/>
                <w:szCs w:val="1"/>
                <w:color w:val="auto"/>
              </w:rPr>
            </w:pPr>
          </w:p>
        </w:tc>
      </w:tr>
      <w:tr>
        <w:trPr>
          <w:trHeight w:val="160"/>
        </w:trPr>
        <w:tc>
          <w:tcPr>
            <w:tcW w:w="3180" w:type="dxa"/>
            <w:vAlign w:val="bottom"/>
          </w:tcPr>
          <w:p>
            <w:pPr>
              <w:ind w:left="140"/>
              <w:spacing w:after="0"/>
              <w:rPr>
                <w:sz w:val="20"/>
                <w:szCs w:val="20"/>
                <w:color w:val="auto"/>
              </w:rPr>
            </w:pPr>
            <w:r>
              <w:rPr>
                <w:rFonts w:ascii="Arial" w:cs="Arial" w:eastAsia="Arial" w:hAnsi="Arial"/>
                <w:sz w:val="13"/>
                <w:szCs w:val="13"/>
                <w:color w:val="auto"/>
              </w:rPr>
              <w:t>Dividends declared</w:t>
            </w: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(105,551)</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(105,551)</w:t>
            </w:r>
          </w:p>
        </w:tc>
        <w:tc>
          <w:tcPr>
            <w:tcW w:w="0" w:type="dxa"/>
            <w:vAlign w:val="bottom"/>
          </w:tcPr>
          <w:p>
            <w:pPr>
              <w:spacing w:after="0"/>
              <w:rPr>
                <w:sz w:val="1"/>
                <w:szCs w:val="1"/>
                <w:color w:val="auto"/>
              </w:rPr>
            </w:pPr>
          </w:p>
        </w:tc>
      </w:tr>
      <w:tr>
        <w:trPr>
          <w:trHeight w:val="29"/>
        </w:trPr>
        <w:tc>
          <w:tcPr>
            <w:tcW w:w="31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as of May 31, 2023</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42,009,099</w:t>
            </w: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420</w:t>
            </w: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1,290,596</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3,803,364</w:t>
            </w: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(1,010,081)</w:t>
            </w: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1,477,242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(89,344)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1,668,833</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the Three Months Ended May 31, 2022</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restart"/>
          </w:tcPr>
          <w:p>
            <w:pPr>
              <w:jc w:val="center"/>
              <w:ind w:right="97"/>
              <w:spacing w:after="0"/>
              <w:rPr>
                <w:sz w:val="20"/>
                <w:szCs w:val="20"/>
                <w:color w:val="auto"/>
              </w:rPr>
            </w:pPr>
            <w:r>
              <w:rPr>
                <w:rFonts w:ascii="Arial" w:cs="Arial" w:eastAsia="Arial" w:hAnsi="Arial"/>
                <w:sz w:val="13"/>
                <w:szCs w:val="13"/>
                <w:color w:val="auto"/>
                <w:w w:val="94"/>
              </w:rPr>
              <w:t>Additional</w:t>
            </w: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center"/>
              <w:ind w:right="117"/>
              <w:spacing w:after="0"/>
              <w:rPr>
                <w:sz w:val="20"/>
                <w:szCs w:val="20"/>
                <w:color w:val="auto"/>
              </w:rPr>
            </w:pPr>
            <w:r>
              <w:rPr>
                <w:rFonts w:ascii="Arial" w:cs="Arial" w:eastAsia="Arial" w:hAnsi="Arial"/>
                <w:sz w:val="13"/>
                <w:szCs w:val="13"/>
                <w:color w:val="auto"/>
                <w:w w:val="87"/>
              </w:rPr>
              <w:t>Accumulated</w:t>
            </w:r>
          </w:p>
        </w:tc>
        <w:tc>
          <w:tcPr>
            <w:tcW w:w="200" w:type="dxa"/>
            <w:vAlign w:val="bottom"/>
          </w:tcPr>
          <w:p>
            <w:pPr>
              <w:spacing w:after="0"/>
              <w:rPr>
                <w:sz w:val="13"/>
                <w:szCs w:val="13"/>
                <w:color w:val="auto"/>
              </w:rPr>
            </w:pPr>
          </w:p>
        </w:tc>
        <w:tc>
          <w:tcPr>
            <w:tcW w:w="960" w:type="dxa"/>
            <w:vAlign w:val="bottom"/>
            <w:vMerge w:val="restart"/>
          </w:tcPr>
          <w:p>
            <w:pPr>
              <w:jc w:val="center"/>
              <w:ind w:right="77"/>
              <w:spacing w:after="0"/>
              <w:rPr>
                <w:sz w:val="20"/>
                <w:szCs w:val="20"/>
                <w:color w:val="auto"/>
              </w:rPr>
            </w:pPr>
            <w:r>
              <w:rPr>
                <w:rFonts w:ascii="Arial" w:cs="Arial" w:eastAsia="Arial" w:hAnsi="Arial"/>
                <w:sz w:val="13"/>
                <w:szCs w:val="13"/>
                <w:color w:val="auto"/>
                <w:w w:val="89"/>
              </w:rPr>
              <w:t>Total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960" w:type="dxa"/>
            <w:vAlign w:val="bottom"/>
            <w:gridSpan w:val="3"/>
            <w:vMerge w:val="restart"/>
          </w:tcPr>
          <w:p>
            <w:pPr>
              <w:jc w:val="right"/>
              <w:ind w:right="517"/>
              <w:spacing w:after="0"/>
              <w:rPr>
                <w:sz w:val="20"/>
                <w:szCs w:val="20"/>
                <w:color w:val="auto"/>
              </w:rPr>
            </w:pPr>
            <w:r>
              <w:rPr>
                <w:rFonts w:ascii="Arial" w:cs="Arial" w:eastAsia="Arial" w:hAnsi="Arial"/>
                <w:sz w:val="13"/>
                <w:szCs w:val="13"/>
                <w:color w:val="auto"/>
              </w:rPr>
              <w:t>Common Stock</w:t>
            </w:r>
          </w:p>
        </w:tc>
        <w:tc>
          <w:tcPr>
            <w:tcW w:w="1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940" w:type="dxa"/>
            <w:vAlign w:val="bottom"/>
            <w:gridSpan w:val="3"/>
            <w:vMerge w:val="restart"/>
          </w:tcPr>
          <w:p>
            <w:pPr>
              <w:jc w:val="right"/>
              <w:ind w:right="537"/>
              <w:spacing w:after="0"/>
              <w:rPr>
                <w:sz w:val="20"/>
                <w:szCs w:val="20"/>
                <w:color w:val="auto"/>
              </w:rPr>
            </w:pPr>
            <w:r>
              <w:rPr>
                <w:rFonts w:ascii="Arial" w:cs="Arial" w:eastAsia="Arial" w:hAnsi="Arial"/>
                <w:sz w:val="13"/>
                <w:szCs w:val="13"/>
                <w:color w:val="auto"/>
              </w:rPr>
              <w:t>Treasury Stock</w:t>
            </w: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center"/>
              <w:ind w:right="117"/>
              <w:spacing w:after="0" w:line="134" w:lineRule="exact"/>
              <w:rPr>
                <w:sz w:val="20"/>
                <w:szCs w:val="20"/>
                <w:color w:val="auto"/>
              </w:rPr>
            </w:pPr>
            <w:r>
              <w:rPr>
                <w:rFonts w:ascii="Arial" w:cs="Arial" w:eastAsia="Arial" w:hAnsi="Arial"/>
                <w:sz w:val="13"/>
                <w:szCs w:val="13"/>
                <w:color w:val="auto"/>
                <w:w w:val="92"/>
              </w:rPr>
              <w:t>Other</w:t>
            </w:r>
          </w:p>
        </w:tc>
        <w:tc>
          <w:tcPr>
            <w:tcW w:w="2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060" w:type="dxa"/>
            <w:vAlign w:val="bottom"/>
          </w:tcPr>
          <w:p>
            <w:pPr>
              <w:spacing w:after="0"/>
              <w:rPr>
                <w:sz w:val="6"/>
                <w:szCs w:val="6"/>
                <w:color w:val="auto"/>
              </w:rPr>
            </w:pPr>
          </w:p>
        </w:tc>
        <w:tc>
          <w:tcPr>
            <w:tcW w:w="1960" w:type="dxa"/>
            <w:vAlign w:val="bottom"/>
            <w:tcBorders>
              <w:bottom w:val="single" w:sz="8" w:color="auto"/>
            </w:tcBorders>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vMerge w:val="restart"/>
          </w:tcPr>
          <w:p>
            <w:pPr>
              <w:jc w:val="center"/>
              <w:ind w:right="97"/>
              <w:spacing w:after="0" w:line="123" w:lineRule="exact"/>
              <w:rPr>
                <w:sz w:val="20"/>
                <w:szCs w:val="20"/>
                <w:color w:val="auto"/>
              </w:rPr>
            </w:pPr>
            <w:r>
              <w:rPr>
                <w:rFonts w:ascii="Arial" w:cs="Arial" w:eastAsia="Arial" w:hAnsi="Arial"/>
                <w:sz w:val="13"/>
                <w:szCs w:val="13"/>
                <w:color w:val="auto"/>
                <w:w w:val="93"/>
              </w:rPr>
              <w:t>Paid-in</w:t>
            </w:r>
          </w:p>
        </w:tc>
        <w:tc>
          <w:tcPr>
            <w:tcW w:w="1940" w:type="dxa"/>
            <w:vAlign w:val="bottom"/>
            <w:tcBorders>
              <w:bottom w:val="single" w:sz="8" w:color="auto"/>
            </w:tcBorders>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restart"/>
          </w:tcPr>
          <w:p>
            <w:pPr>
              <w:jc w:val="right"/>
              <w:ind w:right="197"/>
              <w:spacing w:after="0" w:line="123" w:lineRule="exact"/>
              <w:rPr>
                <w:sz w:val="20"/>
                <w:szCs w:val="20"/>
                <w:color w:val="auto"/>
              </w:rPr>
            </w:pPr>
            <w:r>
              <w:rPr>
                <w:rFonts w:ascii="Arial" w:cs="Arial" w:eastAsia="Arial" w:hAnsi="Arial"/>
                <w:sz w:val="13"/>
                <w:szCs w:val="13"/>
                <w:color w:val="auto"/>
                <w:w w:val="96"/>
              </w:rPr>
              <w:t>Retained</w:t>
            </w:r>
          </w:p>
        </w:tc>
        <w:tc>
          <w:tcPr>
            <w:tcW w:w="140" w:type="dxa"/>
            <w:vAlign w:val="bottom"/>
          </w:tcPr>
          <w:p>
            <w:pPr>
              <w:spacing w:after="0"/>
              <w:rPr>
                <w:sz w:val="6"/>
                <w:szCs w:val="6"/>
                <w:color w:val="auto"/>
              </w:rPr>
            </w:pPr>
          </w:p>
        </w:tc>
        <w:tc>
          <w:tcPr>
            <w:tcW w:w="1040" w:type="dxa"/>
            <w:vAlign w:val="bottom"/>
            <w:vMerge w:val="restart"/>
          </w:tcPr>
          <w:p>
            <w:pPr>
              <w:jc w:val="center"/>
              <w:ind w:right="117"/>
              <w:spacing w:after="0" w:line="123" w:lineRule="exact"/>
              <w:rPr>
                <w:sz w:val="20"/>
                <w:szCs w:val="20"/>
                <w:color w:val="auto"/>
              </w:rPr>
            </w:pPr>
            <w:r>
              <w:rPr>
                <w:rFonts w:ascii="Arial" w:cs="Arial" w:eastAsia="Arial" w:hAnsi="Arial"/>
                <w:sz w:val="13"/>
                <w:szCs w:val="13"/>
                <w:color w:val="auto"/>
                <w:w w:val="85"/>
              </w:rPr>
              <w:t>Comprehensive</w:t>
            </w:r>
          </w:p>
        </w:tc>
        <w:tc>
          <w:tcPr>
            <w:tcW w:w="200" w:type="dxa"/>
            <w:vAlign w:val="bottom"/>
          </w:tcPr>
          <w:p>
            <w:pPr>
              <w:spacing w:after="0"/>
              <w:rPr>
                <w:sz w:val="6"/>
                <w:szCs w:val="6"/>
                <w:color w:val="auto"/>
              </w:rPr>
            </w:pPr>
          </w:p>
        </w:tc>
        <w:tc>
          <w:tcPr>
            <w:tcW w:w="960" w:type="dxa"/>
            <w:vAlign w:val="bottom"/>
            <w:vMerge w:val="restart"/>
          </w:tcPr>
          <w:p>
            <w:pPr>
              <w:jc w:val="center"/>
              <w:ind w:right="77"/>
              <w:spacing w:after="0" w:line="123" w:lineRule="exact"/>
              <w:rPr>
                <w:sz w:val="20"/>
                <w:szCs w:val="20"/>
                <w:color w:val="auto"/>
              </w:rPr>
            </w:pPr>
            <w:r>
              <w:rPr>
                <w:rFonts w:ascii="Arial" w:cs="Arial" w:eastAsia="Arial" w:hAnsi="Arial"/>
                <w:sz w:val="13"/>
                <w:szCs w:val="13"/>
                <w:color w:val="auto"/>
                <w:w w:val="89"/>
              </w:rPr>
              <w:t>Stockholders’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60" w:type="dxa"/>
            <w:vAlign w:val="bottom"/>
            <w:vMerge w:val="restart"/>
          </w:tcPr>
          <w:p>
            <w:pPr>
              <w:spacing w:after="0"/>
              <w:rPr>
                <w:sz w:val="20"/>
                <w:szCs w:val="20"/>
                <w:color w:val="auto"/>
              </w:rPr>
            </w:pPr>
            <w:r>
              <w:rPr>
                <w:rFonts w:ascii="Arial" w:cs="Arial" w:eastAsia="Arial" w:hAnsi="Arial"/>
                <w:sz w:val="13"/>
                <w:szCs w:val="13"/>
                <w:i w:val="1"/>
                <w:iCs w:val="1"/>
                <w:color w:val="auto"/>
              </w:rPr>
              <w:t>(in thousands, except share data)</w:t>
            </w:r>
          </w:p>
        </w:tc>
        <w:tc>
          <w:tcPr>
            <w:tcW w:w="960" w:type="dxa"/>
            <w:vAlign w:val="bottom"/>
            <w:vMerge w:val="restart"/>
          </w:tcPr>
          <w:p>
            <w:pPr>
              <w:jc w:val="right"/>
              <w:ind w:right="237"/>
              <w:spacing w:after="0"/>
              <w:rPr>
                <w:sz w:val="20"/>
                <w:szCs w:val="20"/>
                <w:color w:val="auto"/>
              </w:rPr>
            </w:pPr>
            <w:r>
              <w:rPr>
                <w:rFonts w:ascii="Arial" w:cs="Arial" w:eastAsia="Arial" w:hAnsi="Arial"/>
                <w:sz w:val="13"/>
                <w:szCs w:val="13"/>
                <w:color w:val="auto"/>
              </w:rPr>
              <w:t>Shares</w:t>
            </w:r>
          </w:p>
        </w:tc>
        <w:tc>
          <w:tcPr>
            <w:tcW w:w="180" w:type="dxa"/>
            <w:vAlign w:val="bottom"/>
          </w:tcPr>
          <w:p>
            <w:pPr>
              <w:spacing w:after="0"/>
              <w:rPr>
                <w:sz w:val="2"/>
                <w:szCs w:val="2"/>
                <w:color w:val="auto"/>
              </w:rPr>
            </w:pPr>
          </w:p>
        </w:tc>
        <w:tc>
          <w:tcPr>
            <w:tcW w:w="820" w:type="dxa"/>
            <w:vAlign w:val="bottom"/>
            <w:vMerge w:val="restart"/>
          </w:tcPr>
          <w:p>
            <w:pPr>
              <w:jc w:val="right"/>
              <w:ind w:right="197"/>
              <w:spacing w:after="0"/>
              <w:rPr>
                <w:sz w:val="20"/>
                <w:szCs w:val="20"/>
                <w:color w:val="auto"/>
              </w:rPr>
            </w:pPr>
            <w:r>
              <w:rPr>
                <w:rFonts w:ascii="Arial" w:cs="Arial" w:eastAsia="Arial" w:hAnsi="Arial"/>
                <w:sz w:val="13"/>
                <w:szCs w:val="13"/>
                <w:color w:val="auto"/>
                <w:w w:val="94"/>
              </w:rPr>
              <w:t>Par Value</w:t>
            </w:r>
          </w:p>
        </w:tc>
        <w:tc>
          <w:tcPr>
            <w:tcW w:w="14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940" w:type="dxa"/>
            <w:vAlign w:val="bottom"/>
            <w:vMerge w:val="restart"/>
          </w:tcPr>
          <w:p>
            <w:pPr>
              <w:jc w:val="right"/>
              <w:ind w:right="217"/>
              <w:spacing w:after="0"/>
              <w:rPr>
                <w:sz w:val="20"/>
                <w:szCs w:val="20"/>
                <w:color w:val="auto"/>
              </w:rPr>
            </w:pPr>
            <w:r>
              <w:rPr>
                <w:rFonts w:ascii="Arial" w:cs="Arial" w:eastAsia="Arial" w:hAnsi="Arial"/>
                <w:sz w:val="13"/>
                <w:szCs w:val="13"/>
                <w:color w:val="auto"/>
              </w:rPr>
              <w:t>Shares</w:t>
            </w:r>
          </w:p>
        </w:tc>
        <w:tc>
          <w:tcPr>
            <w:tcW w:w="200" w:type="dxa"/>
            <w:vAlign w:val="bottom"/>
          </w:tcPr>
          <w:p>
            <w:pPr>
              <w:spacing w:after="0"/>
              <w:rPr>
                <w:sz w:val="2"/>
                <w:szCs w:val="2"/>
                <w:color w:val="auto"/>
              </w:rPr>
            </w:pPr>
          </w:p>
        </w:tc>
        <w:tc>
          <w:tcPr>
            <w:tcW w:w="800" w:type="dxa"/>
            <w:vAlign w:val="bottom"/>
            <w:vMerge w:val="restart"/>
          </w:tcPr>
          <w:p>
            <w:pPr>
              <w:jc w:val="right"/>
              <w:ind w:right="217"/>
              <w:spacing w:after="0"/>
              <w:rPr>
                <w:sz w:val="20"/>
                <w:szCs w:val="20"/>
                <w:color w:val="auto"/>
              </w:rPr>
            </w:pPr>
            <w:r>
              <w:rPr>
                <w:rFonts w:ascii="Arial" w:cs="Arial" w:eastAsia="Arial" w:hAnsi="Arial"/>
                <w:sz w:val="13"/>
                <w:szCs w:val="13"/>
                <w:color w:val="auto"/>
              </w:rPr>
              <w:t>Amount</w:t>
            </w:r>
          </w:p>
        </w:tc>
        <w:tc>
          <w:tcPr>
            <w:tcW w:w="18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color w:val="auto"/>
                <w:w w:val="93"/>
              </w:rPr>
              <w:t>Capital</w:t>
            </w:r>
          </w:p>
        </w:tc>
        <w:tc>
          <w:tcPr>
            <w:tcW w:w="94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w w:val="97"/>
              </w:rPr>
              <w:t>Earnings</w:t>
            </w: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37"/>
              <w:spacing w:after="0"/>
              <w:rPr>
                <w:sz w:val="20"/>
                <w:szCs w:val="20"/>
                <w:color w:val="auto"/>
              </w:rPr>
            </w:pPr>
            <w:r>
              <w:rPr>
                <w:rFonts w:ascii="Arial" w:cs="Arial" w:eastAsia="Arial" w:hAnsi="Arial"/>
                <w:sz w:val="13"/>
                <w:szCs w:val="13"/>
                <w:color w:val="auto"/>
                <w:w w:val="87"/>
              </w:rPr>
              <w:t>Loss</w:t>
            </w: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color w:val="auto"/>
                <w:w w:val="93"/>
              </w:rPr>
              <w:t>Equity</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3"/>
                <w:szCs w:val="13"/>
                <w:color w:val="auto"/>
              </w:rPr>
              <w:t>Balance as of February 28, 2022</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41,485,261</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415</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1,131,166</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3,601,395</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(927,814)</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1,068,062</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(55,848)</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1,215,981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60" w:type="dxa"/>
            <w:vAlign w:val="bottom"/>
          </w:tcPr>
          <w:p>
            <w:pPr>
              <w:ind w:left="120"/>
              <w:spacing w:after="0"/>
              <w:rPr>
                <w:sz w:val="20"/>
                <w:szCs w:val="20"/>
                <w:color w:val="auto"/>
              </w:rPr>
            </w:pPr>
            <w:r>
              <w:rPr>
                <w:rFonts w:ascii="Arial" w:cs="Arial" w:eastAsia="Arial" w:hAnsi="Arial"/>
                <w:sz w:val="13"/>
                <w:szCs w:val="13"/>
                <w:color w:val="auto"/>
              </w:rPr>
              <w:t>Net income</w:t>
            </w: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74,910</w:t>
            </w: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74,910</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0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comprehensive income (loss)</w:t>
            </w: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(21,286)</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(21,286)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60" w:type="dxa"/>
            <w:vAlign w:val="bottom"/>
          </w:tcPr>
          <w:p>
            <w:pPr>
              <w:ind w:left="120"/>
              <w:spacing w:after="0"/>
              <w:rPr>
                <w:sz w:val="20"/>
                <w:szCs w:val="20"/>
                <w:color w:val="auto"/>
              </w:rPr>
            </w:pPr>
            <w:r>
              <w:rPr>
                <w:rFonts w:ascii="Arial" w:cs="Arial" w:eastAsia="Arial" w:hAnsi="Arial"/>
                <w:sz w:val="13"/>
                <w:szCs w:val="13"/>
                <w:color w:val="auto"/>
              </w:rPr>
              <w:t>Common stock issued for employee stock plans</w:t>
            </w:r>
          </w:p>
        </w:tc>
        <w:tc>
          <w:tcPr>
            <w:tcW w:w="960" w:type="dxa"/>
            <w:vAlign w:val="bottom"/>
          </w:tcPr>
          <w:p>
            <w:pPr>
              <w:jc w:val="right"/>
              <w:spacing w:after="0"/>
              <w:rPr>
                <w:sz w:val="20"/>
                <w:szCs w:val="20"/>
                <w:color w:val="auto"/>
              </w:rPr>
            </w:pPr>
            <w:r>
              <w:rPr>
                <w:rFonts w:ascii="Arial" w:cs="Arial" w:eastAsia="Arial" w:hAnsi="Arial"/>
                <w:sz w:val="13"/>
                <w:szCs w:val="13"/>
                <w:color w:val="auto"/>
              </w:rPr>
              <w:t>87,486</w:t>
            </w:r>
          </w:p>
        </w:tc>
        <w:tc>
          <w:tcPr>
            <w:tcW w:w="18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17,248</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17,249</w:t>
            </w:r>
          </w:p>
        </w:tc>
        <w:tc>
          <w:tcPr>
            <w:tcW w:w="0" w:type="dxa"/>
            <w:vAlign w:val="bottom"/>
          </w:tcPr>
          <w:p>
            <w:pPr>
              <w:spacing w:after="0"/>
              <w:rPr>
                <w:sz w:val="1"/>
                <w:szCs w:val="1"/>
                <w:color w:val="auto"/>
              </w:rPr>
            </w:pPr>
          </w:p>
        </w:tc>
      </w:tr>
      <w:tr>
        <w:trPr>
          <w:trHeight w:val="177"/>
        </w:trPr>
        <w:tc>
          <w:tcPr>
            <w:tcW w:w="20" w:type="dxa"/>
            <w:vAlign w:val="bottom"/>
            <w:tcBorders>
              <w:bottom w:val="single" w:sz="8" w:color="CCEEFF"/>
            </w:tcBorders>
            <w:shd w:val="clear" w:color="auto" w:fill="CCEEFF"/>
          </w:tcPr>
          <w:p>
            <w:pPr>
              <w:spacing w:after="0"/>
              <w:rPr>
                <w:sz w:val="15"/>
                <w:szCs w:val="15"/>
                <w:color w:val="auto"/>
              </w:rPr>
            </w:pPr>
          </w:p>
        </w:tc>
        <w:tc>
          <w:tcPr>
            <w:tcW w:w="3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Vesting of restricted stock</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2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60" w:type="dxa"/>
            <w:vAlign w:val="bottom"/>
          </w:tcPr>
          <w:p>
            <w:pPr>
              <w:ind w:left="120"/>
              <w:spacing w:after="0"/>
              <w:rPr>
                <w:sz w:val="20"/>
                <w:szCs w:val="20"/>
                <w:color w:val="auto"/>
              </w:rPr>
            </w:pPr>
            <w:r>
              <w:rPr>
                <w:rFonts w:ascii="Arial" w:cs="Arial" w:eastAsia="Arial" w:hAnsi="Arial"/>
                <w:sz w:val="13"/>
                <w:szCs w:val="13"/>
                <w:color w:val="auto"/>
              </w:rPr>
              <w:t>Repurchases of common stock</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0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Stock-based compensation expense</w:t>
            </w: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14,667</w:t>
            </w: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14,667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060" w:type="dxa"/>
            <w:vAlign w:val="bottom"/>
          </w:tcPr>
          <w:p>
            <w:pPr>
              <w:ind w:left="120"/>
              <w:spacing w:after="0"/>
              <w:rPr>
                <w:sz w:val="20"/>
                <w:szCs w:val="20"/>
                <w:color w:val="auto"/>
              </w:rPr>
            </w:pPr>
            <w:r>
              <w:rPr>
                <w:rFonts w:ascii="Arial" w:cs="Arial" w:eastAsia="Arial" w:hAnsi="Arial"/>
                <w:sz w:val="13"/>
                <w:szCs w:val="13"/>
                <w:color w:val="auto"/>
              </w:rPr>
              <w:t>Dividends declared</w:t>
            </w:r>
          </w:p>
        </w:tc>
        <w:tc>
          <w:tcPr>
            <w:tcW w:w="9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(33,795)</w:t>
            </w: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(33,795)</w:t>
            </w: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7"/>
                <w:szCs w:val="17"/>
                <w:color w:val="auto"/>
              </w:rPr>
            </w:pPr>
          </w:p>
        </w:tc>
        <w:tc>
          <w:tcPr>
            <w:tcW w:w="3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Balance as of May 31, 2022</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41,572,771</w:t>
            </w: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416</w:t>
            </w:r>
          </w:p>
        </w:tc>
        <w:tc>
          <w:tcPr>
            <w:tcW w:w="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1,163,081</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3,601,405</w:t>
            </w:r>
          </w:p>
        </w:tc>
        <w:tc>
          <w:tcPr>
            <w:tcW w:w="2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(927,818)</w:t>
            </w: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1,109,177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(77,134)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1,267,722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0"/>
              </w:rPr>
              <w:t>For the Nine Months Ended May 31, 2022</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060" w:type="dxa"/>
            <w:vAlign w:val="bottom"/>
            <w:tcBorders>
              <w:bottom w:val="single" w:sz="8" w:color="auto"/>
            </w:tcBorders>
            <w:vMerge w:val="continue"/>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960" w:type="dxa"/>
            <w:vAlign w:val="bottom"/>
            <w:gridSpan w:val="3"/>
            <w:vMerge w:val="restart"/>
          </w:tcPr>
          <w:p>
            <w:pPr>
              <w:jc w:val="right"/>
              <w:ind w:right="517"/>
              <w:spacing w:after="0"/>
              <w:rPr>
                <w:sz w:val="20"/>
                <w:szCs w:val="20"/>
                <w:color w:val="auto"/>
              </w:rPr>
            </w:pPr>
            <w:r>
              <w:rPr>
                <w:rFonts w:ascii="Arial" w:cs="Arial" w:eastAsia="Arial" w:hAnsi="Arial"/>
                <w:sz w:val="13"/>
                <w:szCs w:val="13"/>
                <w:color w:val="auto"/>
              </w:rPr>
              <w:t>Common Stock</w:t>
            </w:r>
          </w:p>
        </w:tc>
        <w:tc>
          <w:tcPr>
            <w:tcW w:w="140" w:type="dxa"/>
            <w:vAlign w:val="bottom"/>
          </w:tcPr>
          <w:p>
            <w:pPr>
              <w:spacing w:after="0"/>
              <w:rPr>
                <w:sz w:val="24"/>
                <w:szCs w:val="24"/>
                <w:color w:val="auto"/>
              </w:rPr>
            </w:pPr>
          </w:p>
        </w:tc>
        <w:tc>
          <w:tcPr>
            <w:tcW w:w="820" w:type="dxa"/>
            <w:vAlign w:val="bottom"/>
            <w:vMerge w:val="restart"/>
          </w:tcPr>
          <w:p>
            <w:pPr>
              <w:jc w:val="center"/>
              <w:ind w:right="97"/>
              <w:spacing w:after="0"/>
              <w:rPr>
                <w:sz w:val="20"/>
                <w:szCs w:val="20"/>
                <w:color w:val="auto"/>
              </w:rPr>
            </w:pPr>
            <w:r>
              <w:rPr>
                <w:rFonts w:ascii="Arial" w:cs="Arial" w:eastAsia="Arial" w:hAnsi="Arial"/>
                <w:sz w:val="13"/>
                <w:szCs w:val="13"/>
                <w:color w:val="auto"/>
                <w:w w:val="94"/>
              </w:rPr>
              <w:t>Additional</w:t>
            </w:r>
          </w:p>
        </w:tc>
        <w:tc>
          <w:tcPr>
            <w:tcW w:w="1940" w:type="dxa"/>
            <w:vAlign w:val="bottom"/>
            <w:gridSpan w:val="3"/>
            <w:vMerge w:val="restart"/>
          </w:tcPr>
          <w:p>
            <w:pPr>
              <w:jc w:val="right"/>
              <w:ind w:right="537"/>
              <w:spacing w:after="0"/>
              <w:rPr>
                <w:sz w:val="20"/>
                <w:szCs w:val="20"/>
                <w:color w:val="auto"/>
              </w:rPr>
            </w:pPr>
            <w:r>
              <w:rPr>
                <w:rFonts w:ascii="Arial" w:cs="Arial" w:eastAsia="Arial" w:hAnsi="Arial"/>
                <w:sz w:val="13"/>
                <w:szCs w:val="13"/>
                <w:color w:val="auto"/>
              </w:rPr>
              <w:t>Treasury Stock</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center"/>
              <w:ind w:right="117"/>
              <w:spacing w:after="0"/>
              <w:rPr>
                <w:sz w:val="20"/>
                <w:szCs w:val="20"/>
                <w:color w:val="auto"/>
              </w:rPr>
            </w:pPr>
            <w:r>
              <w:rPr>
                <w:rFonts w:ascii="Arial" w:cs="Arial" w:eastAsia="Arial" w:hAnsi="Arial"/>
                <w:sz w:val="13"/>
                <w:szCs w:val="13"/>
                <w:color w:val="auto"/>
                <w:w w:val="87"/>
              </w:rPr>
              <w:t>Accumulated</w:t>
            </w:r>
          </w:p>
        </w:tc>
        <w:tc>
          <w:tcPr>
            <w:tcW w:w="200" w:type="dxa"/>
            <w:vAlign w:val="bottom"/>
          </w:tcPr>
          <w:p>
            <w:pPr>
              <w:spacing w:after="0"/>
              <w:rPr>
                <w:sz w:val="24"/>
                <w:szCs w:val="24"/>
                <w:color w:val="auto"/>
              </w:rPr>
            </w:pPr>
          </w:p>
        </w:tc>
        <w:tc>
          <w:tcPr>
            <w:tcW w:w="960" w:type="dxa"/>
            <w:vAlign w:val="bottom"/>
            <w:vMerge w:val="restart"/>
          </w:tcPr>
          <w:p>
            <w:pPr>
              <w:jc w:val="center"/>
              <w:ind w:right="77"/>
              <w:spacing w:after="0"/>
              <w:rPr>
                <w:sz w:val="20"/>
                <w:szCs w:val="20"/>
                <w:color w:val="auto"/>
              </w:rPr>
            </w:pPr>
            <w:r>
              <w:rPr>
                <w:rFonts w:ascii="Arial" w:cs="Arial" w:eastAsia="Arial" w:hAnsi="Arial"/>
                <w:sz w:val="13"/>
                <w:szCs w:val="13"/>
                <w:color w:val="auto"/>
                <w:w w:val="89"/>
              </w:rPr>
              <w:t>Total</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196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94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jc w:val="center"/>
              <w:ind w:right="117"/>
              <w:spacing w:after="0" w:line="122" w:lineRule="exact"/>
              <w:rPr>
                <w:sz w:val="20"/>
                <w:szCs w:val="20"/>
                <w:color w:val="auto"/>
              </w:rPr>
            </w:pPr>
            <w:r>
              <w:rPr>
                <w:rFonts w:ascii="Arial" w:cs="Arial" w:eastAsia="Arial" w:hAnsi="Arial"/>
                <w:sz w:val="13"/>
                <w:szCs w:val="13"/>
                <w:color w:val="auto"/>
                <w:w w:val="92"/>
              </w:rPr>
              <w:t>Other</w:t>
            </w:r>
          </w:p>
        </w:tc>
        <w:tc>
          <w:tcPr>
            <w:tcW w:w="20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06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vMerge w:val="restart"/>
          </w:tcPr>
          <w:p>
            <w:pPr>
              <w:jc w:val="center"/>
              <w:ind w:right="97"/>
              <w:spacing w:after="0" w:line="134" w:lineRule="exact"/>
              <w:rPr>
                <w:sz w:val="20"/>
                <w:szCs w:val="20"/>
                <w:color w:val="auto"/>
              </w:rPr>
            </w:pPr>
            <w:r>
              <w:rPr>
                <w:rFonts w:ascii="Arial" w:cs="Arial" w:eastAsia="Arial" w:hAnsi="Arial"/>
                <w:sz w:val="13"/>
                <w:szCs w:val="13"/>
                <w:color w:val="auto"/>
                <w:w w:val="93"/>
              </w:rPr>
              <w:t>Paid-in</w:t>
            </w:r>
          </w:p>
        </w:tc>
        <w:tc>
          <w:tcPr>
            <w:tcW w:w="9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vMerge w:val="restart"/>
          </w:tcPr>
          <w:p>
            <w:pPr>
              <w:jc w:val="right"/>
              <w:ind w:right="197"/>
              <w:spacing w:after="0" w:line="134" w:lineRule="exact"/>
              <w:rPr>
                <w:sz w:val="20"/>
                <w:szCs w:val="20"/>
                <w:color w:val="auto"/>
              </w:rPr>
            </w:pPr>
            <w:r>
              <w:rPr>
                <w:rFonts w:ascii="Arial" w:cs="Arial" w:eastAsia="Arial" w:hAnsi="Arial"/>
                <w:sz w:val="13"/>
                <w:szCs w:val="13"/>
                <w:color w:val="auto"/>
                <w:w w:val="96"/>
              </w:rPr>
              <w:t>Retained</w:t>
            </w:r>
          </w:p>
        </w:tc>
        <w:tc>
          <w:tcPr>
            <w:tcW w:w="140" w:type="dxa"/>
            <w:vAlign w:val="bottom"/>
          </w:tcPr>
          <w:p>
            <w:pPr>
              <w:spacing w:after="0"/>
              <w:rPr>
                <w:sz w:val="3"/>
                <w:szCs w:val="3"/>
                <w:color w:val="auto"/>
              </w:rPr>
            </w:pPr>
          </w:p>
        </w:tc>
        <w:tc>
          <w:tcPr>
            <w:tcW w:w="1040" w:type="dxa"/>
            <w:vAlign w:val="bottom"/>
            <w:vMerge w:val="restart"/>
          </w:tcPr>
          <w:p>
            <w:pPr>
              <w:jc w:val="center"/>
              <w:ind w:right="117"/>
              <w:spacing w:after="0" w:line="134" w:lineRule="exact"/>
              <w:rPr>
                <w:sz w:val="20"/>
                <w:szCs w:val="20"/>
                <w:color w:val="auto"/>
              </w:rPr>
            </w:pPr>
            <w:r>
              <w:rPr>
                <w:rFonts w:ascii="Arial" w:cs="Arial" w:eastAsia="Arial" w:hAnsi="Arial"/>
                <w:sz w:val="13"/>
                <w:szCs w:val="13"/>
                <w:color w:val="auto"/>
                <w:w w:val="85"/>
              </w:rPr>
              <w:t>Comprehensive</w:t>
            </w:r>
          </w:p>
        </w:tc>
        <w:tc>
          <w:tcPr>
            <w:tcW w:w="200" w:type="dxa"/>
            <w:vAlign w:val="bottom"/>
          </w:tcPr>
          <w:p>
            <w:pPr>
              <w:spacing w:after="0"/>
              <w:rPr>
                <w:sz w:val="3"/>
                <w:szCs w:val="3"/>
                <w:color w:val="auto"/>
              </w:rPr>
            </w:pPr>
          </w:p>
        </w:tc>
        <w:tc>
          <w:tcPr>
            <w:tcW w:w="960" w:type="dxa"/>
            <w:vAlign w:val="bottom"/>
            <w:vMerge w:val="restart"/>
          </w:tcPr>
          <w:p>
            <w:pPr>
              <w:jc w:val="center"/>
              <w:ind w:right="77"/>
              <w:spacing w:after="0" w:line="134" w:lineRule="exact"/>
              <w:rPr>
                <w:sz w:val="20"/>
                <w:szCs w:val="20"/>
                <w:color w:val="auto"/>
              </w:rPr>
            </w:pPr>
            <w:r>
              <w:rPr>
                <w:rFonts w:ascii="Arial" w:cs="Arial" w:eastAsia="Arial" w:hAnsi="Arial"/>
                <w:sz w:val="13"/>
                <w:szCs w:val="13"/>
                <w:color w:val="auto"/>
                <w:w w:val="89"/>
              </w:rPr>
              <w:t>Stockholders’</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0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2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tcPr>
          <w:p>
            <w:pPr>
              <w:spacing w:after="0"/>
              <w:rPr>
                <w:sz w:val="20"/>
                <w:szCs w:val="20"/>
                <w:color w:val="auto"/>
              </w:rPr>
            </w:pPr>
            <w:r>
              <w:rPr>
                <w:rFonts w:ascii="Arial" w:cs="Arial" w:eastAsia="Arial" w:hAnsi="Arial"/>
                <w:sz w:val="13"/>
                <w:szCs w:val="13"/>
                <w:i w:val="1"/>
                <w:iCs w:val="1"/>
                <w:color w:val="auto"/>
              </w:rPr>
              <w:t>(in thousands, except share data)</w:t>
            </w:r>
          </w:p>
        </w:tc>
        <w:tc>
          <w:tcPr>
            <w:tcW w:w="9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Shares</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w w:val="94"/>
              </w:rPr>
              <w:t>Par Value</w:t>
            </w: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color w:val="auto"/>
                <w:w w:val="93"/>
              </w:rPr>
              <w:t>Capital</w:t>
            </w:r>
          </w:p>
        </w:tc>
        <w:tc>
          <w:tcPr>
            <w:tcW w:w="94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color w:val="auto"/>
              </w:rPr>
              <w:t>Shares</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color w:val="auto"/>
              </w:rPr>
              <w:t>Amount</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w w:val="97"/>
              </w:rPr>
              <w:t>Earnings</w:t>
            </w: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37"/>
              <w:spacing w:after="0"/>
              <w:rPr>
                <w:sz w:val="20"/>
                <w:szCs w:val="20"/>
                <w:color w:val="auto"/>
              </w:rPr>
            </w:pPr>
            <w:r>
              <w:rPr>
                <w:rFonts w:ascii="Arial" w:cs="Arial" w:eastAsia="Arial" w:hAnsi="Arial"/>
                <w:sz w:val="13"/>
                <w:szCs w:val="13"/>
                <w:color w:val="auto"/>
                <w:w w:val="87"/>
              </w:rPr>
              <w:t>Loss</w:t>
            </w: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color w:val="auto"/>
                <w:w w:val="93"/>
              </w:rPr>
              <w:t>Equity</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3"/>
                <w:szCs w:val="13"/>
                <w:color w:val="auto"/>
              </w:rPr>
              <w:t>Balance as of August 31, 2021</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41,163,192</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412</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1,048,305</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3,547,773</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(905,917)</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912,515</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(38,962)</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1,016,353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60" w:type="dxa"/>
            <w:vAlign w:val="bottom"/>
          </w:tcPr>
          <w:p>
            <w:pPr>
              <w:ind w:left="120"/>
              <w:spacing w:after="0"/>
              <w:rPr>
                <w:sz w:val="20"/>
                <w:szCs w:val="20"/>
                <w:color w:val="auto"/>
              </w:rPr>
            </w:pPr>
            <w:r>
              <w:rPr>
                <w:rFonts w:ascii="Arial" w:cs="Arial" w:eastAsia="Arial" w:hAnsi="Arial"/>
                <w:sz w:val="13"/>
                <w:szCs w:val="13"/>
                <w:color w:val="auto"/>
              </w:rPr>
              <w:t>Net income</w:t>
            </w: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292,495</w:t>
            </w: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292,495</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0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comprehensive loss</w:t>
            </w: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(38,172)</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(38,172)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60" w:type="dxa"/>
            <w:vAlign w:val="bottom"/>
          </w:tcPr>
          <w:p>
            <w:pPr>
              <w:ind w:left="120"/>
              <w:spacing w:after="0"/>
              <w:rPr>
                <w:sz w:val="20"/>
                <w:szCs w:val="20"/>
                <w:color w:val="auto"/>
              </w:rPr>
            </w:pPr>
            <w:r>
              <w:rPr>
                <w:rFonts w:ascii="Arial" w:cs="Arial" w:eastAsia="Arial" w:hAnsi="Arial"/>
                <w:sz w:val="13"/>
                <w:szCs w:val="13"/>
                <w:color w:val="auto"/>
              </w:rPr>
              <w:t>Common stock issued for employee stock plans</w:t>
            </w:r>
          </w:p>
        </w:tc>
        <w:tc>
          <w:tcPr>
            <w:tcW w:w="960" w:type="dxa"/>
            <w:vAlign w:val="bottom"/>
          </w:tcPr>
          <w:p>
            <w:pPr>
              <w:jc w:val="right"/>
              <w:spacing w:after="0"/>
              <w:rPr>
                <w:sz w:val="20"/>
                <w:szCs w:val="20"/>
                <w:color w:val="auto"/>
              </w:rPr>
            </w:pPr>
            <w:r>
              <w:rPr>
                <w:rFonts w:ascii="Arial" w:cs="Arial" w:eastAsia="Arial" w:hAnsi="Arial"/>
                <w:sz w:val="13"/>
                <w:szCs w:val="13"/>
                <w:color w:val="auto"/>
              </w:rPr>
              <w:t>391,195</w:t>
            </w:r>
          </w:p>
        </w:tc>
        <w:tc>
          <w:tcPr>
            <w:tcW w:w="18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4</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74,172</w:t>
            </w:r>
          </w:p>
        </w:tc>
        <w:tc>
          <w:tcPr>
            <w:tcW w:w="940" w:type="dxa"/>
            <w:vAlign w:val="bottom"/>
          </w:tcPr>
          <w:p>
            <w:pPr>
              <w:jc w:val="right"/>
              <w:spacing w:after="0"/>
              <w:rPr>
                <w:sz w:val="20"/>
                <w:szCs w:val="20"/>
                <w:color w:val="auto"/>
              </w:rPr>
            </w:pPr>
            <w:r>
              <w:rPr>
                <w:rFonts w:ascii="Arial" w:cs="Arial" w:eastAsia="Arial" w:hAnsi="Arial"/>
                <w:sz w:val="13"/>
                <w:szCs w:val="13"/>
                <w:color w:val="auto"/>
              </w:rPr>
              <w:t>260</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(128)</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74,048</w:t>
            </w:r>
          </w:p>
        </w:tc>
        <w:tc>
          <w:tcPr>
            <w:tcW w:w="0" w:type="dxa"/>
            <w:vAlign w:val="bottom"/>
          </w:tcPr>
          <w:p>
            <w:pPr>
              <w:spacing w:after="0"/>
              <w:rPr>
                <w:sz w:val="1"/>
                <w:szCs w:val="1"/>
                <w:color w:val="auto"/>
              </w:rPr>
            </w:pPr>
          </w:p>
        </w:tc>
      </w:tr>
      <w:tr>
        <w:trPr>
          <w:trHeight w:val="177"/>
        </w:trPr>
        <w:tc>
          <w:tcPr>
            <w:tcW w:w="20" w:type="dxa"/>
            <w:vAlign w:val="bottom"/>
            <w:tcBorders>
              <w:bottom w:val="single" w:sz="8" w:color="CCEEFF"/>
            </w:tcBorders>
            <w:shd w:val="clear" w:color="auto" w:fill="CCEEFF"/>
          </w:tcPr>
          <w:p>
            <w:pPr>
              <w:spacing w:after="0"/>
              <w:rPr>
                <w:sz w:val="15"/>
                <w:szCs w:val="15"/>
                <w:color w:val="auto"/>
              </w:rPr>
            </w:pPr>
          </w:p>
        </w:tc>
        <w:tc>
          <w:tcPr>
            <w:tcW w:w="3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Vesting of restricted stock</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18,384</w:t>
            </w:r>
          </w:p>
        </w:tc>
        <w:tc>
          <w:tcPr>
            <w:tcW w:w="1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7,172</w:t>
            </w:r>
          </w:p>
        </w:tc>
        <w:tc>
          <w:tcPr>
            <w:tcW w:w="2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(3,134)</w:t>
            </w:r>
          </w:p>
        </w:tc>
        <w:tc>
          <w:tcPr>
            <w:tcW w:w="1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(3,134)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60" w:type="dxa"/>
            <w:vAlign w:val="bottom"/>
          </w:tcPr>
          <w:p>
            <w:pPr>
              <w:ind w:left="120"/>
              <w:spacing w:after="0"/>
              <w:rPr>
                <w:sz w:val="20"/>
                <w:szCs w:val="20"/>
                <w:color w:val="auto"/>
              </w:rPr>
            </w:pPr>
            <w:r>
              <w:rPr>
                <w:rFonts w:ascii="Arial" w:cs="Arial" w:eastAsia="Arial" w:hAnsi="Arial"/>
                <w:sz w:val="13"/>
                <w:szCs w:val="13"/>
                <w:color w:val="auto"/>
              </w:rPr>
              <w:t>Repurchases of common stock</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46,200</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(18,639)</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(18,639)</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0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Stock-based compensation expense</w:t>
            </w: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40,604</w:t>
            </w: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40,604</w:t>
            </w: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tcPr>
          <w:p>
            <w:pPr>
              <w:spacing w:after="0"/>
              <w:rPr>
                <w:sz w:val="15"/>
                <w:szCs w:val="15"/>
                <w:color w:val="auto"/>
              </w:rPr>
            </w:pPr>
          </w:p>
        </w:tc>
        <w:tc>
          <w:tcPr>
            <w:tcW w:w="306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Dividends declared</w:t>
            </w:r>
          </w:p>
        </w:tc>
        <w:tc>
          <w:tcPr>
            <w:tcW w:w="9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(95,833)</w:t>
            </w: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(95,833)</w:t>
            </w:r>
          </w:p>
        </w:tc>
        <w:tc>
          <w:tcPr>
            <w:tcW w:w="0" w:type="dxa"/>
            <w:vAlign w:val="bottom"/>
          </w:tcPr>
          <w:p>
            <w:pPr>
              <w:spacing w:after="0"/>
              <w:rPr>
                <w:sz w:val="1"/>
                <w:szCs w:val="1"/>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3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Balance as of May 31, 2022</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41,572,771</w:t>
            </w: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416</w:t>
            </w:r>
          </w:p>
        </w:tc>
        <w:tc>
          <w:tcPr>
            <w:tcW w:w="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1,163,081</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3,601,405</w:t>
            </w:r>
          </w:p>
        </w:tc>
        <w:tc>
          <w:tcPr>
            <w:tcW w:w="2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(927,818)</w:t>
            </w: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1,109,177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(77,134)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1,267,722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THE CONSOLIDATED FINANCIAL STATEMENTS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FactSet Research Systems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May 31,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900" w:type="dxa"/>
            <w:vAlign w:val="bottom"/>
            <w:gridSpan w:val="3"/>
          </w:tcPr>
          <w:p>
            <w:pPr>
              <w:jc w:val="right"/>
              <w:ind w:right="20"/>
              <w:spacing w:after="0"/>
              <w:rPr>
                <w:sz w:val="20"/>
                <w:szCs w:val="20"/>
                <w:color w:val="auto"/>
              </w:rPr>
            </w:pPr>
            <w:r>
              <w:rPr>
                <w:rFonts w:ascii="Arial" w:cs="Arial" w:eastAsia="Arial" w:hAnsi="Arial"/>
                <w:sz w:val="18"/>
                <w:szCs w:val="18"/>
                <w:color w:val="auto"/>
              </w:rPr>
              <w:t>Page</w:t>
            </w: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0000FF"/>
            </w:tcBorders>
            <w:shd w:val="clear" w:color="auto" w:fill="CCEEFF"/>
          </w:tcPr>
          <w:p>
            <w:pPr>
              <w:spacing w:after="0" w:line="195" w:lineRule="exact"/>
              <w:rPr>
                <w:sz w:val="20"/>
                <w:szCs w:val="20"/>
                <w:color w:val="auto"/>
              </w:rPr>
            </w:pPr>
            <w:r>
              <w:rPr>
                <w:rFonts w:ascii="Arial" w:cs="Arial" w:eastAsia="Arial" w:hAnsi="Arial"/>
                <w:sz w:val="18"/>
                <w:szCs w:val="18"/>
                <w:color w:val="0000FF"/>
                <w:w w:val="90"/>
              </w:rPr>
              <w:t>Note 1</w:t>
            </w:r>
          </w:p>
        </w:tc>
        <w:tc>
          <w:tcPr>
            <w:tcW w:w="2620" w:type="dxa"/>
            <w:vAlign w:val="bottom"/>
            <w:tcBorders>
              <w:bottom w:val="single" w:sz="8" w:color="CCEEFF"/>
            </w:tcBorders>
            <w:gridSpan w:val="2"/>
            <w:shd w:val="clear" w:color="auto" w:fill="CCEEFF"/>
          </w:tcPr>
          <w:p>
            <w:pPr>
              <w:spacing w:after="0"/>
              <w:rPr>
                <w:sz w:val="18"/>
                <w:szCs w:val="18"/>
                <w:color w:val="auto"/>
              </w:rPr>
            </w:pPr>
          </w:p>
        </w:tc>
        <w:tc>
          <w:tcPr>
            <w:tcW w:w="1720" w:type="dxa"/>
            <w:vAlign w:val="bottom"/>
            <w:tcBorders>
              <w:bottom w:val="single" w:sz="8" w:color="0000FF"/>
            </w:tcBorders>
            <w:gridSpan w:val="13"/>
            <w:shd w:val="clear" w:color="auto" w:fill="CCEEFF"/>
          </w:tcPr>
          <w:p>
            <w:pPr>
              <w:spacing w:after="0" w:line="195" w:lineRule="exact"/>
              <w:rPr>
                <w:sz w:val="20"/>
                <w:szCs w:val="20"/>
                <w:color w:val="auto"/>
              </w:rPr>
            </w:pPr>
            <w:r>
              <w:rPr>
                <w:rFonts w:ascii="Arial" w:cs="Arial" w:eastAsia="Arial" w:hAnsi="Arial"/>
                <w:sz w:val="18"/>
                <w:szCs w:val="18"/>
                <w:color w:val="0000FF"/>
                <w:w w:val="90"/>
              </w:rPr>
              <w:t>Description of Business</w:t>
            </w:r>
          </w:p>
        </w:tc>
        <w:tc>
          <w:tcPr>
            <w:tcW w:w="1480" w:type="dxa"/>
            <w:vAlign w:val="bottom"/>
            <w:tcBorders>
              <w:bottom w:val="single" w:sz="8" w:color="CCEEFF"/>
            </w:tcBorders>
            <w:gridSpan w:val="3"/>
            <w:shd w:val="clear" w:color="auto" w:fill="CCEEFF"/>
          </w:tcPr>
          <w:p>
            <w:pPr>
              <w:spacing w:after="0"/>
              <w:rPr>
                <w:sz w:val="18"/>
                <w:szCs w:val="18"/>
                <w:color w:val="auto"/>
              </w:rPr>
            </w:pPr>
          </w:p>
        </w:tc>
        <w:tc>
          <w:tcPr>
            <w:tcW w:w="47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right"/>
              <w:spacing w:after="0" w:line="195" w:lineRule="exact"/>
              <w:rPr>
                <w:sz w:val="20"/>
                <w:szCs w:val="20"/>
                <w:color w:val="auto"/>
              </w:rPr>
            </w:pPr>
            <w:r>
              <w:rPr>
                <w:rFonts w:ascii="Arial" w:cs="Arial" w:eastAsia="Arial" w:hAnsi="Arial"/>
                <w:sz w:val="18"/>
                <w:szCs w:val="18"/>
                <w:color w:val="0000FF"/>
                <w:w w:val="79"/>
              </w:rPr>
              <w:t>11</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3120" w:type="dxa"/>
            <w:vAlign w:val="bottom"/>
            <w:gridSpan w:val="3"/>
          </w:tcPr>
          <w:p>
            <w:pPr>
              <w:spacing w:after="0" w:line="189" w:lineRule="exact"/>
              <w:rPr>
                <w:sz w:val="20"/>
                <w:szCs w:val="20"/>
                <w:color w:val="auto"/>
              </w:rPr>
            </w:pPr>
            <w:r>
              <w:rPr>
                <w:rFonts w:ascii="Arial" w:cs="Arial" w:eastAsia="Arial" w:hAnsi="Arial"/>
                <w:sz w:val="18"/>
                <w:szCs w:val="18"/>
                <w:color w:val="0000FF"/>
              </w:rPr>
              <w:t>Note 2</w:t>
            </w:r>
          </w:p>
        </w:tc>
        <w:tc>
          <w:tcPr>
            <w:tcW w:w="3200" w:type="dxa"/>
            <w:vAlign w:val="bottom"/>
            <w:gridSpan w:val="16"/>
          </w:tcPr>
          <w:p>
            <w:pPr>
              <w:spacing w:after="0" w:line="189" w:lineRule="exact"/>
              <w:rPr>
                <w:sz w:val="20"/>
                <w:szCs w:val="20"/>
                <w:color w:val="auto"/>
              </w:rPr>
            </w:pPr>
            <w:r>
              <w:rPr>
                <w:rFonts w:ascii="Arial" w:cs="Arial" w:eastAsia="Arial" w:hAnsi="Arial"/>
                <w:sz w:val="18"/>
                <w:szCs w:val="18"/>
                <w:color w:val="0000FF"/>
                <w:w w:val="91"/>
              </w:rPr>
              <w:t>Summary of Significant Accounting Policies</w:t>
            </w:r>
          </w:p>
        </w:tc>
        <w:tc>
          <w:tcPr>
            <w:tcW w:w="4880" w:type="dxa"/>
            <w:vAlign w:val="bottom"/>
            <w:gridSpan w:val="2"/>
          </w:tcPr>
          <w:p>
            <w:pPr>
              <w:jc w:val="right"/>
              <w:spacing w:after="0" w:line="189" w:lineRule="exact"/>
              <w:rPr>
                <w:sz w:val="20"/>
                <w:szCs w:val="20"/>
                <w:color w:val="auto"/>
              </w:rPr>
            </w:pPr>
            <w:r>
              <w:rPr>
                <w:rFonts w:ascii="Arial" w:cs="Arial" w:eastAsia="Arial" w:hAnsi="Arial"/>
                <w:sz w:val="18"/>
                <w:szCs w:val="18"/>
                <w:color w:val="0000FF"/>
              </w:rPr>
              <w:t>11</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90"/>
              </w:rPr>
              <w:t>Note 3</w:t>
            </w:r>
          </w:p>
        </w:tc>
        <w:tc>
          <w:tcPr>
            <w:tcW w:w="2620" w:type="dxa"/>
            <w:vAlign w:val="bottom"/>
            <w:gridSpan w:val="2"/>
            <w:shd w:val="clear" w:color="auto" w:fill="CCEEFF"/>
          </w:tcPr>
          <w:p>
            <w:pPr>
              <w:spacing w:after="0"/>
              <w:rPr>
                <w:sz w:val="19"/>
                <w:szCs w:val="19"/>
                <w:color w:val="auto"/>
              </w:rPr>
            </w:pPr>
          </w:p>
        </w:tc>
        <w:tc>
          <w:tcPr>
            <w:tcW w:w="3200" w:type="dxa"/>
            <w:vAlign w:val="bottom"/>
            <w:gridSpan w:val="16"/>
            <w:shd w:val="clear" w:color="auto" w:fill="CCEEFF"/>
          </w:tcPr>
          <w:p>
            <w:pPr>
              <w:spacing w:after="0" w:line="189" w:lineRule="exact"/>
              <w:rPr>
                <w:sz w:val="20"/>
                <w:szCs w:val="20"/>
                <w:color w:val="auto"/>
              </w:rPr>
            </w:pPr>
            <w:r>
              <w:rPr>
                <w:rFonts w:ascii="Arial" w:cs="Arial" w:eastAsia="Arial" w:hAnsi="Arial"/>
                <w:sz w:val="18"/>
                <w:szCs w:val="18"/>
                <w:color w:val="0000FF"/>
              </w:rPr>
              <w:t>Revenue Recognition</w:t>
            </w:r>
          </w:p>
        </w:tc>
        <w:tc>
          <w:tcPr>
            <w:tcW w:w="48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0000FF"/>
              </w:rPr>
              <w:t>13</w:t>
            </w:r>
          </w:p>
        </w:tc>
        <w:tc>
          <w:tcPr>
            <w:tcW w:w="20" w:type="dxa"/>
            <w:vAlign w:val="bottom"/>
            <w:shd w:val="clear" w:color="auto" w:fill="CCEEFF"/>
          </w:tcPr>
          <w:p>
            <w:pPr>
              <w:spacing w:after="0"/>
              <w:rPr>
                <w:sz w:val="19"/>
                <w:szCs w:val="19"/>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00" w:type="dxa"/>
            <w:vAlign w:val="bottom"/>
            <w:tcBorders>
              <w:top w:val="single" w:sz="8" w:color="0000FF"/>
            </w:tcBorders>
          </w:tcPr>
          <w:p>
            <w:pPr>
              <w:spacing w:after="0" w:line="189" w:lineRule="exact"/>
              <w:rPr>
                <w:sz w:val="20"/>
                <w:szCs w:val="20"/>
                <w:color w:val="auto"/>
              </w:rPr>
            </w:pPr>
            <w:r>
              <w:rPr>
                <w:rFonts w:ascii="Arial" w:cs="Arial" w:eastAsia="Arial" w:hAnsi="Arial"/>
                <w:sz w:val="18"/>
                <w:szCs w:val="18"/>
                <w:color w:val="0000FF"/>
                <w:w w:val="90"/>
              </w:rPr>
              <w:t>Note 4</w:t>
            </w:r>
          </w:p>
        </w:tc>
        <w:tc>
          <w:tcPr>
            <w:tcW w:w="2620" w:type="dxa"/>
            <w:vAlign w:val="bottom"/>
            <w:tcBorders>
              <w:top w:val="single" w:sz="8" w:color="CCEEFF"/>
            </w:tcBorders>
            <w:gridSpan w:val="2"/>
          </w:tcPr>
          <w:p>
            <w:pPr>
              <w:spacing w:after="0"/>
              <w:rPr>
                <w:sz w:val="16"/>
                <w:szCs w:val="16"/>
                <w:color w:val="auto"/>
              </w:rPr>
            </w:pPr>
          </w:p>
        </w:tc>
        <w:tc>
          <w:tcPr>
            <w:tcW w:w="1540" w:type="dxa"/>
            <w:vAlign w:val="bottom"/>
            <w:tcBorders>
              <w:top w:val="single" w:sz="8" w:color="0000FF"/>
            </w:tcBorders>
            <w:gridSpan w:val="11"/>
          </w:tcPr>
          <w:p>
            <w:pPr>
              <w:spacing w:after="0" w:line="189" w:lineRule="exact"/>
              <w:rPr>
                <w:sz w:val="20"/>
                <w:szCs w:val="20"/>
                <w:color w:val="auto"/>
              </w:rPr>
            </w:pPr>
            <w:r>
              <w:rPr>
                <w:rFonts w:ascii="Arial" w:cs="Arial" w:eastAsia="Arial" w:hAnsi="Arial"/>
                <w:sz w:val="18"/>
                <w:szCs w:val="18"/>
                <w:color w:val="0000FF"/>
                <w:w w:val="91"/>
              </w:rPr>
              <w:t>Fair Value Measures</w:t>
            </w:r>
          </w:p>
        </w:tc>
        <w:tc>
          <w:tcPr>
            <w:tcW w:w="1660" w:type="dxa"/>
            <w:vAlign w:val="bottom"/>
            <w:tcBorders>
              <w:top w:val="single" w:sz="8" w:color="CCEEFF"/>
            </w:tcBorders>
            <w:gridSpan w:val="5"/>
          </w:tcPr>
          <w:p>
            <w:pPr>
              <w:spacing w:after="0"/>
              <w:rPr>
                <w:sz w:val="16"/>
                <w:szCs w:val="16"/>
                <w:color w:val="auto"/>
              </w:rPr>
            </w:pPr>
          </w:p>
        </w:tc>
        <w:tc>
          <w:tcPr>
            <w:tcW w:w="4700" w:type="dxa"/>
            <w:vAlign w:val="bottom"/>
            <w:tcBorders>
              <w:top w:val="single" w:sz="8" w:color="CCEEFF"/>
            </w:tcBorders>
          </w:tcPr>
          <w:p>
            <w:pPr>
              <w:spacing w:after="0"/>
              <w:rPr>
                <w:sz w:val="16"/>
                <w:szCs w:val="16"/>
                <w:color w:val="auto"/>
              </w:rPr>
            </w:pPr>
          </w:p>
        </w:tc>
        <w:tc>
          <w:tcPr>
            <w:tcW w:w="180" w:type="dxa"/>
            <w:vAlign w:val="bottom"/>
            <w:tcBorders>
              <w:top w:val="single" w:sz="8" w:color="0000FF"/>
            </w:tcBorders>
          </w:tcPr>
          <w:p>
            <w:pPr>
              <w:jc w:val="right"/>
              <w:spacing w:after="0" w:line="189" w:lineRule="exact"/>
              <w:rPr>
                <w:sz w:val="20"/>
                <w:szCs w:val="20"/>
                <w:color w:val="auto"/>
              </w:rPr>
            </w:pPr>
            <w:r>
              <w:rPr>
                <w:rFonts w:ascii="Arial" w:cs="Arial" w:eastAsia="Arial" w:hAnsi="Arial"/>
                <w:sz w:val="18"/>
                <w:szCs w:val="18"/>
                <w:color w:val="0000FF"/>
                <w:w w:val="79"/>
              </w:rPr>
              <w:t>14</w:t>
            </w:r>
          </w:p>
        </w:tc>
        <w:tc>
          <w:tcPr>
            <w:tcW w:w="20" w:type="dxa"/>
            <w:vAlign w:val="bottom"/>
            <w:tcBorders>
              <w:top w:val="single" w:sz="8" w:color="CCEEFF"/>
            </w:tcBorders>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90"/>
              </w:rPr>
              <w:t>Note 5</w:t>
            </w:r>
          </w:p>
        </w:tc>
        <w:tc>
          <w:tcPr>
            <w:tcW w:w="2620" w:type="dxa"/>
            <w:vAlign w:val="bottom"/>
            <w:gridSpan w:val="2"/>
            <w:shd w:val="clear" w:color="auto" w:fill="CCEEFF"/>
          </w:tcPr>
          <w:p>
            <w:pPr>
              <w:spacing w:after="0"/>
              <w:rPr>
                <w:sz w:val="18"/>
                <w:szCs w:val="18"/>
                <w:color w:val="auto"/>
              </w:rPr>
            </w:pPr>
          </w:p>
        </w:tc>
        <w:tc>
          <w:tcPr>
            <w:tcW w:w="3200" w:type="dxa"/>
            <w:vAlign w:val="bottom"/>
            <w:gridSpan w:val="16"/>
            <w:shd w:val="clear" w:color="auto" w:fill="CCEEFF"/>
          </w:tcPr>
          <w:p>
            <w:pPr>
              <w:spacing w:after="0" w:line="189" w:lineRule="exact"/>
              <w:rPr>
                <w:sz w:val="20"/>
                <w:szCs w:val="20"/>
                <w:color w:val="auto"/>
              </w:rPr>
            </w:pPr>
            <w:r>
              <w:rPr>
                <w:rFonts w:ascii="Arial" w:cs="Arial" w:eastAsia="Arial" w:hAnsi="Arial"/>
                <w:sz w:val="18"/>
                <w:szCs w:val="18"/>
                <w:color w:val="0000FF"/>
              </w:rPr>
              <w:t>Derivative Instruments</w:t>
            </w:r>
          </w:p>
        </w:tc>
        <w:tc>
          <w:tcPr>
            <w:tcW w:w="48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0000FF"/>
              </w:rPr>
              <w:t>17</w:t>
            </w:r>
          </w:p>
        </w:tc>
        <w:tc>
          <w:tcPr>
            <w:tcW w:w="2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00" w:type="dxa"/>
            <w:vAlign w:val="bottom"/>
            <w:tcBorders>
              <w:top w:val="single" w:sz="8" w:color="0000FF"/>
            </w:tcBorders>
          </w:tcPr>
          <w:p>
            <w:pPr>
              <w:spacing w:after="0" w:line="189" w:lineRule="exact"/>
              <w:rPr>
                <w:sz w:val="20"/>
                <w:szCs w:val="20"/>
                <w:color w:val="auto"/>
              </w:rPr>
            </w:pPr>
            <w:r>
              <w:rPr>
                <w:rFonts w:ascii="Arial" w:cs="Arial" w:eastAsia="Arial" w:hAnsi="Arial"/>
                <w:sz w:val="18"/>
                <w:szCs w:val="18"/>
                <w:color w:val="0000FF"/>
                <w:w w:val="90"/>
              </w:rPr>
              <w:t>Note 6</w:t>
            </w:r>
          </w:p>
        </w:tc>
        <w:tc>
          <w:tcPr>
            <w:tcW w:w="2620" w:type="dxa"/>
            <w:vAlign w:val="bottom"/>
            <w:tcBorders>
              <w:top w:val="single" w:sz="8" w:color="CCEEFF"/>
            </w:tcBorders>
            <w:gridSpan w:val="2"/>
          </w:tcPr>
          <w:p>
            <w:pPr>
              <w:spacing w:after="0"/>
              <w:rPr>
                <w:sz w:val="16"/>
                <w:szCs w:val="16"/>
                <w:color w:val="auto"/>
              </w:rPr>
            </w:pPr>
          </w:p>
        </w:tc>
        <w:tc>
          <w:tcPr>
            <w:tcW w:w="1640" w:type="dxa"/>
            <w:vAlign w:val="bottom"/>
            <w:tcBorders>
              <w:top w:val="single" w:sz="8" w:color="0000FF"/>
            </w:tcBorders>
            <w:gridSpan w:val="12"/>
          </w:tcPr>
          <w:p>
            <w:pPr>
              <w:spacing w:after="0" w:line="189" w:lineRule="exact"/>
              <w:rPr>
                <w:sz w:val="20"/>
                <w:szCs w:val="20"/>
                <w:color w:val="auto"/>
              </w:rPr>
            </w:pPr>
            <w:r>
              <w:rPr>
                <w:rFonts w:ascii="Arial" w:cs="Arial" w:eastAsia="Arial" w:hAnsi="Arial"/>
                <w:sz w:val="18"/>
                <w:szCs w:val="18"/>
                <w:color w:val="0000FF"/>
              </w:rPr>
              <w:t>Acquisitions</w:t>
            </w:r>
          </w:p>
        </w:tc>
        <w:tc>
          <w:tcPr>
            <w:tcW w:w="1560" w:type="dxa"/>
            <w:vAlign w:val="bottom"/>
            <w:tcBorders>
              <w:top w:val="single" w:sz="8" w:color="CCEEFF"/>
            </w:tcBorders>
            <w:gridSpan w:val="4"/>
          </w:tcPr>
          <w:p>
            <w:pPr>
              <w:spacing w:after="0"/>
              <w:rPr>
                <w:sz w:val="16"/>
                <w:szCs w:val="16"/>
                <w:color w:val="auto"/>
              </w:rPr>
            </w:pPr>
          </w:p>
        </w:tc>
        <w:tc>
          <w:tcPr>
            <w:tcW w:w="4700" w:type="dxa"/>
            <w:vAlign w:val="bottom"/>
            <w:tcBorders>
              <w:top w:val="single" w:sz="8" w:color="CCEEFF"/>
            </w:tcBorders>
          </w:tcPr>
          <w:p>
            <w:pPr>
              <w:spacing w:after="0"/>
              <w:rPr>
                <w:sz w:val="16"/>
                <w:szCs w:val="16"/>
                <w:color w:val="auto"/>
              </w:rPr>
            </w:pPr>
          </w:p>
        </w:tc>
        <w:tc>
          <w:tcPr>
            <w:tcW w:w="180" w:type="dxa"/>
            <w:vAlign w:val="bottom"/>
            <w:tcBorders>
              <w:top w:val="single" w:sz="8" w:color="0000FF"/>
            </w:tcBorders>
          </w:tcPr>
          <w:p>
            <w:pPr>
              <w:jc w:val="right"/>
              <w:spacing w:after="0" w:line="189" w:lineRule="exact"/>
              <w:rPr>
                <w:sz w:val="20"/>
                <w:szCs w:val="20"/>
                <w:color w:val="auto"/>
              </w:rPr>
            </w:pPr>
            <w:r>
              <w:rPr>
                <w:rFonts w:ascii="Arial" w:cs="Arial" w:eastAsia="Arial" w:hAnsi="Arial"/>
                <w:sz w:val="18"/>
                <w:szCs w:val="18"/>
                <w:color w:val="0000FF"/>
                <w:w w:val="79"/>
              </w:rPr>
              <w:t>19</w:t>
            </w:r>
          </w:p>
        </w:tc>
        <w:tc>
          <w:tcPr>
            <w:tcW w:w="20" w:type="dxa"/>
            <w:vAlign w:val="bottom"/>
            <w:tcBorders>
              <w:top w:val="single" w:sz="8" w:color="CCEEFF"/>
            </w:tcBorders>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0000FF"/>
            </w:tcBorders>
            <w:shd w:val="clear" w:color="auto" w:fill="CCEEFF"/>
          </w:tcPr>
          <w:p>
            <w:pPr>
              <w:spacing w:after="0" w:line="189" w:lineRule="exact"/>
              <w:rPr>
                <w:sz w:val="20"/>
                <w:szCs w:val="20"/>
                <w:color w:val="auto"/>
              </w:rPr>
            </w:pPr>
            <w:r>
              <w:rPr>
                <w:rFonts w:ascii="Arial" w:cs="Arial" w:eastAsia="Arial" w:hAnsi="Arial"/>
                <w:sz w:val="18"/>
                <w:szCs w:val="18"/>
                <w:color w:val="0000FF"/>
                <w:w w:val="90"/>
              </w:rPr>
              <w:t>Note 7</w:t>
            </w:r>
          </w:p>
        </w:tc>
        <w:tc>
          <w:tcPr>
            <w:tcW w:w="2620" w:type="dxa"/>
            <w:vAlign w:val="bottom"/>
            <w:tcBorders>
              <w:bottom w:val="single" w:sz="8" w:color="CCEEFF"/>
            </w:tcBorders>
            <w:gridSpan w:val="2"/>
            <w:shd w:val="clear" w:color="auto" w:fill="CCEEFF"/>
          </w:tcPr>
          <w:p>
            <w:pPr>
              <w:spacing w:after="0"/>
              <w:rPr>
                <w:sz w:val="19"/>
                <w:szCs w:val="19"/>
                <w:color w:val="auto"/>
              </w:rPr>
            </w:pPr>
          </w:p>
        </w:tc>
        <w:tc>
          <w:tcPr>
            <w:tcW w:w="680" w:type="dxa"/>
            <w:vAlign w:val="bottom"/>
            <w:tcBorders>
              <w:bottom w:val="single" w:sz="8" w:color="0000FF"/>
            </w:tcBorders>
            <w:gridSpan w:val="3"/>
            <w:shd w:val="clear" w:color="auto" w:fill="CCEEFF"/>
          </w:tcPr>
          <w:p>
            <w:pPr>
              <w:spacing w:after="0" w:line="189" w:lineRule="exact"/>
              <w:rPr>
                <w:sz w:val="20"/>
                <w:szCs w:val="20"/>
                <w:color w:val="auto"/>
              </w:rPr>
            </w:pPr>
            <w:r>
              <w:rPr>
                <w:rFonts w:ascii="Arial" w:cs="Arial" w:eastAsia="Arial" w:hAnsi="Arial"/>
                <w:sz w:val="18"/>
                <w:szCs w:val="18"/>
                <w:color w:val="0000FF"/>
                <w:w w:val="95"/>
              </w:rPr>
              <w:t>Goodwill</w:t>
            </w:r>
          </w:p>
        </w:tc>
        <w:tc>
          <w:tcPr>
            <w:tcW w:w="2520" w:type="dxa"/>
            <w:vAlign w:val="bottom"/>
            <w:tcBorders>
              <w:bottom w:val="single" w:sz="8" w:color="CCEEFF"/>
            </w:tcBorders>
            <w:gridSpan w:val="13"/>
            <w:shd w:val="clear" w:color="auto" w:fill="CCEEFF"/>
          </w:tcPr>
          <w:p>
            <w:pPr>
              <w:spacing w:after="0"/>
              <w:rPr>
                <w:sz w:val="19"/>
                <w:szCs w:val="19"/>
                <w:color w:val="auto"/>
              </w:rPr>
            </w:pPr>
          </w:p>
        </w:tc>
        <w:tc>
          <w:tcPr>
            <w:tcW w:w="47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0000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w w:val="79"/>
              </w:rPr>
              <w:t>21</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3120" w:type="dxa"/>
            <w:vAlign w:val="bottom"/>
            <w:gridSpan w:val="3"/>
          </w:tcPr>
          <w:p>
            <w:pPr>
              <w:spacing w:after="0" w:line="189" w:lineRule="exact"/>
              <w:rPr>
                <w:sz w:val="20"/>
                <w:szCs w:val="20"/>
                <w:color w:val="auto"/>
              </w:rPr>
            </w:pPr>
            <w:r>
              <w:rPr>
                <w:rFonts w:ascii="Arial" w:cs="Arial" w:eastAsia="Arial" w:hAnsi="Arial"/>
                <w:sz w:val="18"/>
                <w:szCs w:val="18"/>
                <w:color w:val="0000FF"/>
              </w:rPr>
              <w:t>Note 8</w:t>
            </w:r>
          </w:p>
        </w:tc>
        <w:tc>
          <w:tcPr>
            <w:tcW w:w="3200" w:type="dxa"/>
            <w:vAlign w:val="bottom"/>
            <w:gridSpan w:val="16"/>
          </w:tcPr>
          <w:p>
            <w:pPr>
              <w:spacing w:after="0" w:line="189" w:lineRule="exact"/>
              <w:rPr>
                <w:sz w:val="20"/>
                <w:szCs w:val="20"/>
                <w:color w:val="auto"/>
              </w:rPr>
            </w:pPr>
            <w:r>
              <w:rPr>
                <w:rFonts w:ascii="Arial" w:cs="Arial" w:eastAsia="Arial" w:hAnsi="Arial"/>
                <w:sz w:val="18"/>
                <w:szCs w:val="18"/>
                <w:color w:val="0000FF"/>
              </w:rPr>
              <w:t>Intangible Assets</w:t>
            </w:r>
          </w:p>
        </w:tc>
        <w:tc>
          <w:tcPr>
            <w:tcW w:w="4880" w:type="dxa"/>
            <w:vAlign w:val="bottom"/>
            <w:gridSpan w:val="2"/>
          </w:tcPr>
          <w:p>
            <w:pPr>
              <w:jc w:val="right"/>
              <w:spacing w:after="0" w:line="189" w:lineRule="exact"/>
              <w:rPr>
                <w:sz w:val="20"/>
                <w:szCs w:val="20"/>
                <w:color w:val="auto"/>
              </w:rPr>
            </w:pPr>
            <w:r>
              <w:rPr>
                <w:rFonts w:ascii="Arial" w:cs="Arial" w:eastAsia="Arial" w:hAnsi="Arial"/>
                <w:sz w:val="18"/>
                <w:szCs w:val="18"/>
                <w:color w:val="0000FF"/>
              </w:rPr>
              <w:t>21</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90"/>
              </w:rPr>
              <w:t>Note 9</w:t>
            </w:r>
          </w:p>
        </w:tc>
        <w:tc>
          <w:tcPr>
            <w:tcW w:w="2620" w:type="dxa"/>
            <w:vAlign w:val="bottom"/>
            <w:gridSpan w:val="2"/>
            <w:shd w:val="clear" w:color="auto" w:fill="CCEEFF"/>
          </w:tcPr>
          <w:p>
            <w:pPr>
              <w:spacing w:after="0"/>
              <w:rPr>
                <w:sz w:val="16"/>
                <w:szCs w:val="16"/>
                <w:color w:val="auto"/>
              </w:rPr>
            </w:pPr>
          </w:p>
        </w:tc>
        <w:tc>
          <w:tcPr>
            <w:tcW w:w="3200" w:type="dxa"/>
            <w:vAlign w:val="bottom"/>
            <w:gridSpan w:val="16"/>
            <w:shd w:val="clear" w:color="auto" w:fill="CCEEFF"/>
          </w:tcPr>
          <w:p>
            <w:pPr>
              <w:spacing w:after="0" w:line="189" w:lineRule="exact"/>
              <w:rPr>
                <w:sz w:val="20"/>
                <w:szCs w:val="20"/>
                <w:color w:val="auto"/>
              </w:rPr>
            </w:pPr>
            <w:r>
              <w:rPr>
                <w:rFonts w:ascii="Arial" w:cs="Arial" w:eastAsia="Arial" w:hAnsi="Arial"/>
                <w:sz w:val="18"/>
                <w:szCs w:val="18"/>
                <w:color w:val="0000FF"/>
              </w:rPr>
              <w:t>Income Taxes</w:t>
            </w:r>
          </w:p>
        </w:tc>
        <w:tc>
          <w:tcPr>
            <w:tcW w:w="48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0000FF"/>
              </w:rPr>
              <w:t>22</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120" w:type="dxa"/>
            <w:vAlign w:val="bottom"/>
            <w:gridSpan w:val="3"/>
          </w:tcPr>
          <w:p>
            <w:pPr>
              <w:spacing w:after="0" w:line="189" w:lineRule="exact"/>
              <w:rPr>
                <w:sz w:val="20"/>
                <w:szCs w:val="20"/>
                <w:color w:val="auto"/>
              </w:rPr>
            </w:pPr>
            <w:r>
              <w:rPr>
                <w:rFonts w:ascii="Arial" w:cs="Arial" w:eastAsia="Arial" w:hAnsi="Arial"/>
                <w:sz w:val="18"/>
                <w:szCs w:val="18"/>
                <w:color w:val="0000FF"/>
              </w:rPr>
              <w:t>Note 10</w:t>
            </w:r>
          </w:p>
        </w:tc>
        <w:tc>
          <w:tcPr>
            <w:tcW w:w="3200" w:type="dxa"/>
            <w:vAlign w:val="bottom"/>
            <w:gridSpan w:val="16"/>
          </w:tcPr>
          <w:p>
            <w:pPr>
              <w:spacing w:after="0" w:line="189" w:lineRule="exact"/>
              <w:rPr>
                <w:sz w:val="20"/>
                <w:szCs w:val="20"/>
                <w:color w:val="auto"/>
              </w:rPr>
            </w:pPr>
            <w:r>
              <w:rPr>
                <w:rFonts w:ascii="Arial" w:cs="Arial" w:eastAsia="Arial" w:hAnsi="Arial"/>
                <w:sz w:val="18"/>
                <w:szCs w:val="18"/>
                <w:color w:val="0000FF"/>
              </w:rPr>
              <w:t>Leases</w:t>
            </w:r>
          </w:p>
        </w:tc>
        <w:tc>
          <w:tcPr>
            <w:tcW w:w="4880" w:type="dxa"/>
            <w:vAlign w:val="bottom"/>
            <w:gridSpan w:val="2"/>
          </w:tcPr>
          <w:p>
            <w:pPr>
              <w:jc w:val="right"/>
              <w:spacing w:after="0" w:line="189" w:lineRule="exact"/>
              <w:rPr>
                <w:sz w:val="20"/>
                <w:szCs w:val="20"/>
                <w:color w:val="auto"/>
              </w:rPr>
            </w:pPr>
            <w:r>
              <w:rPr>
                <w:rFonts w:ascii="Arial" w:cs="Arial" w:eastAsia="Arial" w:hAnsi="Arial"/>
                <w:sz w:val="18"/>
                <w:szCs w:val="18"/>
                <w:color w:val="0000FF"/>
              </w:rPr>
              <w:t>23</w:t>
            </w:r>
          </w:p>
        </w:tc>
        <w:tc>
          <w:tcPr>
            <w:tcW w:w="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540" w:type="dxa"/>
            <w:vAlign w:val="bottom"/>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0000FF"/>
                <w:w w:val="88"/>
              </w:rPr>
              <w:t>Note 11</w:t>
            </w:r>
          </w:p>
        </w:tc>
        <w:tc>
          <w:tcPr>
            <w:tcW w:w="2540" w:type="dxa"/>
            <w:vAlign w:val="bottom"/>
            <w:shd w:val="clear" w:color="auto" w:fill="CCEEFF"/>
          </w:tcPr>
          <w:p>
            <w:pPr>
              <w:spacing w:after="0"/>
              <w:rPr>
                <w:sz w:val="16"/>
                <w:szCs w:val="16"/>
                <w:color w:val="auto"/>
              </w:rPr>
            </w:pPr>
          </w:p>
        </w:tc>
        <w:tc>
          <w:tcPr>
            <w:tcW w:w="3200" w:type="dxa"/>
            <w:vAlign w:val="bottom"/>
            <w:gridSpan w:val="16"/>
            <w:shd w:val="clear" w:color="auto" w:fill="CCEEFF"/>
          </w:tcPr>
          <w:p>
            <w:pPr>
              <w:spacing w:after="0" w:line="189" w:lineRule="exact"/>
              <w:rPr>
                <w:sz w:val="20"/>
                <w:szCs w:val="20"/>
                <w:color w:val="auto"/>
              </w:rPr>
            </w:pPr>
            <w:r>
              <w:rPr>
                <w:rFonts w:ascii="Arial" w:cs="Arial" w:eastAsia="Arial" w:hAnsi="Arial"/>
                <w:sz w:val="18"/>
                <w:szCs w:val="18"/>
                <w:color w:val="0000FF"/>
              </w:rPr>
              <w:t>Debt</w:t>
            </w:r>
          </w:p>
        </w:tc>
        <w:tc>
          <w:tcPr>
            <w:tcW w:w="48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0000FF"/>
              </w:rPr>
              <w:t>25</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120" w:type="dxa"/>
            <w:vAlign w:val="bottom"/>
            <w:gridSpan w:val="3"/>
          </w:tcPr>
          <w:p>
            <w:pPr>
              <w:spacing w:after="0" w:line="189" w:lineRule="exact"/>
              <w:rPr>
                <w:sz w:val="20"/>
                <w:szCs w:val="20"/>
                <w:color w:val="auto"/>
              </w:rPr>
            </w:pPr>
            <w:r>
              <w:rPr>
                <w:rFonts w:ascii="Arial" w:cs="Arial" w:eastAsia="Arial" w:hAnsi="Arial"/>
                <w:sz w:val="18"/>
                <w:szCs w:val="18"/>
                <w:color w:val="0000FF"/>
              </w:rPr>
              <w:t>Note 12</w:t>
            </w:r>
          </w:p>
        </w:tc>
        <w:tc>
          <w:tcPr>
            <w:tcW w:w="3200" w:type="dxa"/>
            <w:vAlign w:val="bottom"/>
            <w:gridSpan w:val="16"/>
          </w:tcPr>
          <w:p>
            <w:pPr>
              <w:spacing w:after="0" w:line="189" w:lineRule="exact"/>
              <w:rPr>
                <w:sz w:val="20"/>
                <w:szCs w:val="20"/>
                <w:color w:val="auto"/>
              </w:rPr>
            </w:pPr>
            <w:r>
              <w:rPr>
                <w:rFonts w:ascii="Arial" w:cs="Arial" w:eastAsia="Arial" w:hAnsi="Arial"/>
                <w:sz w:val="18"/>
                <w:szCs w:val="18"/>
                <w:color w:val="0000FF"/>
              </w:rPr>
              <w:t>Commitments and Contingencies</w:t>
            </w:r>
          </w:p>
        </w:tc>
        <w:tc>
          <w:tcPr>
            <w:tcW w:w="4880" w:type="dxa"/>
            <w:vAlign w:val="bottom"/>
            <w:gridSpan w:val="2"/>
          </w:tcPr>
          <w:p>
            <w:pPr>
              <w:jc w:val="right"/>
              <w:spacing w:after="0" w:line="189" w:lineRule="exact"/>
              <w:rPr>
                <w:sz w:val="20"/>
                <w:szCs w:val="20"/>
                <w:color w:val="auto"/>
              </w:rPr>
            </w:pPr>
            <w:r>
              <w:rPr>
                <w:rFonts w:ascii="Arial" w:cs="Arial" w:eastAsia="Arial" w:hAnsi="Arial"/>
                <w:sz w:val="18"/>
                <w:szCs w:val="18"/>
                <w:color w:val="0000FF"/>
              </w:rPr>
              <w:t>27</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12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0000FF"/>
              </w:rPr>
              <w:t>Note 13</w:t>
            </w:r>
          </w:p>
        </w:tc>
        <w:tc>
          <w:tcPr>
            <w:tcW w:w="3200" w:type="dxa"/>
            <w:vAlign w:val="bottom"/>
            <w:gridSpan w:val="16"/>
            <w:shd w:val="clear" w:color="auto" w:fill="CCEEFF"/>
          </w:tcPr>
          <w:p>
            <w:pPr>
              <w:spacing w:after="0" w:line="189" w:lineRule="exact"/>
              <w:rPr>
                <w:sz w:val="20"/>
                <w:szCs w:val="20"/>
                <w:color w:val="auto"/>
              </w:rPr>
            </w:pPr>
            <w:r>
              <w:rPr>
                <w:rFonts w:ascii="Arial" w:cs="Arial" w:eastAsia="Arial" w:hAnsi="Arial"/>
                <w:sz w:val="18"/>
                <w:szCs w:val="18"/>
                <w:color w:val="0000FF"/>
              </w:rPr>
              <w:t>Stockholders' Equity</w:t>
            </w:r>
          </w:p>
        </w:tc>
        <w:tc>
          <w:tcPr>
            <w:tcW w:w="48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0000FF"/>
              </w:rPr>
              <w:t>29</w:t>
            </w:r>
          </w:p>
        </w:tc>
        <w:tc>
          <w:tcPr>
            <w:tcW w:w="20" w:type="dxa"/>
            <w:vAlign w:val="bottom"/>
            <w:shd w:val="clear" w:color="auto" w:fill="CCEEFF"/>
          </w:tcPr>
          <w:p>
            <w:pPr>
              <w:spacing w:after="0"/>
              <w:rPr>
                <w:sz w:val="16"/>
                <w:szCs w:val="16"/>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5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7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3120" w:type="dxa"/>
            <w:vAlign w:val="bottom"/>
            <w:gridSpan w:val="3"/>
          </w:tcPr>
          <w:p>
            <w:pPr>
              <w:spacing w:after="0" w:line="189" w:lineRule="exact"/>
              <w:rPr>
                <w:sz w:val="20"/>
                <w:szCs w:val="20"/>
                <w:color w:val="auto"/>
              </w:rPr>
            </w:pPr>
            <w:r>
              <w:rPr>
                <w:rFonts w:ascii="Arial" w:cs="Arial" w:eastAsia="Arial" w:hAnsi="Arial"/>
                <w:sz w:val="18"/>
                <w:szCs w:val="18"/>
                <w:color w:val="0000FF"/>
              </w:rPr>
              <w:t>Note 14</w:t>
            </w:r>
          </w:p>
        </w:tc>
        <w:tc>
          <w:tcPr>
            <w:tcW w:w="3200" w:type="dxa"/>
            <w:vAlign w:val="bottom"/>
            <w:gridSpan w:val="16"/>
          </w:tcPr>
          <w:p>
            <w:pPr>
              <w:spacing w:after="0" w:line="189" w:lineRule="exact"/>
              <w:rPr>
                <w:sz w:val="20"/>
                <w:szCs w:val="20"/>
                <w:color w:val="auto"/>
              </w:rPr>
            </w:pPr>
            <w:r>
              <w:rPr>
                <w:rFonts w:ascii="Arial" w:cs="Arial" w:eastAsia="Arial" w:hAnsi="Arial"/>
                <w:sz w:val="18"/>
                <w:szCs w:val="18"/>
                <w:color w:val="0000FF"/>
              </w:rPr>
              <w:t>Earnings Per Share</w:t>
            </w:r>
          </w:p>
        </w:tc>
        <w:tc>
          <w:tcPr>
            <w:tcW w:w="4880" w:type="dxa"/>
            <w:vAlign w:val="bottom"/>
            <w:gridSpan w:val="2"/>
          </w:tcPr>
          <w:p>
            <w:pPr>
              <w:jc w:val="right"/>
              <w:spacing w:after="0" w:line="189" w:lineRule="exact"/>
              <w:rPr>
                <w:sz w:val="20"/>
                <w:szCs w:val="20"/>
                <w:color w:val="auto"/>
              </w:rPr>
            </w:pPr>
            <w:r>
              <w:rPr>
                <w:rFonts w:ascii="Arial" w:cs="Arial" w:eastAsia="Arial" w:hAnsi="Arial"/>
                <w:sz w:val="18"/>
                <w:szCs w:val="18"/>
                <w:color w:val="0000FF"/>
              </w:rPr>
              <w:t>30</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12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0000FF"/>
              </w:rPr>
              <w:t>Note 15</w:t>
            </w:r>
          </w:p>
        </w:tc>
        <w:tc>
          <w:tcPr>
            <w:tcW w:w="3200" w:type="dxa"/>
            <w:vAlign w:val="bottom"/>
            <w:gridSpan w:val="16"/>
            <w:shd w:val="clear" w:color="auto" w:fill="CCEEFF"/>
          </w:tcPr>
          <w:p>
            <w:pPr>
              <w:spacing w:after="0" w:line="189" w:lineRule="exact"/>
              <w:rPr>
                <w:sz w:val="20"/>
                <w:szCs w:val="20"/>
                <w:color w:val="auto"/>
              </w:rPr>
            </w:pPr>
            <w:r>
              <w:rPr>
                <w:rFonts w:ascii="Arial" w:cs="Arial" w:eastAsia="Arial" w:hAnsi="Arial"/>
                <w:sz w:val="18"/>
                <w:szCs w:val="18"/>
                <w:color w:val="0000FF"/>
              </w:rPr>
              <w:t>Stock-Based Compensation</w:t>
            </w:r>
          </w:p>
        </w:tc>
        <w:tc>
          <w:tcPr>
            <w:tcW w:w="48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0000FF"/>
              </w:rPr>
              <w:t>31</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120" w:type="dxa"/>
            <w:vAlign w:val="bottom"/>
            <w:gridSpan w:val="3"/>
          </w:tcPr>
          <w:p>
            <w:pPr>
              <w:spacing w:after="0" w:line="189" w:lineRule="exact"/>
              <w:rPr>
                <w:sz w:val="20"/>
                <w:szCs w:val="20"/>
                <w:color w:val="auto"/>
              </w:rPr>
            </w:pPr>
            <w:r>
              <w:rPr>
                <w:rFonts w:ascii="Arial" w:cs="Arial" w:eastAsia="Arial" w:hAnsi="Arial"/>
                <w:sz w:val="18"/>
                <w:szCs w:val="18"/>
                <w:color w:val="0000FF"/>
              </w:rPr>
              <w:t>Note 16</w:t>
            </w:r>
          </w:p>
        </w:tc>
        <w:tc>
          <w:tcPr>
            <w:tcW w:w="3200" w:type="dxa"/>
            <w:vAlign w:val="bottom"/>
            <w:gridSpan w:val="16"/>
          </w:tcPr>
          <w:p>
            <w:pPr>
              <w:spacing w:after="0" w:line="189" w:lineRule="exact"/>
              <w:rPr>
                <w:sz w:val="20"/>
                <w:szCs w:val="20"/>
                <w:color w:val="auto"/>
              </w:rPr>
            </w:pPr>
            <w:r>
              <w:rPr>
                <w:rFonts w:ascii="Arial" w:cs="Arial" w:eastAsia="Arial" w:hAnsi="Arial"/>
                <w:sz w:val="18"/>
                <w:szCs w:val="18"/>
                <w:color w:val="0000FF"/>
              </w:rPr>
              <w:t>Segment Information</w:t>
            </w:r>
          </w:p>
        </w:tc>
        <w:tc>
          <w:tcPr>
            <w:tcW w:w="4880" w:type="dxa"/>
            <w:vAlign w:val="bottom"/>
            <w:gridSpan w:val="2"/>
          </w:tcPr>
          <w:p>
            <w:pPr>
              <w:jc w:val="right"/>
              <w:spacing w:after="0" w:line="189" w:lineRule="exact"/>
              <w:rPr>
                <w:sz w:val="20"/>
                <w:szCs w:val="20"/>
                <w:color w:val="auto"/>
              </w:rPr>
            </w:pPr>
            <w:r>
              <w:rPr>
                <w:rFonts w:ascii="Arial" w:cs="Arial" w:eastAsia="Arial" w:hAnsi="Arial"/>
                <w:sz w:val="18"/>
                <w:szCs w:val="18"/>
                <w:color w:val="0000FF"/>
              </w:rPr>
              <w:t>33</w:t>
            </w:r>
          </w:p>
        </w:tc>
        <w:tc>
          <w:tcPr>
            <w:tcW w:w="20" w:type="dxa"/>
            <w:vAlign w:val="bottom"/>
          </w:tcPr>
          <w:p>
            <w:pPr>
              <w:spacing w:after="0"/>
              <w:rPr>
                <w:sz w:val="16"/>
                <w:szCs w:val="16"/>
                <w:color w:val="auto"/>
              </w:rPr>
            </w:pPr>
          </w:p>
        </w:tc>
      </w:tr>
      <w:tr>
        <w:trPr>
          <w:trHeight w:val="885"/>
        </w:trPr>
        <w:tc>
          <w:tcPr>
            <w:tcW w:w="20" w:type="dxa"/>
            <w:vAlign w:val="bottom"/>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540" w:type="dxa"/>
            <w:vAlign w:val="bottom"/>
          </w:tcPr>
          <w:p>
            <w:pPr>
              <w:spacing w:after="0"/>
              <w:rPr>
                <w:sz w:val="24"/>
                <w:szCs w:val="24"/>
                <w:color w:val="auto"/>
              </w:rPr>
            </w:pPr>
          </w:p>
        </w:tc>
        <w:tc>
          <w:tcPr>
            <w:tcW w:w="1520" w:type="dxa"/>
            <w:vAlign w:val="bottom"/>
            <w:tcBorders>
              <w:top w:val="single" w:sz="8" w:color="0000FF"/>
            </w:tcBorders>
            <w:gridSpan w:val="10"/>
          </w:tcPr>
          <w:p>
            <w:pPr>
              <w:spacing w:after="0"/>
              <w:rPr>
                <w:sz w:val="24"/>
                <w:szCs w:val="24"/>
                <w:color w:val="auto"/>
              </w:rPr>
            </w:pPr>
          </w:p>
        </w:tc>
        <w:tc>
          <w:tcPr>
            <w:tcW w:w="1680" w:type="dxa"/>
            <w:vAlign w:val="bottom"/>
            <w:gridSpan w:val="6"/>
          </w:tcPr>
          <w:p>
            <w:pPr>
              <w:jc w:val="right"/>
              <w:ind w:right="620"/>
              <w:spacing w:after="0"/>
              <w:rPr>
                <w:sz w:val="20"/>
                <w:szCs w:val="20"/>
                <w:color w:val="auto"/>
              </w:rPr>
            </w:pPr>
            <w:r>
              <w:rPr>
                <w:rFonts w:ascii="Arial" w:cs="Arial" w:eastAsia="Arial" w:hAnsi="Arial"/>
                <w:sz w:val="18"/>
                <w:szCs w:val="18"/>
                <w:color w:val="auto"/>
              </w:rPr>
              <w:t>10</w:t>
            </w:r>
          </w:p>
        </w:tc>
        <w:tc>
          <w:tcPr>
            <w:tcW w:w="470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47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DESCRIPTION OF BUSINESS</w:t>
      </w:r>
    </w:p>
    <w:p>
      <w:pPr>
        <w:spacing w:after="0" w:line="1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FactSet Research Systems Inc. and its wholly-owned subsidiaries (collectively, "we," "our," "us," the "Company" or "FactSet") is a global financial digital platform and enterprise solutions provider with open and flexible solutions that drive the investment community to see more, think bigger and do its best work. Our strategy is to build the leading open content and analytics platform that delivers a differentiated advantage for our clients’ success.</w:t>
      </w:r>
    </w:p>
    <w:p>
      <w:pPr>
        <w:spacing w:after="0" w:line="10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Fiscal 2023 marks the 45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year our platform has delivered expansive data, sophisticated analytics and flexible technology used by global financial professionals to power their critical investment workflows. As of May 31, 2023, we had 7,770 clients comprised of 187,845 investment professionals, including asset managers, bankers, wealth managers, asset owners, partners, hedge funds, corporate users, and private equity and venture capital professionals. Our on- and off-platform solutions span the investment lifecycle including investment research, portfolio construction and analysis, trade execution, performance measurement, risk management and reporting. Our revenues are primarily derived from subscriptions to our multi-asset class data and solutions powered by our connected content, referred to as our "content refinery." Our products and services include workstations, portfolio analytics and enterprise solutions.</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provide financial data and market intelligence on securities, companies, industries and people to enable our clients to research investment ideas, as well as to analyze, monitor and manage their portfolios. We combine dedicated client service with open and flexible technology offerings, including a configurable desktop and mobile platform, comprehensive data feeds, cloud-based digital solutions and application programming interfaces ("APIs"). Our CUSIP Global Services ("CGS") business supports security master files relied on by the investment industry for critical front, middle and back office functions.</w:t>
      </w:r>
    </w:p>
    <w:p>
      <w:pPr>
        <w:spacing w:after="0" w:line="16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drive our business based on our detailed understanding of our clients’ workflows, which helps us to solve their most complex challenges. We provide them with an open digital platform, connected and reliable data, next-generation workflow solutions and highly committed service specialists.</w:t>
      </w:r>
    </w:p>
    <w:p>
      <w:pPr>
        <w:spacing w:after="0" w:line="1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We operate our business through three reportable segments ("segments"): the Americas, EMEA and Asia Pacific. Refer to Note 16, </w:t>
      </w:r>
      <w:r>
        <w:rPr>
          <w:rFonts w:ascii="Arial" w:cs="Arial" w:eastAsia="Arial" w:hAnsi="Arial"/>
          <w:sz w:val="18"/>
          <w:szCs w:val="18"/>
          <w:i w:val="1"/>
          <w:iCs w:val="1"/>
          <w:color w:val="auto"/>
        </w:rPr>
        <w:t>Segment Information</w:t>
      </w:r>
      <w:r>
        <w:rPr>
          <w:rFonts w:ascii="Arial" w:cs="Arial" w:eastAsia="Arial" w:hAnsi="Arial"/>
          <w:sz w:val="18"/>
          <w:szCs w:val="18"/>
          <w:color w:val="auto"/>
        </w:rPr>
        <w:t>, for further discussion. For each of our segments, we execute our strategy through three workflow solutions: Research &amp; Advisory; Analytics &amp; Trading; and Content &amp; Technology Solutions ("CTS").</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 long-term view of our business and are committed to investing for growth and becoming a more efficient organization. As part of this approach, starting September 1, 2023, the beginning of our fiscal 2024 year, we are reorganizing our workflow solutions by firm type to better align our operations with those of our clients:</w:t>
      </w:r>
    </w:p>
    <w:p>
      <w:pPr>
        <w:spacing w:after="0" w:line="143" w:lineRule="exact"/>
        <w:rPr>
          <w:sz w:val="20"/>
          <w:szCs w:val="20"/>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Analytics &amp; Trading will become our Institutional Buy-Side organization, focusing on asset managers, asset owners, and hedge fund workflows; and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Research &amp; Advisory will become:</w:t>
      </w:r>
    </w:p>
    <w:p>
      <w:pPr>
        <w:spacing w:after="0" w:line="184"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Dealmakers, focusing on banking and sell-side research, corporate, and private equity and venture capital workflows; and</w:t>
      </w:r>
    </w:p>
    <w:p>
      <w:pPr>
        <w:spacing w:after="0" w:line="184"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Wealth, focusing on wealth management workflows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during the third quarter of fiscal 2023, we combined our Content and CTS groups to create one Data Solutions organization. This will create end-to-end management of our data, from collection and acquisition, to client delivery. CGS operates as part of our CTS workflow solution which is included within the newly formed Data Solutions organization.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This realignment is not expected to impact our segment reporting for the fiscal 2024 year.</w:t>
      </w: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SUMMARY OF SIGNIFICANT ACCOUNTING POLICIES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 business globally and manage our business on a geographic basis. The accompanying unaudited Consolidated Financial Statements and Notes to the Consolidated Financial Statements included in this Quarterly Report on Form 10-Q are prepared in accordance with generally accepted accounting principles in the United States ("GAAP") for interim financial information and the instructions to Form 10-Q and Article 10 of Regulation S-X. Accordingly, they do not include all information and footnotes required by GAAP for annual financial statements; as such, the information in this Quarterly Report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Form 10-Q should be read in conjunction with the audited Consolidated Financial Statements and notes thereto included in our Annual Report on Form 10-K for the fiscal year ended August 31, 2022. The accompanying unaudited Consolidated Financial Statements include our accounts and those of our wholly-owned subsidiaries; all intercompany activity and balances have been eliminated.</w:t>
      </w:r>
    </w:p>
    <w:p>
      <w:pPr>
        <w:spacing w:after="0" w:line="15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the opinion of management, the accompanying unaudited Consolidated Financial Statements include all normal recurring adjustments, transactions or events discretely impacting the interim periods considered necessary to present fairly our results of operations, financial position, cash flows and equity.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Beginning in the third quarter of fiscal 2023, we separated the components of Interest expense, net to present Interest income and Interest expense separately in the Consolidated Statements of Income for the three and nine months ended May 31, 2023. We conformed the comparative figures for the three and nine months ended May 31, 2022 to the current year’s presentation.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preparation of our Consolidated Financial Statements and related disclosures, in conformity with GAAP, required management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may have been made in areas that include income taxes, stock-based compensation, goodwill and intangible assets, business combinations, long-lived assets, contingencies and impairment assessments. We base our estimates on historical experience and on various other assumptions that are believed to be reasonable, the results of which form the basis for making judgments about the carrying values of assets and liabilities. Actual results could differ from those estimates.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Credit risk arises from the potential nonperformance by counterparties to fulfill their financial obligations. Our financial instruments that potentially subject us to concentrations of credit risk consist primarily of our cash and cash equivalents, accounts receivable, investments in mutual funds and derivative instruments. The maximum credit exposure of our cash and cash equivalents, accounts receivable and investments in mutual funds is their carrying values as of the balance sheet dates. The maximum credit exposure related to our derivative instruments is based upon the gross fair values as of the balance sheet dates.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 and Investments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exposed to credit risk on our cash and cash equivalents and investments in mutual funds in the event of default by the financial institutions with which we transact. We invest our cash and cash equivalents and investments in mutual funds in accordance with our restrictive cash investment practices with the primary objective being the preservation of capital and maintenance of liquidity with a focus on minimizing our exposure to credit risk. We have not experienced any losses in such accounts and we limit our exposure to credit loss by placing our cash and cash equivalents and investments in mutual funds with multiple financial institutions that we believe are high-quality and credit-worthy.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accounts receivable credit risk is dependent upon the financial stability of our individual clients. Our receivable reserve was $6.0 million and $2.8 million as of May 31, 2023 and August 31, 2022, respectively. We do not require collateral from our clients, however no single client represented more than 3% of our total subscription revenues in any period presented. Our concentration of credit risk related to our accounts receivable is generally limited due to our large and geographically dispersed client base.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Instruments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use of derivative instruments exposes us to credit risk to the extent counterparties may be unable to meet the terms of their agreements. To mitigate credit risk, we limit counterparties to financial institutions we believe are credit-worthy and use several institutions to reduce concentration risk. We do not expect any losses as a result of default by our counterparties.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Data Providers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integrate data from various third-party sources into our hosted proprietary data and analytics platform. As certain data sources have a limited number of suppliers, we make every effort to assure that, where reasonable, alternative sources are available. We are not dependent on any individual third-party data supplier in order to meet the needs of our clients, with only two data suppliers each representing more than 10% of our total data costs for the nine months ended May 31, 2023.</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did not adopt any new standards or updates issued by the Financial Accounting Standards Board ("FASB") during the three and nine months ended May 31, 2023 that had a material impact on our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 Not Yet Adopted</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new accounting pronouncements issued or effective as of May 31, 2023 that had, or are expected to have, a material impact on our Consolidated Financial Statements.</w:t>
      </w: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REVENUE RECOGNITION</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derive most of our revenues by providing client access to our multi-asset class solutions, powered by our content refinery, over the associated contractual term (referred to as the "Hosted Platform"). The Hosted Platform is a subscription-based service that provides client access to various combinations of products and services including workstations, portfolio analytics and enterprise solutions. In addition, through our CGS platform, we provide subscription access to a database of universally recognized identifiers, enabling differentiating characteristics for issuers and their financial instruments (referred to as the "Identifier Platform").</w:t>
      </w:r>
    </w:p>
    <w:p>
      <w:pPr>
        <w:spacing w:after="0" w:line="14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determined that the majority of each of our Hosted Platform and Identifier Platform services represents a single performance obligation covering a series of distinct products and services that are substantially the same and that have the same pattern of transfer to the client. We also determined the primary nature of the promise to the client is to provide daily access to each of these data and analytics platforms. These platforms provide integrated financial information, analytical applications and industry-leading service for the investment community. Based on the nature of the services and products offered by these platforms, we apply an output time-based measure of progress as the client is simultaneously receiving and consuming the benefits of the platform. We recognize revenue for the majority of these platforms in accordance with the 'as invoiced' practical expedient as the amount of consideration that we have the right to invoice corresponds directly with the value of our performance to date.</w:t>
      </w:r>
    </w:p>
    <w:p>
      <w:pPr>
        <w:spacing w:after="0" w:line="13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Due to our election of the practical expedient, we do not consider payment terms as a financing component within a client contract when, at contract inception, the period between the transfer of the promised services to the client and the payment timing for those services will be one year or less.</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Contracts with clients can include certain fulfillment costs, comprised of up-front costs to allow for the delivery of products and services, which are recoverable. Fulfillment costs are recognized as an asset, with the current portion recorded in Prepaid expenses and other current assets and the non-current portion recorded in Other assets in the Consolidated Balance Sheets, based on the term of the license period. The fulfillment costs are amortized consistent with the associated revenues for providing the services.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majority of client contracts have a duration of one year or the amount we are entitled to receive corresponds directly with the value of performance obligations completed to date, and therefore, we do not disclose the value of the remaining unsatisfied performance obligations. There are no significant judgments that would impact the timing of revenue recognition.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disaggregate revenues from contracts with clients by our segments which consist of the Americas, EMEA and Asia Pacific. We believe these segments are reflective of how we manage our business and the markets in which we serve and best depict the nature, amount, timing and uncertainty of revenues and cash flows related to contracts with clients. Segment revenues reflect sales to our clients based on their respective geographic locations. Refer to Note 16, </w:t>
      </w:r>
      <w:r>
        <w:rPr>
          <w:rFonts w:ascii="Arial" w:cs="Arial" w:eastAsia="Arial" w:hAnsi="Arial"/>
          <w:sz w:val="18"/>
          <w:szCs w:val="18"/>
          <w:i w:val="1"/>
          <w:iCs w:val="1"/>
          <w:color w:val="auto"/>
        </w:rPr>
        <w:t>Segment Information</w:t>
      </w:r>
      <w:r>
        <w:rPr>
          <w:rFonts w:ascii="Arial" w:cs="Arial" w:eastAsia="Arial" w:hAnsi="Arial"/>
          <w:sz w:val="18"/>
          <w:szCs w:val="18"/>
          <w:color w:val="auto"/>
        </w:rPr>
        <w:t>, for further information.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Table of Contents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945"/>
        </w:trPr>
        <w:tc>
          <w:tcPr>
            <w:tcW w:w="5160" w:type="dxa"/>
            <w:vAlign w:val="bottom"/>
          </w:tcPr>
          <w:p>
            <w:pPr>
              <w:spacing w:after="0"/>
              <w:rPr>
                <w:sz w:val="20"/>
                <w:szCs w:val="20"/>
                <w:color w:val="auto"/>
              </w:rPr>
            </w:pPr>
            <w:r>
              <w:rPr>
                <w:rFonts w:ascii="Arial" w:cs="Arial" w:eastAsia="Arial" w:hAnsi="Arial"/>
                <w:sz w:val="18"/>
                <w:szCs w:val="18"/>
                <w:color w:val="auto"/>
                <w:w w:val="97"/>
              </w:rPr>
              <w:t>The following table presents revenues disaggregated by segment:</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96"/>
        </w:trPr>
        <w:tc>
          <w:tcPr>
            <w:tcW w:w="5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80" w:type="dxa"/>
            <w:vAlign w:val="bottom"/>
            <w:gridSpan w:val="3"/>
          </w:tcPr>
          <w:p>
            <w:pPr>
              <w:jc w:val="right"/>
              <w:ind w:right="650"/>
              <w:spacing w:after="0"/>
              <w:rPr>
                <w:sz w:val="20"/>
                <w:szCs w:val="20"/>
                <w:color w:val="auto"/>
              </w:rPr>
            </w:pPr>
            <w:r>
              <w:rPr>
                <w:rFonts w:ascii="Arial" w:cs="Arial" w:eastAsia="Arial" w:hAnsi="Arial"/>
                <w:sz w:val="18"/>
                <w:szCs w:val="18"/>
                <w:color w:val="auto"/>
              </w:rPr>
              <w:t>Three Months Ended</w:t>
            </w:r>
          </w:p>
        </w:tc>
        <w:tc>
          <w:tcPr>
            <w:tcW w:w="360" w:type="dxa"/>
            <w:vAlign w:val="bottom"/>
          </w:tcPr>
          <w:p>
            <w:pPr>
              <w:spacing w:after="0"/>
              <w:rPr>
                <w:sz w:val="24"/>
                <w:szCs w:val="24"/>
                <w:color w:val="auto"/>
              </w:rPr>
            </w:pPr>
          </w:p>
        </w:tc>
        <w:tc>
          <w:tcPr>
            <w:tcW w:w="2700" w:type="dxa"/>
            <w:vAlign w:val="bottom"/>
            <w:gridSpan w:val="3"/>
          </w:tcPr>
          <w:p>
            <w:pPr>
              <w:jc w:val="right"/>
              <w:ind w:right="710"/>
              <w:spacing w:after="0"/>
              <w:rPr>
                <w:sz w:val="20"/>
                <w:szCs w:val="20"/>
                <w:color w:val="auto"/>
              </w:rPr>
            </w:pPr>
            <w:r>
              <w:rPr>
                <w:rFonts w:ascii="Arial" w:cs="Arial" w:eastAsia="Arial" w:hAnsi="Arial"/>
                <w:sz w:val="18"/>
                <w:szCs w:val="18"/>
                <w:color w:val="auto"/>
              </w:rPr>
              <w:t>Nine Months Ended</w:t>
            </w:r>
          </w:p>
        </w:tc>
      </w:tr>
      <w:tr>
        <w:trPr>
          <w:trHeight w:val="230"/>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20" w:type="dxa"/>
            <w:vAlign w:val="bottom"/>
            <w:gridSpan w:val="2"/>
          </w:tcPr>
          <w:p>
            <w:pPr>
              <w:jc w:val="right"/>
              <w:ind w:right="50"/>
              <w:spacing w:after="0"/>
              <w:rPr>
                <w:sz w:val="20"/>
                <w:szCs w:val="20"/>
                <w:color w:val="auto"/>
              </w:rPr>
            </w:pPr>
            <w:r>
              <w:rPr>
                <w:rFonts w:ascii="Arial" w:cs="Arial" w:eastAsia="Arial" w:hAnsi="Arial"/>
                <w:sz w:val="18"/>
                <w:szCs w:val="18"/>
                <w:color w:val="auto"/>
              </w:rPr>
              <w:t>May 31,</w:t>
            </w: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20" w:type="dxa"/>
            <w:vAlign w:val="bottom"/>
            <w:gridSpan w:val="2"/>
          </w:tcPr>
          <w:p>
            <w:pPr>
              <w:jc w:val="right"/>
              <w:ind w:right="50"/>
              <w:spacing w:after="0"/>
              <w:rPr>
                <w:sz w:val="20"/>
                <w:szCs w:val="20"/>
                <w:color w:val="auto"/>
              </w:rPr>
            </w:pPr>
            <w:r>
              <w:rPr>
                <w:rFonts w:ascii="Arial" w:cs="Arial" w:eastAsia="Arial" w:hAnsi="Arial"/>
                <w:sz w:val="18"/>
                <w:szCs w:val="18"/>
                <w:color w:val="auto"/>
              </w:rPr>
              <w:t>May 31,</w:t>
            </w:r>
          </w:p>
        </w:tc>
        <w:tc>
          <w:tcPr>
            <w:tcW w:w="1080" w:type="dxa"/>
            <w:vAlign w:val="bottom"/>
          </w:tcPr>
          <w:p>
            <w:pPr>
              <w:spacing w:after="0"/>
              <w:rPr>
                <w:sz w:val="20"/>
                <w:szCs w:val="20"/>
                <w:color w:val="auto"/>
              </w:rPr>
            </w:pPr>
          </w:p>
        </w:tc>
      </w:tr>
      <w:tr>
        <w:trPr>
          <w:trHeight w:val="277"/>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2023</w:t>
            </w:r>
          </w:p>
        </w:tc>
        <w:tc>
          <w:tcPr>
            <w:tcW w:w="4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2023</w:t>
            </w:r>
          </w:p>
        </w:tc>
        <w:tc>
          <w:tcPr>
            <w:tcW w:w="4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337,691</w:t>
            </w:r>
          </w:p>
        </w:tc>
        <w:tc>
          <w:tcPr>
            <w:tcW w:w="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309,740</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992,179</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850,312</w:t>
            </w: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EMEA</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137,973</w:t>
            </w: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128,326</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401,219</w:t>
            </w:r>
          </w:p>
        </w:tc>
        <w:tc>
          <w:tcPr>
            <w:tcW w:w="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357,920</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54,147</w:t>
            </w:r>
          </w:p>
        </w:tc>
        <w:tc>
          <w:tcPr>
            <w:tcW w:w="4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50,685</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156,313</w:t>
            </w:r>
          </w:p>
        </w:tc>
        <w:tc>
          <w:tcPr>
            <w:tcW w:w="4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136,363</w:t>
            </w: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529,811</w:t>
            </w:r>
          </w:p>
        </w:tc>
        <w:tc>
          <w:tcPr>
            <w:tcW w:w="4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488,751</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1,549,711</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1,344,595</w:t>
            </w:r>
          </w:p>
        </w:tc>
      </w:tr>
    </w:tbl>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 FAIR VALUE MEASURES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is defined as the price that would be received from selling an asset or paid to transfer a liability (i.e., the "exit price") in an orderly transaction between market participants at the measurement date. In determining fair value, the use of various valuation methodologies, including market, income and cost approaches, are permissible. We consider the principal or most advantageous market in which we would transact, as well as assumptions that market participants would use when pricing the asset or liability.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Hierarchy</w:t>
      </w:r>
    </w:p>
    <w:p>
      <w:pPr>
        <w:spacing w:after="0" w:line="20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accounting guidance for fair value measurements establishes a fair value hierarchy that requires an entity to maximize the use of observable inputs and minimize the use of unobservable inputs when measuring fair value. There are three levels of inputs that may be used to measure fair value based on the reliability of inputs. A financial instrument’s categorization within the fair value hierarchy is based upon the lowest level input that is significant to the fair value measurement. Our assessment of the significance of a particular input to the fair value measurement requires judgment and may affect its placement within the fair value hierarchy levels. We have categorized our cash equivalents, investments and derivatives within the fair value hierarchy as follows: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Level 1</w:t>
      </w:r>
      <w:r>
        <w:rPr>
          <w:rFonts w:ascii="Arial" w:cs="Arial" w:eastAsia="Arial" w:hAnsi="Arial"/>
          <w:sz w:val="18"/>
          <w:szCs w:val="18"/>
          <w:i w:val="1"/>
          <w:iCs w:val="1"/>
          <w:color w:val="auto"/>
        </w:rPr>
        <w:t xml:space="preserve"> </w:t>
      </w:r>
      <w:r>
        <w:rPr>
          <w:rFonts w:ascii="Arial" w:cs="Arial" w:eastAsia="Arial" w:hAnsi="Arial"/>
          <w:sz w:val="18"/>
          <w:szCs w:val="18"/>
          <w:color w:val="auto"/>
        </w:rPr>
        <w:t>– applies to assets or liabilities for which there are quoted prices in active markets for identical assets or liabilities.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Level 2</w:t>
      </w:r>
      <w:r>
        <w:rPr>
          <w:rFonts w:ascii="Arial" w:cs="Arial" w:eastAsia="Arial" w:hAnsi="Arial"/>
          <w:sz w:val="18"/>
          <w:szCs w:val="18"/>
          <w:i w:val="1"/>
          <w:iCs w:val="1"/>
          <w:color w:val="auto"/>
        </w:rPr>
        <w:t xml:space="preserve"> </w:t>
      </w:r>
      <w:r>
        <w:rPr>
          <w:rFonts w:ascii="Arial" w:cs="Arial" w:eastAsia="Arial" w:hAnsi="Arial"/>
          <w:sz w:val="18"/>
          <w:szCs w:val="18"/>
          <w:color w:val="auto"/>
        </w:rPr>
        <w:t>– applies to assets or liabilities for which there are inputs other than quoted prices that are observable for the asset or liability such as quoted prices</w:t>
      </w:r>
      <w:r>
        <w:rPr>
          <w:rFonts w:ascii="Arial" w:cs="Arial" w:eastAsia="Arial" w:hAnsi="Arial"/>
          <w:sz w:val="18"/>
          <w:szCs w:val="18"/>
          <w:i w:val="1"/>
          <w:iCs w:val="1"/>
          <w:color w:val="auto"/>
        </w:rPr>
        <w:t xml:space="preserve"> </w:t>
      </w:r>
      <w:r>
        <w:rPr>
          <w:rFonts w:ascii="Arial" w:cs="Arial" w:eastAsia="Arial" w:hAnsi="Arial"/>
          <w:sz w:val="18"/>
          <w:szCs w:val="18"/>
          <w:color w:val="auto"/>
        </w:rPr>
        <w:t>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Level 3</w:t>
      </w:r>
      <w:r>
        <w:rPr>
          <w:rFonts w:ascii="Arial" w:cs="Arial" w:eastAsia="Arial" w:hAnsi="Arial"/>
          <w:sz w:val="18"/>
          <w:szCs w:val="18"/>
          <w:i w:val="1"/>
          <w:iCs w:val="1"/>
          <w:color w:val="auto"/>
        </w:rPr>
        <w:t xml:space="preserve"> </w:t>
      </w:r>
      <w:r>
        <w:rPr>
          <w:rFonts w:ascii="Arial" w:cs="Arial" w:eastAsia="Arial" w:hAnsi="Arial"/>
          <w:sz w:val="18"/>
          <w:szCs w:val="18"/>
          <w:color w:val="auto"/>
        </w:rPr>
        <w:t>– applies to assets or liabilities for which there are unobservable inputs to the valuation methodology that are significant to the measurement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of the assets or liabilities.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Assets and Liabilities Measured at Fair Value on a Recurring Basis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show, by level within the fair value hierarchy, our assets and liabilities that are measured at fair value on a recurring basis as of May 31, 2023 and August 31, 2022. We did not have any transfers between levels of fair value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measurements during the periods presented below. We held no Level 3 assets or liabilities measured at fair value on a recurring basis as of May 31, 2023 and August 31, 2022.</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300" w:type="dxa"/>
            <w:vAlign w:val="bottom"/>
            <w:gridSpan w:val="5"/>
          </w:tcPr>
          <w:p>
            <w:pPr>
              <w:jc w:val="center"/>
              <w:ind w:right="230"/>
              <w:spacing w:after="0"/>
              <w:rPr>
                <w:sz w:val="20"/>
                <w:szCs w:val="20"/>
                <w:color w:val="auto"/>
              </w:rPr>
            </w:pPr>
            <w:r>
              <w:rPr>
                <w:rFonts w:ascii="Arial" w:cs="Arial" w:eastAsia="Arial" w:hAnsi="Arial"/>
                <w:sz w:val="18"/>
                <w:szCs w:val="18"/>
                <w:color w:val="auto"/>
                <w:w w:val="89"/>
              </w:rPr>
              <w:t>Fair Value Measurements at May 31, 2023</w:t>
            </w:r>
          </w:p>
        </w:tc>
      </w:tr>
      <w:tr>
        <w:trPr>
          <w:trHeight w:val="270"/>
        </w:trPr>
        <w:tc>
          <w:tcPr>
            <w:tcW w:w="20" w:type="dxa"/>
            <w:vAlign w:val="bottom"/>
            <w:tcBorders>
              <w:bottom w:val="single" w:sz="8" w:color="auto"/>
            </w:tcBorders>
          </w:tcPr>
          <w:p>
            <w:pPr>
              <w:spacing w:after="0"/>
              <w:rPr>
                <w:sz w:val="23"/>
                <w:szCs w:val="23"/>
                <w:color w:val="auto"/>
              </w:rPr>
            </w:pPr>
          </w:p>
        </w:tc>
        <w:tc>
          <w:tcPr>
            <w:tcW w:w="6620" w:type="dxa"/>
            <w:vAlign w:val="bottom"/>
            <w:tcBorders>
              <w:bottom w:val="single" w:sz="8" w:color="auto"/>
            </w:tcBorders>
            <w:gridSpan w:val="3"/>
          </w:tcPr>
          <w:p>
            <w:pPr>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Level 1</w:t>
            </w:r>
          </w:p>
        </w:tc>
        <w:tc>
          <w:tcPr>
            <w:tcW w:w="3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2"/>
              </w:rPr>
              <w:t>Level 2</w:t>
            </w: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Total</w:t>
            </w: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85"/>
              </w:rPr>
              <w:t>Assets</w:t>
            </w:r>
          </w:p>
        </w:tc>
        <w:tc>
          <w:tcPr>
            <w:tcW w:w="6140" w:type="dxa"/>
            <w:vAlign w:val="bottom"/>
            <w:tcBorders>
              <w:bottom w:val="single" w:sz="8" w:color="CCEEFF"/>
            </w:tcBorders>
            <w:gridSpan w:val="2"/>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Corporate money market funds</w:t>
            </w:r>
            <w:r>
              <w:rPr>
                <w:rFonts w:ascii="Arial" w:cs="Arial" w:eastAsia="Arial" w:hAnsi="Arial"/>
                <w:sz w:val="23"/>
                <w:szCs w:val="23"/>
                <w:color w:val="auto"/>
                <w:vertAlign w:val="superscript"/>
              </w:rPr>
              <w:t>(</w:t>
            </w:r>
            <w:r>
              <w:rPr>
                <w:rFonts w:ascii="Arial" w:cs="Arial" w:eastAsia="Arial" w:hAnsi="Arial"/>
                <w:sz w:val="23"/>
                <w:szCs w:val="23"/>
                <w:i w:val="1"/>
                <w:iCs w:val="1"/>
                <w:color w:val="auto"/>
                <w:vertAlign w:val="superscript"/>
              </w:rPr>
              <w:t>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119,929</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30"/>
              <w:spacing w:after="0"/>
              <w:rPr>
                <w:sz w:val="20"/>
                <w:szCs w:val="20"/>
                <w:color w:val="auto"/>
              </w:rPr>
            </w:pPr>
            <w:r>
              <w:rPr>
                <w:rFonts w:ascii="Arial" w:cs="Arial" w:eastAsia="Arial" w:hAnsi="Arial"/>
                <w:sz w:val="18"/>
                <w:szCs w:val="18"/>
                <w:color w:val="auto"/>
              </w:rPr>
              <w:t>— $</w:t>
            </w:r>
          </w:p>
        </w:tc>
        <w:tc>
          <w:tcPr>
            <w:tcW w:w="1200" w:type="dxa"/>
            <w:vAlign w:val="bottom"/>
          </w:tcPr>
          <w:p>
            <w:pPr>
              <w:jc w:val="right"/>
              <w:spacing w:after="0"/>
              <w:rPr>
                <w:sz w:val="20"/>
                <w:szCs w:val="20"/>
                <w:color w:val="auto"/>
              </w:rPr>
            </w:pPr>
            <w:r>
              <w:rPr>
                <w:rFonts w:ascii="Arial" w:cs="Arial" w:eastAsia="Arial" w:hAnsi="Arial"/>
                <w:sz w:val="18"/>
                <w:szCs w:val="18"/>
                <w:color w:val="auto"/>
              </w:rPr>
              <w:t>119,929</w:t>
            </w:r>
          </w:p>
        </w:tc>
      </w:tr>
      <w:tr>
        <w:trPr>
          <w:trHeight w:val="270"/>
        </w:trPr>
        <w:tc>
          <w:tcPr>
            <w:tcW w:w="20" w:type="dxa"/>
            <w:vAlign w:val="bottom"/>
            <w:shd w:val="clear" w:color="auto" w:fill="CCEEFF"/>
          </w:tcPr>
          <w:p>
            <w:pPr>
              <w:spacing w:after="0"/>
              <w:rPr>
                <w:sz w:val="23"/>
                <w:szCs w:val="23"/>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Mutual funds</w:t>
            </w:r>
            <w:r>
              <w:rPr>
                <w:rFonts w:ascii="Arial" w:cs="Arial" w:eastAsia="Arial" w:hAnsi="Arial"/>
                <w:sz w:val="23"/>
                <w:szCs w:val="23"/>
                <w:color w:val="auto"/>
                <w:vertAlign w:val="superscript"/>
              </w:rPr>
              <w:t>(</w:t>
            </w:r>
            <w:r>
              <w:rPr>
                <w:rFonts w:ascii="Arial" w:cs="Arial" w:eastAsia="Arial" w:hAnsi="Arial"/>
                <w:sz w:val="23"/>
                <w:szCs w:val="23"/>
                <w:i w:val="1"/>
                <w:iCs w:val="1"/>
                <w:color w:val="auto"/>
                <w:vertAlign w:val="superscript"/>
              </w:rPr>
              <w:t>2)</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32,151</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32,151</w:t>
            </w:r>
          </w:p>
        </w:tc>
      </w:tr>
      <w:tr>
        <w:trPr>
          <w:trHeight w:val="257"/>
        </w:trPr>
        <w:tc>
          <w:tcPr>
            <w:tcW w:w="20" w:type="dxa"/>
            <w:vAlign w:val="bottom"/>
          </w:tcPr>
          <w:p>
            <w:pPr>
              <w:spacing w:after="0"/>
              <w:rPr>
                <w:sz w:val="22"/>
                <w:szCs w:val="22"/>
                <w:color w:val="auto"/>
              </w:rPr>
            </w:pPr>
          </w:p>
        </w:tc>
        <w:tc>
          <w:tcPr>
            <w:tcW w:w="6620" w:type="dxa"/>
            <w:vAlign w:val="bottom"/>
            <w:gridSpan w:val="3"/>
          </w:tcPr>
          <w:p>
            <w:pPr>
              <w:spacing w:after="0" w:line="256" w:lineRule="exact"/>
              <w:rPr>
                <w:sz w:val="20"/>
                <w:szCs w:val="20"/>
                <w:color w:val="auto"/>
              </w:rPr>
            </w:pPr>
            <w:r>
              <w:rPr>
                <w:rFonts w:ascii="Arial" w:cs="Arial" w:eastAsia="Arial" w:hAnsi="Arial"/>
                <w:sz w:val="18"/>
                <w:szCs w:val="18"/>
                <w:color w:val="auto"/>
              </w:rPr>
              <w:t>Derivative instruments</w:t>
            </w:r>
            <w:r>
              <w:rPr>
                <w:rFonts w:ascii="Arial" w:cs="Arial" w:eastAsia="Arial" w:hAnsi="Arial"/>
                <w:sz w:val="23"/>
                <w:szCs w:val="23"/>
                <w:color w:val="auto"/>
                <w:vertAlign w:val="superscript"/>
              </w:rPr>
              <w:t>(</w:t>
            </w:r>
            <w:r>
              <w:rPr>
                <w:rFonts w:ascii="Arial" w:cs="Arial" w:eastAsia="Arial" w:hAnsi="Arial"/>
                <w:sz w:val="23"/>
                <w:szCs w:val="23"/>
                <w:i w:val="1"/>
                <w:iCs w:val="1"/>
                <w:color w:val="auto"/>
                <w:vertAlign w:val="superscript"/>
              </w:rPr>
              <w:t>3)</w:t>
            </w: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8,288</w:t>
            </w: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8,288</w:t>
            </w:r>
          </w:p>
        </w:tc>
      </w:tr>
      <w:tr>
        <w:trPr>
          <w:trHeight w:val="237"/>
        </w:trPr>
        <w:tc>
          <w:tcPr>
            <w:tcW w:w="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assets measured at fair value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119,929</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40,439</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160,368</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w w:val="97"/>
              </w:rPr>
              <w:t>Liabilities</w:t>
            </w:r>
          </w:p>
        </w:tc>
        <w:tc>
          <w:tcPr>
            <w:tcW w:w="58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r>
      <w:tr>
        <w:trPr>
          <w:trHeight w:val="270"/>
        </w:trPr>
        <w:tc>
          <w:tcPr>
            <w:tcW w:w="20" w:type="dxa"/>
            <w:vAlign w:val="bottom"/>
            <w:tcBorders>
              <w:bottom w:val="single" w:sz="8" w:color="CCEEFF"/>
            </w:tcBorders>
          </w:tcPr>
          <w:p>
            <w:pPr>
              <w:spacing w:after="0"/>
              <w:rPr>
                <w:sz w:val="23"/>
                <w:szCs w:val="23"/>
                <w:color w:val="auto"/>
              </w:rPr>
            </w:pPr>
          </w:p>
        </w:tc>
        <w:tc>
          <w:tcPr>
            <w:tcW w:w="66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Derivative instruments</w:t>
            </w:r>
            <w:r>
              <w:rPr>
                <w:rFonts w:ascii="Arial" w:cs="Arial" w:eastAsia="Arial" w:hAnsi="Arial"/>
                <w:sz w:val="23"/>
                <w:szCs w:val="23"/>
                <w:i w:val="1"/>
                <w:iCs w:val="1"/>
                <w:color w:val="auto"/>
                <w:vertAlign w:val="superscript"/>
              </w:rPr>
              <w:t>(3)</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w:t>
            </w:r>
          </w:p>
        </w:tc>
      </w:tr>
      <w:tr>
        <w:trPr>
          <w:trHeight w:val="223"/>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liabilities measured at fair value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w:t>
            </w:r>
          </w:p>
        </w:tc>
      </w:tr>
      <w:tr>
        <w:trPr>
          <w:trHeight w:val="351"/>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300" w:type="dxa"/>
            <w:vAlign w:val="bottom"/>
            <w:gridSpan w:val="5"/>
          </w:tcPr>
          <w:p>
            <w:pPr>
              <w:jc w:val="center"/>
              <w:ind w:right="210"/>
              <w:spacing w:after="0"/>
              <w:rPr>
                <w:sz w:val="20"/>
                <w:szCs w:val="20"/>
                <w:color w:val="auto"/>
              </w:rPr>
            </w:pPr>
            <w:r>
              <w:rPr>
                <w:rFonts w:ascii="Arial" w:cs="Arial" w:eastAsia="Arial" w:hAnsi="Arial"/>
                <w:sz w:val="18"/>
                <w:szCs w:val="18"/>
                <w:color w:val="auto"/>
                <w:w w:val="89"/>
              </w:rPr>
              <w:t>Fair Value Measurements at August 31, 2022</w:t>
            </w:r>
          </w:p>
        </w:tc>
      </w:tr>
      <w:tr>
        <w:trPr>
          <w:trHeight w:val="270"/>
        </w:trPr>
        <w:tc>
          <w:tcPr>
            <w:tcW w:w="20" w:type="dxa"/>
            <w:vAlign w:val="bottom"/>
            <w:tcBorders>
              <w:bottom w:val="single" w:sz="8" w:color="auto"/>
            </w:tcBorders>
          </w:tcPr>
          <w:p>
            <w:pPr>
              <w:spacing w:after="0"/>
              <w:rPr>
                <w:sz w:val="23"/>
                <w:szCs w:val="23"/>
                <w:color w:val="auto"/>
              </w:rPr>
            </w:pPr>
          </w:p>
        </w:tc>
        <w:tc>
          <w:tcPr>
            <w:tcW w:w="6620" w:type="dxa"/>
            <w:vAlign w:val="bottom"/>
            <w:tcBorders>
              <w:bottom w:val="single" w:sz="8" w:color="auto"/>
            </w:tcBorders>
            <w:gridSpan w:val="3"/>
          </w:tcPr>
          <w:p>
            <w:pPr>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Level 1</w:t>
            </w:r>
          </w:p>
        </w:tc>
        <w:tc>
          <w:tcPr>
            <w:tcW w:w="3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2"/>
              </w:rPr>
              <w:t>Level 2</w:t>
            </w: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Total</w:t>
            </w: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85"/>
              </w:rPr>
              <w:t>Assets</w:t>
            </w:r>
          </w:p>
        </w:tc>
        <w:tc>
          <w:tcPr>
            <w:tcW w:w="6140" w:type="dxa"/>
            <w:vAlign w:val="bottom"/>
            <w:tcBorders>
              <w:bottom w:val="single" w:sz="8" w:color="CCEEFF"/>
            </w:tcBorders>
            <w:gridSpan w:val="2"/>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Corporate money market funds</w:t>
            </w:r>
            <w:r>
              <w:rPr>
                <w:rFonts w:ascii="Arial" w:cs="Arial" w:eastAsia="Arial" w:hAnsi="Arial"/>
                <w:sz w:val="23"/>
                <w:szCs w:val="23"/>
                <w:i w:val="1"/>
                <w:iCs w:val="1"/>
                <w:color w:val="auto"/>
                <w:vertAlign w:val="superscript"/>
              </w:rPr>
              <w:t>(1)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179,330</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30"/>
              <w:spacing w:after="0"/>
              <w:rPr>
                <w:sz w:val="20"/>
                <w:szCs w:val="20"/>
                <w:color w:val="auto"/>
              </w:rPr>
            </w:pPr>
            <w:r>
              <w:rPr>
                <w:rFonts w:ascii="Arial" w:cs="Arial" w:eastAsia="Arial" w:hAnsi="Arial"/>
                <w:sz w:val="18"/>
                <w:szCs w:val="18"/>
                <w:color w:val="auto"/>
              </w:rPr>
              <w:t>— $</w:t>
            </w:r>
          </w:p>
        </w:tc>
        <w:tc>
          <w:tcPr>
            <w:tcW w:w="1200" w:type="dxa"/>
            <w:vAlign w:val="bottom"/>
          </w:tcPr>
          <w:p>
            <w:pPr>
              <w:jc w:val="right"/>
              <w:spacing w:after="0"/>
              <w:rPr>
                <w:sz w:val="20"/>
                <w:szCs w:val="20"/>
                <w:color w:val="auto"/>
              </w:rPr>
            </w:pPr>
            <w:r>
              <w:rPr>
                <w:rFonts w:ascii="Arial" w:cs="Arial" w:eastAsia="Arial" w:hAnsi="Arial"/>
                <w:sz w:val="18"/>
                <w:szCs w:val="18"/>
                <w:color w:val="auto"/>
              </w:rPr>
              <w:t>179,330</w:t>
            </w:r>
          </w:p>
        </w:tc>
      </w:tr>
      <w:tr>
        <w:trPr>
          <w:trHeight w:val="270"/>
        </w:trPr>
        <w:tc>
          <w:tcPr>
            <w:tcW w:w="20" w:type="dxa"/>
            <w:vAlign w:val="bottom"/>
            <w:shd w:val="clear" w:color="auto" w:fill="CCEEFF"/>
          </w:tcPr>
          <w:p>
            <w:pPr>
              <w:spacing w:after="0"/>
              <w:rPr>
                <w:sz w:val="23"/>
                <w:szCs w:val="23"/>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Mutual funds</w:t>
            </w:r>
            <w:r>
              <w:rPr>
                <w:rFonts w:ascii="Arial" w:cs="Arial" w:eastAsia="Arial" w:hAnsi="Arial"/>
                <w:sz w:val="23"/>
                <w:szCs w:val="23"/>
                <w:i w:val="1"/>
                <w:iCs w:val="1"/>
                <w:color w:val="auto"/>
                <w:vertAlign w:val="superscript"/>
              </w:rPr>
              <w:t>(2)</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33,219</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33,219</w:t>
            </w:r>
          </w:p>
        </w:tc>
      </w:tr>
      <w:tr>
        <w:trPr>
          <w:trHeight w:val="257"/>
        </w:trPr>
        <w:tc>
          <w:tcPr>
            <w:tcW w:w="20" w:type="dxa"/>
            <w:vAlign w:val="bottom"/>
          </w:tcPr>
          <w:p>
            <w:pPr>
              <w:spacing w:after="0"/>
              <w:rPr>
                <w:sz w:val="22"/>
                <w:szCs w:val="22"/>
                <w:color w:val="auto"/>
              </w:rPr>
            </w:pPr>
          </w:p>
        </w:tc>
        <w:tc>
          <w:tcPr>
            <w:tcW w:w="6620" w:type="dxa"/>
            <w:vAlign w:val="bottom"/>
            <w:gridSpan w:val="3"/>
          </w:tcPr>
          <w:p>
            <w:pPr>
              <w:spacing w:after="0" w:line="256" w:lineRule="exact"/>
              <w:rPr>
                <w:sz w:val="20"/>
                <w:szCs w:val="20"/>
                <w:color w:val="auto"/>
              </w:rPr>
            </w:pPr>
            <w:r>
              <w:rPr>
                <w:rFonts w:ascii="Arial" w:cs="Arial" w:eastAsia="Arial" w:hAnsi="Arial"/>
                <w:sz w:val="18"/>
                <w:szCs w:val="18"/>
                <w:color w:val="auto"/>
              </w:rPr>
              <w:t>Derivative instruments</w:t>
            </w:r>
            <w:r>
              <w:rPr>
                <w:rFonts w:ascii="Arial" w:cs="Arial" w:eastAsia="Arial" w:hAnsi="Arial"/>
                <w:sz w:val="23"/>
                <w:szCs w:val="23"/>
                <w:i w:val="1"/>
                <w:iCs w:val="1"/>
                <w:color w:val="auto"/>
                <w:vertAlign w:val="superscript"/>
              </w:rPr>
              <w:t>(3)</w:t>
            </w: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12,412</w:t>
            </w: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12,412</w:t>
            </w:r>
          </w:p>
        </w:tc>
      </w:tr>
      <w:tr>
        <w:trPr>
          <w:trHeight w:val="237"/>
        </w:trPr>
        <w:tc>
          <w:tcPr>
            <w:tcW w:w="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assets measured at fair value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179,330</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45,631</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224,961</w:t>
            </w: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w w:val="97"/>
              </w:rPr>
              <w:t>Liabilities</w:t>
            </w:r>
          </w:p>
        </w:tc>
        <w:tc>
          <w:tcPr>
            <w:tcW w:w="58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r>
      <w:tr>
        <w:trPr>
          <w:trHeight w:val="270"/>
        </w:trPr>
        <w:tc>
          <w:tcPr>
            <w:tcW w:w="20" w:type="dxa"/>
            <w:vAlign w:val="bottom"/>
            <w:tcBorders>
              <w:bottom w:val="single" w:sz="8" w:color="CCEEFF"/>
            </w:tcBorders>
          </w:tcPr>
          <w:p>
            <w:pPr>
              <w:spacing w:after="0"/>
              <w:rPr>
                <w:sz w:val="23"/>
                <w:szCs w:val="23"/>
                <w:color w:val="auto"/>
              </w:rPr>
            </w:pPr>
          </w:p>
        </w:tc>
        <w:tc>
          <w:tcPr>
            <w:tcW w:w="66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Derivative instruments</w:t>
            </w:r>
            <w:r>
              <w:rPr>
                <w:rFonts w:ascii="Arial" w:cs="Arial" w:eastAsia="Arial" w:hAnsi="Arial"/>
                <w:sz w:val="23"/>
                <w:szCs w:val="23"/>
                <w:i w:val="1"/>
                <w:iCs w:val="1"/>
                <w:color w:val="auto"/>
                <w:vertAlign w:val="superscript"/>
              </w:rPr>
              <w:t>(3)</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8,307</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8,307</w:t>
            </w:r>
          </w:p>
        </w:tc>
      </w:tr>
      <w:tr>
        <w:trPr>
          <w:trHeight w:val="223"/>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liabilities measured at fair value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8,307</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8,307</w:t>
            </w:r>
          </w:p>
        </w:tc>
      </w:tr>
    </w:tbl>
    <w:p>
      <w:pPr>
        <w:spacing w:after="0" w:line="193" w:lineRule="exact"/>
        <w:rPr>
          <w:sz w:val="20"/>
          <w:szCs w:val="20"/>
          <w:color w:val="auto"/>
        </w:rPr>
      </w:pPr>
    </w:p>
    <w:p>
      <w:pPr>
        <w:ind w:left="260" w:hanging="252"/>
        <w:spacing w:after="0" w:line="275" w:lineRule="auto"/>
        <w:tabs>
          <w:tab w:leader="none" w:pos="248"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Our corporate money market funds are readily convertible into cash and the net asset value of each fund on the last day of the quarter is used to determine its fair value. Our corporate money market funds are included in Cash and cash equivalents within the Consolidated Balance Sheets.</w:t>
      </w:r>
    </w:p>
    <w:p>
      <w:pPr>
        <w:spacing w:after="0" w:line="64" w:lineRule="exact"/>
        <w:rPr>
          <w:rFonts w:ascii="Arial" w:cs="Arial" w:eastAsia="Arial" w:hAnsi="Arial"/>
          <w:sz w:val="16"/>
          <w:szCs w:val="16"/>
          <w:i w:val="1"/>
          <w:iCs w:val="1"/>
          <w:color w:val="auto"/>
        </w:rPr>
      </w:pPr>
    </w:p>
    <w:p>
      <w:pPr>
        <w:jc w:val="both"/>
        <w:ind w:left="260" w:hanging="252"/>
        <w:spacing w:after="0" w:line="269" w:lineRule="auto"/>
        <w:tabs>
          <w:tab w:leader="none" w:pos="257"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Our mutual funds' fair value is based on the fair value of the underlying investments held by the mutual funds, allocated to each share of the mutual fund using a net asset value approach. The fair value of the underlying investments is based on observable inputs. Our mutual funds are included in Investments within the Consolidated Balance Sheets.</w:t>
      </w:r>
    </w:p>
    <w:p>
      <w:pPr>
        <w:spacing w:after="0" w:line="83" w:lineRule="exact"/>
        <w:rPr>
          <w:rFonts w:ascii="Arial" w:cs="Arial" w:eastAsia="Arial" w:hAnsi="Arial"/>
          <w:sz w:val="16"/>
          <w:szCs w:val="16"/>
          <w:i w:val="1"/>
          <w:iCs w:val="1"/>
          <w:color w:val="auto"/>
        </w:rPr>
      </w:pPr>
    </w:p>
    <w:p>
      <w:pPr>
        <w:jc w:val="both"/>
        <w:ind w:left="260" w:hanging="252"/>
        <w:spacing w:after="0" w:line="258" w:lineRule="auto"/>
        <w:tabs>
          <w:tab w:leader="none" w:pos="251"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Our derivative instruments include our foreign exchange forward contracts and interest rate swap agreements. We utilize the income approach to measure fair value for our foreign exchange forward contracts. The income approach uses pricing models that rely on market observable inputs such as spot, forward and interest rates, as well as credit default swap spreads. To estimate fair value for our interest rate swap agreements, we utilize a present value of future cash flows, leveraging a model-derived valuation that uses observable inputs such as interest rate yield curves. Refer to Note 5</w:t>
      </w:r>
      <w:r>
        <w:rPr>
          <w:rFonts w:ascii="Arial" w:cs="Arial" w:eastAsia="Arial" w:hAnsi="Arial"/>
          <w:sz w:val="16"/>
          <w:szCs w:val="16"/>
          <w:color w:val="auto"/>
        </w:rPr>
        <w:t>,</w:t>
      </w:r>
      <w:r>
        <w:rPr>
          <w:rFonts w:ascii="Arial" w:cs="Arial" w:eastAsia="Arial" w:hAnsi="Arial"/>
          <w:sz w:val="16"/>
          <w:szCs w:val="16"/>
          <w:i w:val="1"/>
          <w:iCs w:val="1"/>
          <w:color w:val="auto"/>
        </w:rPr>
        <w:t xml:space="preserve"> Derivative Instruments, for more information on our derivative instruments and their classification within the Consolidated Balance Sheets.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Assets and Liabilities Measured at Fair Value on a Non-Recurring Basis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Assets and liabilities that are measured at fair value on a non-recurring basis primarily relate to our tangible fixed assets, lease right-of-use ("ROU") assets, goodwill and intangible assets. The fair values of these non-financial assets and liabilities are determined based on valuation techniques using the best information available, and may include quoted market prices, market comparable information and discounted cash flow projections. These non-financial assets are required to be assessed for impairment whenever events or circumstances indicate their carrying value may not be fully recoverable, and at least annually for goodwill.</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Asset impairments incurred during the three and nine months ended May 31, 2023 were $0.4 million and $1.2 million, respectively, and were $49.0 million and $63.0 million for the three and nine months ended May 31, 2022, respectively. The asset impairments recognized during the three and nine months ended May 31, 2022 included a respective $48.8 million and $62.2 million charge related to our lease ROU assets and property, equipment and leasehold improvements ("PPE") associated with vacating certain leased office space. For those locations we anticipated subleasing, we estimated the fair value of the lease ROU assets as of the cease use date, using a market approach, based on expected future cash flows from sublease income. To complete this assessment we relied on certain assumptions, which included estimates of the rental rate, period of vacancy, incentives and annual rent increases. We fully impaired the lease ROU assets for locations we will not sublease and substantially all the PPE associated with the related vacated leased office space as there were no expected cash flows related to these items. Due to the subjective nature of the unobservable inputs used, the fair value measurement for the asset impairments are classified within Level 3 of the fair value hierarchy.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 Assets and Liabilities Measured at Fair Value for Disclosure Purposes </w:t>
      </w:r>
      <w:r>
        <w:rPr>
          <w:rFonts w:ascii="Arial" w:cs="Arial" w:eastAsia="Arial" w:hAnsi="Arial"/>
          <w:sz w:val="18"/>
          <w:szCs w:val="18"/>
          <w:color w:val="auto"/>
        </w:rPr>
        <w:t>O</w:t>
      </w:r>
      <w:r>
        <w:rPr>
          <w:rFonts w:ascii="Arial" w:cs="Arial" w:eastAsia="Arial" w:hAnsi="Arial"/>
          <w:sz w:val="18"/>
          <w:szCs w:val="18"/>
          <w:b w:val="1"/>
          <w:bCs w:val="1"/>
          <w:i w:val="1"/>
          <w:iCs w:val="1"/>
          <w:color w:val="auto"/>
        </w:rPr>
        <w:t>nly</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elected not to carry our Long-term debt at fair value. The carrying value of our Long-term debt is net of the related unamortized discount and debt issuance costs.</w:t>
      </w:r>
    </w:p>
    <w:p>
      <w:pPr>
        <w:spacing w:after="0" w:line="13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The fair value of our Senior Notes is estimated based on quoted prices in active markets as of the reporting date, given that the Senior Notes are publicly traded, which are considered Level 1 inputs. The fair value of our 2022 Credit Facilities is estimated based on quoted market prices for similar instruments, adjusted for unobservable inputs to ensure comparability to our investment rating, maturity terms and principal outstanding, which are considered Level 3 inputs. Refer to Note 11, </w:t>
      </w:r>
      <w:r>
        <w:rPr>
          <w:rFonts w:ascii="Arial" w:cs="Arial" w:eastAsia="Arial" w:hAnsi="Arial"/>
          <w:sz w:val="16"/>
          <w:szCs w:val="16"/>
          <w:i w:val="1"/>
          <w:iCs w:val="1"/>
          <w:color w:val="auto"/>
        </w:rPr>
        <w:t>Debt</w:t>
      </w:r>
      <w:r>
        <w:rPr>
          <w:rFonts w:ascii="Arial" w:cs="Arial" w:eastAsia="Arial" w:hAnsi="Arial"/>
          <w:sz w:val="16"/>
          <w:szCs w:val="16"/>
          <w:color w:val="auto"/>
        </w:rPr>
        <w:t xml:space="preserve"> for definitions of these terms and more information on the Senior Notes and 2022 Credit Facilities.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on our outstanding debt as of May 31, 2023 and August 31,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gridSpan w:val="3"/>
          </w:tcPr>
          <w:p>
            <w:pPr>
              <w:jc w:val="right"/>
              <w:ind w:right="610"/>
              <w:spacing w:after="0"/>
              <w:rPr>
                <w:sz w:val="20"/>
                <w:szCs w:val="20"/>
                <w:color w:val="auto"/>
              </w:rPr>
            </w:pPr>
            <w:r>
              <w:rPr>
                <w:rFonts w:ascii="Arial" w:cs="Arial" w:eastAsia="Arial" w:hAnsi="Arial"/>
                <w:sz w:val="18"/>
                <w:szCs w:val="18"/>
                <w:color w:val="auto"/>
              </w:rPr>
              <w:t>May 31, 2023</w:t>
            </w:r>
          </w:p>
        </w:tc>
        <w:tc>
          <w:tcPr>
            <w:tcW w:w="200" w:type="dxa"/>
            <w:vAlign w:val="bottom"/>
          </w:tcPr>
          <w:p>
            <w:pPr>
              <w:spacing w:after="0"/>
              <w:rPr>
                <w:sz w:val="19"/>
                <w:szCs w:val="19"/>
                <w:color w:val="auto"/>
              </w:rPr>
            </w:pPr>
          </w:p>
        </w:tc>
        <w:tc>
          <w:tcPr>
            <w:tcW w:w="2220" w:type="dxa"/>
            <w:vAlign w:val="bottom"/>
            <w:gridSpan w:val="3"/>
          </w:tcPr>
          <w:p>
            <w:pPr>
              <w:jc w:val="right"/>
              <w:ind w:right="530"/>
              <w:spacing w:after="0"/>
              <w:rPr>
                <w:sz w:val="20"/>
                <w:szCs w:val="20"/>
                <w:color w:val="auto"/>
              </w:rPr>
            </w:pPr>
            <w:r>
              <w:rPr>
                <w:rFonts w:ascii="Arial" w:cs="Arial" w:eastAsia="Arial" w:hAnsi="Arial"/>
                <w:sz w:val="18"/>
                <w:szCs w:val="18"/>
                <w:color w:val="auto"/>
              </w:rPr>
              <w:t>August 31, 2022</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800" w:type="dxa"/>
            <w:vAlign w:val="bottom"/>
          </w:tcPr>
          <w:p>
            <w:pPr>
              <w:jc w:val="center"/>
              <w:ind w:left="490"/>
              <w:spacing w:after="0" w:line="189" w:lineRule="exact"/>
              <w:rPr>
                <w:sz w:val="20"/>
                <w:szCs w:val="20"/>
                <w:color w:val="auto"/>
              </w:rPr>
            </w:pPr>
            <w:r>
              <w:rPr>
                <w:rFonts w:ascii="Arial" w:cs="Arial" w:eastAsia="Arial" w:hAnsi="Arial"/>
                <w:sz w:val="18"/>
                <w:szCs w:val="18"/>
                <w:color w:val="auto"/>
                <w:w w:val="90"/>
              </w:rPr>
              <w:t>Fair Value</w:t>
            </w:r>
          </w:p>
        </w:tc>
        <w:tc>
          <w:tcPr>
            <w:tcW w:w="200" w:type="dxa"/>
            <w:vAlign w:val="bottom"/>
          </w:tcPr>
          <w:p>
            <w:pPr>
              <w:spacing w:after="0"/>
              <w:rPr>
                <w:sz w:val="16"/>
                <w:szCs w:val="16"/>
                <w:color w:val="auto"/>
              </w:rPr>
            </w:pPr>
          </w:p>
        </w:tc>
        <w:tc>
          <w:tcPr>
            <w:tcW w:w="1000" w:type="dxa"/>
            <w:vAlign w:val="bottom"/>
          </w:tcPr>
          <w:p>
            <w:pPr>
              <w:jc w:val="right"/>
              <w:ind w:right="170"/>
              <w:spacing w:after="0" w:line="189" w:lineRule="exact"/>
              <w:rPr>
                <w:sz w:val="20"/>
                <w:szCs w:val="20"/>
                <w:color w:val="auto"/>
              </w:rPr>
            </w:pPr>
            <w:r>
              <w:rPr>
                <w:rFonts w:ascii="Arial" w:cs="Arial" w:eastAsia="Arial" w:hAnsi="Arial"/>
                <w:sz w:val="18"/>
                <w:szCs w:val="18"/>
                <w:color w:val="auto"/>
              </w:rPr>
              <w:t>Principal</w:t>
            </w:r>
          </w:p>
        </w:tc>
        <w:tc>
          <w:tcPr>
            <w:tcW w:w="1220" w:type="dxa"/>
            <w:vAlign w:val="bottom"/>
            <w:gridSpan w:val="2"/>
          </w:tcPr>
          <w:p>
            <w:pPr>
              <w:jc w:val="right"/>
              <w:spacing w:after="0" w:line="189" w:lineRule="exact"/>
              <w:rPr>
                <w:sz w:val="20"/>
                <w:szCs w:val="20"/>
                <w:color w:val="auto"/>
              </w:rPr>
            </w:pPr>
            <w:r>
              <w:rPr>
                <w:rFonts w:ascii="Arial" w:cs="Arial" w:eastAsia="Arial" w:hAnsi="Arial"/>
                <w:sz w:val="18"/>
                <w:szCs w:val="18"/>
                <w:color w:val="auto"/>
                <w:w w:val="96"/>
              </w:rPr>
              <w:t>Estimated Fair</w:t>
            </w:r>
          </w:p>
        </w:tc>
        <w:tc>
          <w:tcPr>
            <w:tcW w:w="200" w:type="dxa"/>
            <w:vAlign w:val="bottom"/>
          </w:tcPr>
          <w:p>
            <w:pPr>
              <w:spacing w:after="0"/>
              <w:rPr>
                <w:sz w:val="16"/>
                <w:szCs w:val="16"/>
                <w:color w:val="auto"/>
              </w:rPr>
            </w:pPr>
          </w:p>
        </w:tc>
        <w:tc>
          <w:tcPr>
            <w:tcW w:w="1000" w:type="dxa"/>
            <w:vAlign w:val="bottom"/>
          </w:tcPr>
          <w:p>
            <w:pPr>
              <w:jc w:val="right"/>
              <w:ind w:right="190"/>
              <w:spacing w:after="0" w:line="189" w:lineRule="exact"/>
              <w:rPr>
                <w:sz w:val="20"/>
                <w:szCs w:val="20"/>
                <w:color w:val="auto"/>
              </w:rPr>
            </w:pPr>
            <w:r>
              <w:rPr>
                <w:rFonts w:ascii="Arial" w:cs="Arial" w:eastAsia="Arial" w:hAnsi="Arial"/>
                <w:sz w:val="18"/>
                <w:szCs w:val="18"/>
                <w:color w:val="auto"/>
              </w:rPr>
              <w:t>Principal</w:t>
            </w:r>
          </w:p>
        </w:tc>
        <w:tc>
          <w:tcPr>
            <w:tcW w:w="1220" w:type="dxa"/>
            <w:vAlign w:val="bottom"/>
            <w:gridSpan w:val="2"/>
          </w:tcPr>
          <w:p>
            <w:pPr>
              <w:jc w:val="right"/>
              <w:spacing w:after="0" w:line="189" w:lineRule="exact"/>
              <w:rPr>
                <w:sz w:val="20"/>
                <w:szCs w:val="20"/>
                <w:color w:val="auto"/>
              </w:rPr>
            </w:pPr>
            <w:r>
              <w:rPr>
                <w:rFonts w:ascii="Arial" w:cs="Arial" w:eastAsia="Arial" w:hAnsi="Arial"/>
                <w:sz w:val="18"/>
                <w:szCs w:val="18"/>
                <w:color w:val="auto"/>
                <w:w w:val="96"/>
              </w:rPr>
              <w:t>Estimated Fair</w:t>
            </w:r>
          </w:p>
        </w:tc>
        <w:tc>
          <w:tcPr>
            <w:tcW w:w="0" w:type="dxa"/>
            <w:vAlign w:val="bottom"/>
          </w:tcPr>
          <w:p>
            <w:pPr>
              <w:spacing w:after="0"/>
              <w:rPr>
                <w:sz w:val="1"/>
                <w:szCs w:val="1"/>
                <w:color w:val="auto"/>
              </w:rPr>
            </w:pPr>
          </w:p>
        </w:tc>
      </w:tr>
      <w:tr>
        <w:trPr>
          <w:trHeight w:val="230"/>
        </w:trPr>
        <w:tc>
          <w:tcPr>
            <w:tcW w:w="46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180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color w:val="auto"/>
                <w:w w:val="93"/>
              </w:rPr>
              <w:t>Hierarchy</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Amount</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Value</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Amount</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223"/>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2027</w:t>
            </w:r>
          </w:p>
        </w:tc>
        <w:tc>
          <w:tcPr>
            <w:tcW w:w="4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w:t>
            </w:r>
          </w:p>
        </w:tc>
        <w:tc>
          <w:tcPr>
            <w:tcW w:w="180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96"/>
              </w:rPr>
              <w:t>Level 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462,345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470,525</w:t>
            </w:r>
          </w:p>
        </w:tc>
        <w:tc>
          <w:tcPr>
            <w:tcW w:w="0" w:type="dxa"/>
            <w:vAlign w:val="bottom"/>
          </w:tcPr>
          <w:p>
            <w:pPr>
              <w:spacing w:after="0"/>
              <w:rPr>
                <w:sz w:val="1"/>
                <w:szCs w:val="1"/>
                <w:color w:val="auto"/>
              </w:rPr>
            </w:pPr>
          </w:p>
        </w:tc>
      </w:tr>
      <w:tr>
        <w:trPr>
          <w:trHeight w:val="237"/>
        </w:trPr>
        <w:tc>
          <w:tcPr>
            <w:tcW w:w="400" w:type="dxa"/>
            <w:vAlign w:val="bottom"/>
          </w:tcPr>
          <w:p>
            <w:pPr>
              <w:ind w:left="20"/>
              <w:spacing w:after="0"/>
              <w:rPr>
                <w:sz w:val="20"/>
                <w:szCs w:val="20"/>
                <w:color w:val="auto"/>
              </w:rPr>
            </w:pPr>
            <w:r>
              <w:rPr>
                <w:rFonts w:ascii="Arial" w:cs="Arial" w:eastAsia="Arial" w:hAnsi="Arial"/>
                <w:sz w:val="18"/>
                <w:szCs w:val="18"/>
                <w:color w:val="auto"/>
                <w:w w:val="89"/>
              </w:rPr>
              <w:t>2032</w:t>
            </w:r>
          </w:p>
        </w:tc>
        <w:tc>
          <w:tcPr>
            <w:tcW w:w="4200" w:type="dxa"/>
            <w:vAlign w:val="bottom"/>
          </w:tcPr>
          <w:p>
            <w:pPr>
              <w:ind w:left="40"/>
              <w:spacing w:after="0"/>
              <w:rPr>
                <w:sz w:val="20"/>
                <w:szCs w:val="20"/>
                <w:color w:val="auto"/>
              </w:rPr>
            </w:pPr>
            <w:r>
              <w:rPr>
                <w:rFonts w:ascii="Arial" w:cs="Arial" w:eastAsia="Arial" w:hAnsi="Arial"/>
                <w:sz w:val="18"/>
                <w:szCs w:val="18"/>
                <w:color w:val="auto"/>
              </w:rPr>
              <w:t>Notes</w:t>
            </w:r>
          </w:p>
        </w:tc>
        <w:tc>
          <w:tcPr>
            <w:tcW w:w="1800" w:type="dxa"/>
            <w:vAlign w:val="bottom"/>
          </w:tcPr>
          <w:p>
            <w:pPr>
              <w:jc w:val="center"/>
              <w:ind w:left="470"/>
              <w:spacing w:after="0"/>
              <w:rPr>
                <w:sz w:val="20"/>
                <w:szCs w:val="20"/>
                <w:color w:val="auto"/>
              </w:rPr>
            </w:pPr>
            <w:r>
              <w:rPr>
                <w:rFonts w:ascii="Arial" w:cs="Arial" w:eastAsia="Arial" w:hAnsi="Arial"/>
                <w:sz w:val="18"/>
                <w:szCs w:val="18"/>
                <w:color w:val="auto"/>
                <w:w w:val="96"/>
              </w:rPr>
              <w:t>Level 1</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500,000</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428,725</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500,000</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438,205</w:t>
            </w:r>
          </w:p>
        </w:tc>
        <w:tc>
          <w:tcPr>
            <w:tcW w:w="0" w:type="dxa"/>
            <w:vAlign w:val="bottom"/>
          </w:tcPr>
          <w:p>
            <w:pPr>
              <w:spacing w:after="0"/>
              <w:rPr>
                <w:sz w:val="1"/>
                <w:szCs w:val="1"/>
                <w:color w:val="auto"/>
              </w:rPr>
            </w:pPr>
          </w:p>
        </w:tc>
      </w:tr>
      <w:tr>
        <w:trPr>
          <w:trHeight w:val="236"/>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2022 Term Facility</w:t>
            </w:r>
          </w:p>
        </w:tc>
        <w:tc>
          <w:tcPr>
            <w:tcW w:w="180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96"/>
              </w:rPr>
              <w:t>Level 3</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437,500</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439,141</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750,975</w:t>
            </w: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Arial" w:cs="Arial" w:eastAsia="Arial" w:hAnsi="Arial"/>
                <w:sz w:val="18"/>
                <w:szCs w:val="18"/>
                <w:color w:val="auto"/>
                <w:w w:val="89"/>
              </w:rPr>
              <w:t>2022</w:t>
            </w:r>
          </w:p>
        </w:tc>
        <w:tc>
          <w:tcPr>
            <w:tcW w:w="4200" w:type="dxa"/>
            <w:vAlign w:val="bottom"/>
          </w:tcPr>
          <w:p>
            <w:pPr>
              <w:ind w:left="40"/>
              <w:spacing w:after="0"/>
              <w:rPr>
                <w:sz w:val="20"/>
                <w:szCs w:val="20"/>
                <w:color w:val="auto"/>
              </w:rPr>
            </w:pPr>
            <w:r>
              <w:rPr>
                <w:rFonts w:ascii="Arial" w:cs="Arial" w:eastAsia="Arial" w:hAnsi="Arial"/>
                <w:sz w:val="18"/>
                <w:szCs w:val="18"/>
                <w:color w:val="auto"/>
              </w:rPr>
              <w:t>Revolving Facility</w:t>
            </w:r>
          </w:p>
        </w:tc>
        <w:tc>
          <w:tcPr>
            <w:tcW w:w="1800" w:type="dxa"/>
            <w:vAlign w:val="bottom"/>
          </w:tcPr>
          <w:p>
            <w:pPr>
              <w:jc w:val="center"/>
              <w:ind w:left="470"/>
              <w:spacing w:after="0"/>
              <w:rPr>
                <w:sz w:val="20"/>
                <w:szCs w:val="20"/>
                <w:color w:val="auto"/>
              </w:rPr>
            </w:pPr>
            <w:r>
              <w:rPr>
                <w:rFonts w:ascii="Arial" w:cs="Arial" w:eastAsia="Arial" w:hAnsi="Arial"/>
                <w:sz w:val="18"/>
                <w:szCs w:val="18"/>
                <w:color w:val="auto"/>
                <w:w w:val="96"/>
              </w:rPr>
              <w:t>Level 3</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250,000</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244,687</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250,000</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249,075</w:t>
            </w:r>
          </w:p>
        </w:tc>
        <w:tc>
          <w:tcPr>
            <w:tcW w:w="0" w:type="dxa"/>
            <w:vAlign w:val="bottom"/>
          </w:tcPr>
          <w:p>
            <w:pPr>
              <w:spacing w:after="0"/>
              <w:rPr>
                <w:sz w:val="1"/>
                <w:szCs w:val="1"/>
                <w:color w:val="auto"/>
              </w:rPr>
            </w:pPr>
          </w:p>
        </w:tc>
      </w:tr>
      <w:tr>
        <w:trPr>
          <w:trHeight w:val="236"/>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principal amount</w:t>
            </w:r>
          </w:p>
        </w:tc>
        <w:tc>
          <w:tcPr>
            <w:tcW w:w="18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1,687,500</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1,574,898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1,908,780</w:t>
            </w:r>
          </w:p>
        </w:tc>
        <w:tc>
          <w:tcPr>
            <w:tcW w:w="0" w:type="dxa"/>
            <w:vAlign w:val="bottom"/>
          </w:tcPr>
          <w:p>
            <w:pPr>
              <w:spacing w:after="0"/>
              <w:rPr>
                <w:sz w:val="1"/>
                <w:szCs w:val="1"/>
                <w:color w:val="auto"/>
              </w:rPr>
            </w:pPr>
          </w:p>
        </w:tc>
      </w:tr>
      <w:tr>
        <w:trPr>
          <w:trHeight w:val="230"/>
        </w:trPr>
        <w:tc>
          <w:tcPr>
            <w:tcW w:w="46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unamortized discounts and debt issuance costs</w:t>
            </w:r>
          </w:p>
        </w:tc>
        <w:tc>
          <w:tcPr>
            <w:tcW w:w="18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(13,306)</w:t>
            </w:r>
          </w:p>
        </w:tc>
        <w:tc>
          <w:tcPr>
            <w:tcW w:w="2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(17,576)</w:t>
            </w:r>
          </w:p>
        </w:tc>
        <w:tc>
          <w:tcPr>
            <w:tcW w:w="2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net carrying value of debt</w:t>
            </w:r>
          </w:p>
        </w:tc>
        <w:tc>
          <w:tcPr>
            <w:tcW w:w="18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1,674,194</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1,982,424</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CCEEFF"/>
            </w:tcBorders>
            <w:vMerge w:val="restart"/>
          </w:tcPr>
          <w:p>
            <w:pPr>
              <w:jc w:val="right"/>
              <w:ind w:right="590"/>
              <w:spacing w:after="0"/>
              <w:rPr>
                <w:sz w:val="20"/>
                <w:szCs w:val="20"/>
                <w:color w:val="auto"/>
              </w:rPr>
            </w:pPr>
            <w:r>
              <w:rPr>
                <w:rFonts w:ascii="Arial" w:cs="Arial" w:eastAsia="Arial" w:hAnsi="Arial"/>
                <w:sz w:val="18"/>
                <w:szCs w:val="18"/>
                <w:color w:val="auto"/>
              </w:rPr>
              <w:t>16</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40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 w:type="dxa"/>
            <w:vAlign w:val="bottom"/>
            <w:tcBorders>
              <w:bottom w:val="single" w:sz="8" w:color="9A9A9A"/>
            </w:tcBorders>
          </w:tcPr>
          <w:p>
            <w:pPr>
              <w:spacing w:after="0"/>
              <w:rPr>
                <w:sz w:val="10"/>
                <w:szCs w:val="10"/>
                <w:color w:val="auto"/>
              </w:rPr>
            </w:pPr>
          </w:p>
        </w:tc>
        <w:tc>
          <w:tcPr>
            <w:tcW w:w="420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 DERIVATIVE INSTRUMENTS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18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designing our hedging approach, we consider several factors, including offsetting exposures, the significance of exposures, the forecasting of risk and the potential effectiveness of the hedge to reduce the volatility of our earnings and cash flows. Factors considered in the decision to hedge an underlying market exposure include the materiality of the risk, the volatility of the market, the duration of the hedge, the degree to which the underlying exposure is committed to, and the availability, effectiveness and cost of derivative instruments. Derivative instruments are only utilized for risk management purposes and are not used for speculative or trading purposes. We limit counterparties to financial institutions we believe are credit-worthy. Refer to Note 2,</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Significant Accounting Policies - Concentrations of Credit Risk</w:t>
      </w:r>
      <w:r>
        <w:rPr>
          <w:rFonts w:ascii="Arial" w:cs="Arial" w:eastAsia="Arial" w:hAnsi="Arial"/>
          <w:sz w:val="18"/>
          <w:szCs w:val="18"/>
          <w:color w:val="auto"/>
        </w:rPr>
        <w:t>, for further discussion on counterparty credit risk.</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leverage foreign currency forward contracts and interest rate swaps to mitigate certain operational exposures from the impact of changes in foreign currency exchange rates and to manage our interest rate exposure. We have designated and accounted for these derivatives as cash flow hedges with the unrealized gains or losses recorded in Accumulated Other Comprehensive Loss ("AOCL"), net of tax, in the Consolidated Balance Sheets. Realized gains or losses resulting from settlement of our forward contracts and swap agreements are subsequently reclassified into Selling, general and administrative ("SG&amp;A") and Interest expense, respectively, in the Consolidated Statements of Income when the hedges are settled.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Forward Contracts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we conduct business outside the U.S. in several currencies, we are exposed to movements in foreign currency exchange rates. As of May 31, 2023, we maintained a series of foreign currency forward contracts to hedge a portion of our exposures related to our primary currencies of the British Pound Sterling, Indian Rupee, Euro and Philippine Peso. To mitigate our currency exposure, we entered into these contracts to hedge between 25% to 75% of our projected operating expenses, denominated in our primary foreign currencies, over their respective hedge periods, ranging from the fourth quarter of fiscal 2023 through the third quarter of fiscal 2024.</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gross notional value of foreign currency forward contracts to purchase British Pound Sterling, Euros, Indian Rupees and Philippine Pesos with U.S. dollars as of May 31, 2023 and August 31, 2022: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0" w:type="dxa"/>
            <w:vAlign w:val="bottom"/>
            <w:gridSpan w:val="2"/>
          </w:tcPr>
          <w:p>
            <w:pPr>
              <w:jc w:val="right"/>
              <w:ind w:right="50"/>
              <w:spacing w:after="0"/>
              <w:rPr>
                <w:sz w:val="20"/>
                <w:szCs w:val="20"/>
                <w:color w:val="auto"/>
              </w:rPr>
            </w:pPr>
            <w:r>
              <w:rPr>
                <w:rFonts w:ascii="Arial" w:cs="Arial" w:eastAsia="Arial" w:hAnsi="Arial"/>
                <w:sz w:val="18"/>
                <w:szCs w:val="18"/>
                <w:color w:val="auto"/>
              </w:rPr>
              <w:t>May 31, 2023</w:t>
            </w: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40" w:type="dxa"/>
            <w:vAlign w:val="bottom"/>
            <w:gridSpan w:val="2"/>
          </w:tcPr>
          <w:p>
            <w:pPr>
              <w:jc w:val="right"/>
              <w:ind w:right="10"/>
              <w:spacing w:after="0"/>
              <w:rPr>
                <w:sz w:val="20"/>
                <w:szCs w:val="20"/>
                <w:color w:val="auto"/>
              </w:rPr>
            </w:pPr>
            <w:r>
              <w:rPr>
                <w:rFonts w:ascii="Arial" w:cs="Arial" w:eastAsia="Arial" w:hAnsi="Arial"/>
                <w:sz w:val="18"/>
                <w:szCs w:val="18"/>
                <w:color w:val="auto"/>
              </w:rPr>
              <w:t>August 31, 2022</w:t>
            </w:r>
          </w:p>
        </w:tc>
        <w:tc>
          <w:tcPr>
            <w:tcW w:w="1160" w:type="dxa"/>
            <w:vAlign w:val="bottom"/>
          </w:tcPr>
          <w:p>
            <w:pPr>
              <w:spacing w:after="0"/>
              <w:rPr>
                <w:sz w:val="20"/>
                <w:szCs w:val="20"/>
                <w:color w:val="auto"/>
              </w:rPr>
            </w:pPr>
          </w:p>
        </w:tc>
      </w:tr>
      <w:tr>
        <w:trPr>
          <w:trHeight w:val="243"/>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3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Local Currency</w:t>
            </w:r>
          </w:p>
        </w:tc>
        <w:tc>
          <w:tcPr>
            <w:tcW w:w="6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USD</w:t>
            </w:r>
          </w:p>
        </w:tc>
        <w:tc>
          <w:tcPr>
            <w:tcW w:w="3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Local Currency</w:t>
            </w:r>
          </w:p>
        </w:tc>
        <w:tc>
          <w:tcPr>
            <w:tcW w:w="6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USD</w:t>
            </w:r>
          </w:p>
        </w:tc>
      </w:tr>
      <w:tr>
        <w:trPr>
          <w:trHeight w:val="223"/>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British Pound Sterling</w:t>
            </w:r>
          </w:p>
        </w:tc>
        <w:tc>
          <w:tcPr>
            <w:tcW w:w="138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45,600</w:t>
            </w: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55,367</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44,200</w:t>
            </w: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55,567</w:t>
            </w:r>
          </w:p>
        </w:tc>
      </w:tr>
      <w:tr>
        <w:trPr>
          <w:trHeight w:val="237"/>
        </w:trPr>
        <w:tc>
          <w:tcPr>
            <w:tcW w:w="2760" w:type="dxa"/>
            <w:vAlign w:val="bottom"/>
          </w:tcPr>
          <w:p>
            <w:pPr>
              <w:ind w:left="20"/>
              <w:spacing w:after="0"/>
              <w:rPr>
                <w:sz w:val="20"/>
                <w:szCs w:val="20"/>
                <w:color w:val="auto"/>
              </w:rPr>
            </w:pPr>
            <w:r>
              <w:rPr>
                <w:rFonts w:ascii="Arial" w:cs="Arial" w:eastAsia="Arial" w:hAnsi="Arial"/>
                <w:sz w:val="18"/>
                <w:szCs w:val="18"/>
                <w:color w:val="auto"/>
              </w:rPr>
              <w:t>Euro</w:t>
            </w:r>
          </w:p>
        </w:tc>
        <w:tc>
          <w:tcPr>
            <w:tcW w:w="1380" w:type="dxa"/>
            <w:vAlign w:val="bottom"/>
          </w:tcPr>
          <w:p>
            <w:pPr>
              <w:ind w:left="11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38,700</w:t>
            </w:r>
          </w:p>
        </w:tc>
        <w:tc>
          <w:tcPr>
            <w:tcW w:w="6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41,612</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37,500</w:t>
            </w:r>
          </w:p>
        </w:tc>
        <w:tc>
          <w:tcPr>
            <w:tcW w:w="6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40,679</w:t>
            </w:r>
          </w:p>
        </w:tc>
      </w:tr>
      <w:tr>
        <w:trPr>
          <w:trHeight w:val="236"/>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Indian Rupee</w:t>
            </w:r>
          </w:p>
        </w:tc>
        <w:tc>
          <w:tcPr>
            <w:tcW w:w="138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Rs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3,219,297</w:t>
            </w:r>
          </w:p>
        </w:tc>
        <w:tc>
          <w:tcPr>
            <w:tcW w:w="6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38,700</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2,667,928</w:t>
            </w:r>
          </w:p>
        </w:tc>
        <w:tc>
          <w:tcPr>
            <w:tcW w:w="6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33,600</w:t>
            </w:r>
          </w:p>
        </w:tc>
      </w:tr>
      <w:tr>
        <w:trPr>
          <w:trHeight w:val="230"/>
        </w:trPr>
        <w:tc>
          <w:tcPr>
            <w:tcW w:w="2760" w:type="dxa"/>
            <w:vAlign w:val="bottom"/>
          </w:tcPr>
          <w:p>
            <w:pPr>
              <w:ind w:left="20"/>
              <w:spacing w:after="0"/>
              <w:rPr>
                <w:sz w:val="20"/>
                <w:szCs w:val="20"/>
                <w:color w:val="auto"/>
              </w:rPr>
            </w:pPr>
            <w:r>
              <w:rPr>
                <w:rFonts w:ascii="Arial" w:cs="Arial" w:eastAsia="Arial" w:hAnsi="Arial"/>
                <w:sz w:val="18"/>
                <w:szCs w:val="18"/>
                <w:color w:val="auto"/>
              </w:rPr>
              <w:t>Philippine Peso</w:t>
            </w:r>
          </w:p>
        </w:tc>
        <w:tc>
          <w:tcPr>
            <w:tcW w:w="1380" w:type="dxa"/>
            <w:vAlign w:val="bottom"/>
          </w:tcPr>
          <w:p>
            <w:pPr>
              <w:ind w:left="11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1,857,009</w:t>
            </w: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33,000</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1,462,060</w:t>
            </w:r>
          </w:p>
        </w:tc>
        <w:tc>
          <w:tcPr>
            <w:tcW w:w="6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27,000</w:t>
            </w:r>
          </w:p>
        </w:tc>
      </w:tr>
      <w:tr>
        <w:trPr>
          <w:trHeight w:val="237"/>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3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168,679</w:t>
            </w:r>
          </w:p>
        </w:tc>
        <w:tc>
          <w:tcPr>
            <w:tcW w:w="3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156,846</w:t>
            </w:r>
          </w:p>
        </w:tc>
      </w:tr>
    </w:tbl>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There was no discontinuance of our foreign currency cash flow hedges during the nine months ended May 31, 2023 or May 31, 2022, and as such, no corresponding gains or losses related to changes in the value of our contracts were reclassified into earnings prior to settlement. Refer to </w:t>
      </w:r>
      <w:r>
        <w:rPr>
          <w:rFonts w:ascii="Arial" w:cs="Arial" w:eastAsia="Arial" w:hAnsi="Arial"/>
          <w:sz w:val="18"/>
          <w:szCs w:val="18"/>
          <w:i w:val="1"/>
          <w:iCs w:val="1"/>
          <w:color w:val="auto"/>
        </w:rPr>
        <w:t>Foreign Currency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Transaction Risk </w:t>
      </w:r>
      <w:r>
        <w:rPr>
          <w:rFonts w:ascii="Arial" w:cs="Arial" w:eastAsia="Arial" w:hAnsi="Arial"/>
          <w:sz w:val="18"/>
          <w:szCs w:val="18"/>
          <w:color w:val="auto"/>
        </w:rPr>
        <w:t>in Item 3. Quantitative and Qualitative Disclosures About Market Risk of this Quarterly Report on Form 10-Q for further discussion of</w:t>
      </w:r>
      <w:r>
        <w:rPr>
          <w:rFonts w:ascii="Arial" w:cs="Arial" w:eastAsia="Arial" w:hAnsi="Arial"/>
          <w:sz w:val="18"/>
          <w:szCs w:val="18"/>
          <w:i w:val="1"/>
          <w:iCs w:val="1"/>
          <w:color w:val="auto"/>
        </w:rPr>
        <w:t xml:space="preserve"> </w:t>
      </w:r>
      <w:r>
        <w:rPr>
          <w:rFonts w:ascii="Arial" w:cs="Arial" w:eastAsia="Arial" w:hAnsi="Arial"/>
          <w:sz w:val="18"/>
          <w:szCs w:val="18"/>
          <w:color w:val="auto"/>
        </w:rPr>
        <w:t>our exposure to foreign exchange rate fluctuations.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 Agreements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Swap Agreement</w:t>
      </w:r>
    </w:p>
    <w:p>
      <w:pPr>
        <w:spacing w:after="0" w:line="18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On March 1, 2022, we entered into an interest rate swap agreement ("2022 Swap Agreement") with a notional amount of $800.0 million to hedge a portion of our outstanding floating Secured Overnight Financing Rate ("SOFR") rate debt with a fixed interest rate of 1.162%. The notional amount of the 2022 Swap Agreement declines by $100.0 million on a quarterly basis beginning May 31, 2022 and is maturing on February 28, 2024. Effective December 30, 2022, we partially novated our 2022 Swap Agreement to equally apportion the then outstanding notional amount of the interest rate swap between two counterparties. No other terms of the 2022 Swap Agreement were amended, terminated, or otherwise modified. As of May 31, 2023, the notional amount of the 2022 Swap Agreement was $300.0 million.</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 xml:space="preserve">Refer to Note 11, </w:t>
      </w:r>
      <w:r>
        <w:rPr>
          <w:rFonts w:ascii="Arial" w:cs="Arial" w:eastAsia="Arial" w:hAnsi="Arial"/>
          <w:sz w:val="18"/>
          <w:szCs w:val="18"/>
          <w:i w:val="1"/>
          <w:iCs w:val="1"/>
          <w:color w:val="auto"/>
        </w:rPr>
        <w:t>Debt</w:t>
      </w:r>
      <w:r>
        <w:rPr>
          <w:rFonts w:ascii="Arial" w:cs="Arial" w:eastAsia="Arial" w:hAnsi="Arial"/>
          <w:sz w:val="18"/>
          <w:szCs w:val="18"/>
          <w:color w:val="auto"/>
        </w:rPr>
        <w:t xml:space="preserve">, for further discussion of our outstanding floating SOFR rate debt. Refer to </w:t>
      </w:r>
      <w:r>
        <w:rPr>
          <w:rFonts w:ascii="Arial" w:cs="Arial" w:eastAsia="Arial" w:hAnsi="Arial"/>
          <w:sz w:val="18"/>
          <w:szCs w:val="18"/>
          <w:i w:val="1"/>
          <w:iCs w:val="1"/>
          <w:color w:val="auto"/>
        </w:rPr>
        <w:t>Interest Rate Risk</w:t>
      </w:r>
      <w:r>
        <w:rPr>
          <w:rFonts w:ascii="Arial" w:cs="Arial" w:eastAsia="Arial" w:hAnsi="Arial"/>
          <w:sz w:val="18"/>
          <w:szCs w:val="18"/>
          <w:color w:val="auto"/>
        </w:rPr>
        <w:t xml:space="preserve"> in Part I, Item 3. Quantitative and Qualitative Disclosures About Market Risk of this Quarterly Report on Form 10-Q for further discussion of our exposure to interest rate risk on our long-term debt outstanding.</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Swap Agreement</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March 5, 2020, we entered into an interest rate swap agreement ("2020 Swap Agreement") with a notional amount of $287.5 million. The 2020 Swap Agreement hedged a portion of our then outstanding floating LIBOR rate debt with a fixed interest rate of 0.7995% to mitigate our interest rate exposure. On March 1, 2022, we terminated the 2020 Swap Agreement, which resulted in a one-time benefit of $3.5 million recognized in Interest expense in the Consolidated Statements of Income during the third quarter of fiscal 2022, based on its fair market value.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00" w:type="dxa"/>
            <w:vAlign w:val="bottom"/>
          </w:tcPr>
          <w:p>
            <w:pPr>
              <w:spacing w:after="0"/>
              <w:rPr>
                <w:sz w:val="20"/>
                <w:szCs w:val="20"/>
                <w:color w:val="auto"/>
              </w:rPr>
            </w:pPr>
            <w:r>
              <w:rPr>
                <w:rFonts w:ascii="Arial" w:cs="Arial" w:eastAsia="Arial" w:hAnsi="Arial"/>
                <w:sz w:val="18"/>
                <w:szCs w:val="18"/>
                <w:b w:val="1"/>
                <w:bCs w:val="1"/>
                <w:color w:val="auto"/>
              </w:rPr>
              <w:t>Gross Notional Value and Fair Value of Derivative Instruments</w:t>
            </w: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92"/>
        </w:trPr>
        <w:tc>
          <w:tcPr>
            <w:tcW w:w="7700" w:type="dxa"/>
            <w:vAlign w:val="bottom"/>
          </w:tcPr>
          <w:p>
            <w:pPr>
              <w:spacing w:after="0"/>
              <w:rPr>
                <w:sz w:val="20"/>
                <w:szCs w:val="20"/>
                <w:color w:val="auto"/>
              </w:rPr>
            </w:pPr>
            <w:r>
              <w:rPr>
                <w:rFonts w:ascii="Arial" w:cs="Arial" w:eastAsia="Arial" w:hAnsi="Arial"/>
                <w:sz w:val="18"/>
                <w:szCs w:val="18"/>
                <w:color w:val="auto"/>
              </w:rPr>
              <w:t>The following is a summary of the gross notional values of the derivative instruments:</w:t>
            </w: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500"/>
        </w:trPr>
        <w:tc>
          <w:tcPr>
            <w:tcW w:w="7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60" w:type="dxa"/>
            <w:vAlign w:val="bottom"/>
            <w:gridSpan w:val="3"/>
          </w:tcPr>
          <w:p>
            <w:pPr>
              <w:jc w:val="right"/>
              <w:ind w:right="910"/>
              <w:spacing w:after="0"/>
              <w:rPr>
                <w:sz w:val="20"/>
                <w:szCs w:val="20"/>
                <w:color w:val="auto"/>
              </w:rPr>
            </w:pPr>
            <w:r>
              <w:rPr>
                <w:rFonts w:ascii="Arial" w:cs="Arial" w:eastAsia="Arial" w:hAnsi="Arial"/>
                <w:sz w:val="18"/>
                <w:szCs w:val="18"/>
                <w:color w:val="auto"/>
              </w:rPr>
              <w:t>Gross Notional Value</w:t>
            </w:r>
          </w:p>
        </w:tc>
      </w:tr>
      <w:tr>
        <w:trPr>
          <w:trHeight w:val="27"/>
        </w:trPr>
        <w:tc>
          <w:tcPr>
            <w:tcW w:w="7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304"/>
        </w:trPr>
        <w:tc>
          <w:tcPr>
            <w:tcW w:w="77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May 31, 2023</w:t>
            </w: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3"/>
              </w:rPr>
              <w:t>August 31, 2022</w:t>
            </w:r>
          </w:p>
        </w:tc>
      </w:tr>
      <w:tr>
        <w:trPr>
          <w:trHeight w:val="243"/>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forward contracts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168,679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156,846</w:t>
            </w:r>
          </w:p>
        </w:tc>
      </w:tr>
      <w:tr>
        <w:trPr>
          <w:trHeight w:val="243"/>
        </w:trPr>
        <w:tc>
          <w:tcPr>
            <w:tcW w:w="7700" w:type="dxa"/>
            <w:vAlign w:val="bottom"/>
          </w:tcPr>
          <w:p>
            <w:pPr>
              <w:ind w:left="20"/>
              <w:spacing w:after="0"/>
              <w:rPr>
                <w:sz w:val="20"/>
                <w:szCs w:val="20"/>
                <w:color w:val="auto"/>
              </w:rPr>
            </w:pPr>
            <w:r>
              <w:rPr>
                <w:rFonts w:ascii="Arial" w:cs="Arial" w:eastAsia="Arial" w:hAnsi="Arial"/>
                <w:sz w:val="18"/>
                <w:szCs w:val="18"/>
                <w:color w:val="auto"/>
              </w:rPr>
              <w:t>Interest rate swap agreement</w:t>
            </w:r>
          </w:p>
        </w:tc>
        <w:tc>
          <w:tcPr>
            <w:tcW w:w="2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300,000</w:t>
            </w: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600,000</w:t>
            </w:r>
          </w:p>
        </w:tc>
      </w:tr>
      <w:tr>
        <w:trPr>
          <w:trHeight w:val="27"/>
        </w:trPr>
        <w:tc>
          <w:tcPr>
            <w:tcW w:w="7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4"/>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cash flow hedges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468,679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756,846</w:t>
            </w:r>
          </w:p>
        </w:tc>
      </w:tr>
      <w:tr>
        <w:trPr>
          <w:trHeight w:val="26"/>
        </w:trPr>
        <w:tc>
          <w:tcPr>
            <w:tcW w:w="77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fair values of our derivative instruments: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80" w:type="dxa"/>
            <w:vAlign w:val="bottom"/>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gridSpan w:val="4"/>
          </w:tcPr>
          <w:p>
            <w:pPr>
              <w:ind w:left="880"/>
              <w:spacing w:after="0"/>
              <w:rPr>
                <w:sz w:val="20"/>
                <w:szCs w:val="20"/>
                <w:color w:val="auto"/>
              </w:rPr>
            </w:pPr>
            <w:r>
              <w:rPr>
                <w:rFonts w:ascii="Arial" w:cs="Arial" w:eastAsia="Arial" w:hAnsi="Arial"/>
                <w:sz w:val="18"/>
                <w:szCs w:val="18"/>
                <w:color w:val="auto"/>
              </w:rPr>
              <w:t>Fair Value of Derivative Instruments</w:t>
            </w: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48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3280" w:type="dxa"/>
            <w:vAlign w:val="bottom"/>
            <w:tcBorders>
              <w:bottom w:val="single" w:sz="8" w:color="auto"/>
            </w:tcBorders>
            <w:gridSpan w:val="3"/>
          </w:tcPr>
          <w:p>
            <w:pPr>
              <w:ind w:left="1660"/>
              <w:spacing w:after="0"/>
              <w:rPr>
                <w:sz w:val="20"/>
                <w:szCs w:val="20"/>
                <w:color w:val="auto"/>
              </w:rPr>
            </w:pPr>
            <w:r>
              <w:rPr>
                <w:rFonts w:ascii="Arial" w:cs="Arial" w:eastAsia="Arial" w:hAnsi="Arial"/>
                <w:sz w:val="18"/>
                <w:szCs w:val="18"/>
                <w:color w:val="auto"/>
              </w:rPr>
              <w:t>Derivative Assets</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3"/>
          </w:tcPr>
          <w:p>
            <w:pPr>
              <w:ind w:left="1300"/>
              <w:spacing w:after="0"/>
              <w:rPr>
                <w:sz w:val="20"/>
                <w:szCs w:val="20"/>
                <w:color w:val="auto"/>
              </w:rPr>
            </w:pPr>
            <w:r>
              <w:rPr>
                <w:rFonts w:ascii="Arial" w:cs="Arial" w:eastAsia="Arial" w:hAnsi="Arial"/>
                <w:sz w:val="18"/>
                <w:szCs w:val="18"/>
                <w:color w:val="auto"/>
              </w:rPr>
              <w:t>Derivative Liabilities</w:t>
            </w: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480" w:type="dxa"/>
            <w:vAlign w:val="bottom"/>
          </w:tcPr>
          <w:p>
            <w:pPr>
              <w:ind w:left="20"/>
              <w:spacing w:after="0" w:line="169" w:lineRule="exact"/>
              <w:rPr>
                <w:sz w:val="20"/>
                <w:szCs w:val="20"/>
                <w:color w:val="auto"/>
              </w:rPr>
            </w:pPr>
            <w:r>
              <w:rPr>
                <w:rFonts w:ascii="Arial" w:cs="Arial" w:eastAsia="Arial" w:hAnsi="Arial"/>
                <w:sz w:val="18"/>
                <w:szCs w:val="18"/>
                <w:color w:val="auto"/>
              </w:rPr>
              <w:t>Derivatives designated as</w:t>
            </w:r>
          </w:p>
        </w:tc>
        <w:tc>
          <w:tcPr>
            <w:tcW w:w="2080" w:type="dxa"/>
            <w:vAlign w:val="bottom"/>
          </w:tcPr>
          <w:p>
            <w:pPr>
              <w:ind w:left="20"/>
              <w:spacing w:after="0" w:line="169" w:lineRule="exact"/>
              <w:rPr>
                <w:sz w:val="20"/>
                <w:szCs w:val="20"/>
                <w:color w:val="auto"/>
              </w:rPr>
            </w:pPr>
            <w:r>
              <w:rPr>
                <w:rFonts w:ascii="Arial" w:cs="Arial" w:eastAsia="Arial" w:hAnsi="Arial"/>
                <w:sz w:val="18"/>
                <w:szCs w:val="18"/>
                <w:color w:val="auto"/>
              </w:rPr>
              <w:t>Balance Sheet</w:t>
            </w:r>
          </w:p>
        </w:tc>
        <w:tc>
          <w:tcPr>
            <w:tcW w:w="10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w w:val="91"/>
              </w:rPr>
              <w:t>May 31, 2023</w:t>
            </w:r>
          </w:p>
        </w:tc>
        <w:tc>
          <w:tcPr>
            <w:tcW w:w="1340" w:type="dxa"/>
            <w:vAlign w:val="bottom"/>
            <w:gridSpan w:val="2"/>
            <w:vMerge w:val="restart"/>
          </w:tcPr>
          <w:p>
            <w:pPr>
              <w:jc w:val="right"/>
              <w:spacing w:after="0"/>
              <w:rPr>
                <w:sz w:val="20"/>
                <w:szCs w:val="20"/>
                <w:color w:val="auto"/>
              </w:rPr>
            </w:pPr>
            <w:r>
              <w:rPr>
                <w:rFonts w:ascii="Arial" w:cs="Arial" w:eastAsia="Arial" w:hAnsi="Arial"/>
                <w:sz w:val="18"/>
                <w:szCs w:val="18"/>
                <w:color w:val="auto"/>
                <w:w w:val="96"/>
              </w:rPr>
              <w:t>August 31, 2022</w:t>
            </w:r>
          </w:p>
        </w:tc>
        <w:tc>
          <w:tcPr>
            <w:tcW w:w="1760" w:type="dxa"/>
            <w:vAlign w:val="bottom"/>
          </w:tcPr>
          <w:p>
            <w:pPr>
              <w:spacing w:after="0" w:line="169" w:lineRule="exact"/>
              <w:rPr>
                <w:sz w:val="20"/>
                <w:szCs w:val="20"/>
                <w:color w:val="auto"/>
              </w:rPr>
            </w:pPr>
            <w:r>
              <w:rPr>
                <w:rFonts w:ascii="Arial" w:cs="Arial" w:eastAsia="Arial" w:hAnsi="Arial"/>
                <w:sz w:val="18"/>
                <w:szCs w:val="18"/>
                <w:color w:val="auto"/>
              </w:rPr>
              <w:t>Balance Sheet</w:t>
            </w: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w w:val="91"/>
              </w:rPr>
              <w:t>May 31, 2023</w:t>
            </w:r>
          </w:p>
        </w:tc>
        <w:tc>
          <w:tcPr>
            <w:tcW w:w="180" w:type="dxa"/>
            <w:vAlign w:val="bottom"/>
          </w:tcPr>
          <w:p>
            <w:pPr>
              <w:spacing w:after="0"/>
              <w:rPr>
                <w:sz w:val="14"/>
                <w:szCs w:val="14"/>
                <w:color w:val="auto"/>
              </w:rPr>
            </w:pPr>
          </w:p>
        </w:tc>
        <w:tc>
          <w:tcPr>
            <w:tcW w:w="980" w:type="dxa"/>
            <w:vAlign w:val="bottom"/>
          </w:tcPr>
          <w:p>
            <w:pPr>
              <w:jc w:val="right"/>
              <w:ind w:right="70"/>
              <w:spacing w:after="0" w:line="169" w:lineRule="exact"/>
              <w:rPr>
                <w:sz w:val="20"/>
                <w:szCs w:val="20"/>
                <w:color w:val="auto"/>
              </w:rPr>
            </w:pPr>
            <w:r>
              <w:rPr>
                <w:rFonts w:ascii="Arial" w:cs="Arial" w:eastAsia="Arial" w:hAnsi="Arial"/>
                <w:sz w:val="18"/>
                <w:szCs w:val="18"/>
                <w:color w:val="auto"/>
                <w:w w:val="92"/>
              </w:rPr>
              <w:t>August 31,</w:t>
            </w:r>
          </w:p>
        </w:tc>
        <w:tc>
          <w:tcPr>
            <w:tcW w:w="0" w:type="dxa"/>
            <w:vAlign w:val="bottom"/>
          </w:tcPr>
          <w:p>
            <w:pPr>
              <w:spacing w:after="0"/>
              <w:rPr>
                <w:sz w:val="1"/>
                <w:szCs w:val="1"/>
                <w:color w:val="auto"/>
              </w:rPr>
            </w:pPr>
          </w:p>
        </w:tc>
      </w:tr>
      <w:tr>
        <w:trPr>
          <w:trHeight w:val="229"/>
        </w:trPr>
        <w:tc>
          <w:tcPr>
            <w:tcW w:w="2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hedging instruments</w:t>
            </w:r>
          </w:p>
        </w:tc>
        <w:tc>
          <w:tcPr>
            <w:tcW w:w="2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Classification</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340" w:type="dxa"/>
            <w:vAlign w:val="bottom"/>
            <w:tcBorders>
              <w:bottom w:val="single" w:sz="8" w:color="auto"/>
            </w:tcBorders>
            <w:gridSpan w:val="2"/>
            <w:vMerge w:val="continue"/>
          </w:tcPr>
          <w:p>
            <w:pPr>
              <w:spacing w:after="0"/>
              <w:rPr>
                <w:sz w:val="19"/>
                <w:szCs w:val="19"/>
                <w:color w:val="auto"/>
              </w:rPr>
            </w:pPr>
          </w:p>
        </w:tc>
        <w:tc>
          <w:tcPr>
            <w:tcW w:w="1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Classification</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182"/>
        </w:trPr>
        <w:tc>
          <w:tcPr>
            <w:tcW w:w="248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Foreign currency forward</w:t>
            </w:r>
          </w:p>
        </w:tc>
        <w:tc>
          <w:tcPr>
            <w:tcW w:w="208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0"/>
              </w:rPr>
              <w:t>Prepaid expenses and other</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8"/>
              </w:rPr>
              <w:t>Accounts payable and</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contracts</w:t>
            </w:r>
          </w:p>
        </w:tc>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8,307</w:t>
            </w:r>
          </w:p>
        </w:tc>
        <w:tc>
          <w:tcPr>
            <w:tcW w:w="0" w:type="dxa"/>
            <w:vAlign w:val="bottom"/>
          </w:tcPr>
          <w:p>
            <w:pPr>
              <w:spacing w:after="0"/>
              <w:rPr>
                <w:sz w:val="1"/>
                <w:szCs w:val="1"/>
                <w:color w:val="auto"/>
              </w:rPr>
            </w:pPr>
          </w:p>
        </w:tc>
      </w:tr>
      <w:tr>
        <w:trPr>
          <w:trHeight w:val="392"/>
        </w:trPr>
        <w:tc>
          <w:tcPr>
            <w:tcW w:w="2480" w:type="dxa"/>
            <w:vAlign w:val="bottom"/>
            <w:vMerge w:val="restart"/>
          </w:tcPr>
          <w:p>
            <w:pPr>
              <w:ind w:left="20"/>
              <w:spacing w:after="0"/>
              <w:rPr>
                <w:sz w:val="20"/>
                <w:szCs w:val="20"/>
                <w:color w:val="auto"/>
              </w:rPr>
            </w:pPr>
            <w:r>
              <w:rPr>
                <w:rFonts w:ascii="Arial" w:cs="Arial" w:eastAsia="Arial" w:hAnsi="Arial"/>
                <w:sz w:val="18"/>
                <w:szCs w:val="18"/>
                <w:color w:val="auto"/>
              </w:rPr>
              <w:t>Interest rate swap agreement</w:t>
            </w:r>
          </w:p>
        </w:tc>
        <w:tc>
          <w:tcPr>
            <w:tcW w:w="2080" w:type="dxa"/>
            <w:vAlign w:val="bottom"/>
          </w:tcPr>
          <w:p>
            <w:pPr>
              <w:ind w:left="20"/>
              <w:spacing w:after="0"/>
              <w:rPr>
                <w:sz w:val="20"/>
                <w:szCs w:val="20"/>
                <w:color w:val="auto"/>
              </w:rPr>
            </w:pPr>
            <w:r>
              <w:rPr>
                <w:rFonts w:ascii="Arial" w:cs="Arial" w:eastAsia="Arial" w:hAnsi="Arial"/>
                <w:sz w:val="18"/>
                <w:szCs w:val="18"/>
                <w:color w:val="auto"/>
                <w:w w:val="90"/>
              </w:rPr>
              <w:t>Prepaid expenses and other</w:t>
            </w:r>
          </w:p>
        </w:tc>
        <w:tc>
          <w:tcPr>
            <w:tcW w:w="100" w:type="dxa"/>
            <w:vAlign w:val="bottom"/>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5,948</w:t>
            </w:r>
          </w:p>
        </w:tc>
        <w:tc>
          <w:tcPr>
            <w:tcW w:w="44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10,621</w:t>
            </w:r>
          </w:p>
        </w:tc>
        <w:tc>
          <w:tcPr>
            <w:tcW w:w="1760" w:type="dxa"/>
            <w:vAlign w:val="bottom"/>
          </w:tcPr>
          <w:p>
            <w:pPr>
              <w:spacing w:after="0"/>
              <w:rPr>
                <w:sz w:val="20"/>
                <w:szCs w:val="20"/>
                <w:color w:val="auto"/>
              </w:rPr>
            </w:pPr>
            <w:r>
              <w:rPr>
                <w:rFonts w:ascii="Arial" w:cs="Arial" w:eastAsia="Arial" w:hAnsi="Arial"/>
                <w:sz w:val="18"/>
                <w:szCs w:val="18"/>
                <w:color w:val="auto"/>
                <w:w w:val="98"/>
              </w:rPr>
              <w:t>Accounts payable and</w:t>
            </w:r>
          </w:p>
        </w:tc>
        <w:tc>
          <w:tcPr>
            <w:tcW w:w="120" w:type="dxa"/>
            <w:vAlign w:val="bottom"/>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480" w:type="dxa"/>
            <w:vAlign w:val="bottom"/>
            <w:vMerge w:val="continue"/>
          </w:tcPr>
          <w:p>
            <w:pPr>
              <w:spacing w:after="0"/>
              <w:rPr>
                <w:sz w:val="20"/>
                <w:szCs w:val="20"/>
                <w:color w:val="auto"/>
              </w:rPr>
            </w:pPr>
          </w:p>
        </w:tc>
        <w:tc>
          <w:tcPr>
            <w:tcW w:w="20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2480" w:type="dxa"/>
            <w:vAlign w:val="bottom"/>
          </w:tcPr>
          <w:p>
            <w:pPr>
              <w:spacing w:after="0"/>
              <w:rPr>
                <w:sz w:val="24"/>
                <w:szCs w:val="24"/>
                <w:color w:val="auto"/>
              </w:rPr>
            </w:pPr>
          </w:p>
        </w:tc>
        <w:tc>
          <w:tcPr>
            <w:tcW w:w="20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1,791</w:t>
            </w:r>
          </w:p>
        </w:tc>
        <w:tc>
          <w:tcPr>
            <w:tcW w:w="1760" w:type="dxa"/>
            <w:vAlign w:val="bottom"/>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cash flow hedges</w:t>
            </w:r>
          </w:p>
        </w:tc>
        <w:tc>
          <w:tcPr>
            <w:tcW w:w="20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8,288</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12,412</w:t>
            </w:r>
          </w:p>
        </w:tc>
        <w:tc>
          <w:tcPr>
            <w:tcW w:w="17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8,307</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All derivatives were designated as hedging instruments as of May 31, 2023 and August 31, 2022.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Recognition</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the pre-tax effect of derivative instruments in cash flow hedging relationships for the three months ended May 31, 2023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May 31, 2022:</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gridSpan w:val="3"/>
          </w:tcPr>
          <w:p>
            <w:pPr>
              <w:ind w:left="100"/>
              <w:spacing w:after="0"/>
              <w:rPr>
                <w:sz w:val="20"/>
                <w:szCs w:val="20"/>
                <w:color w:val="auto"/>
              </w:rPr>
            </w:pPr>
            <w:r>
              <w:rPr>
                <w:rFonts w:ascii="Arial" w:cs="Arial" w:eastAsia="Arial" w:hAnsi="Arial"/>
                <w:sz w:val="18"/>
                <w:szCs w:val="18"/>
                <w:color w:val="auto"/>
              </w:rPr>
              <w:t>Gain (Loss) Recognized in</w:t>
            </w:r>
          </w:p>
        </w:tc>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gridSpan w:val="3"/>
          </w:tcPr>
          <w:p>
            <w:pPr>
              <w:jc w:val="center"/>
              <w:ind w:right="50"/>
              <w:spacing w:after="0"/>
              <w:rPr>
                <w:sz w:val="20"/>
                <w:szCs w:val="20"/>
                <w:color w:val="auto"/>
              </w:rPr>
            </w:pPr>
            <w:r>
              <w:rPr>
                <w:rFonts w:ascii="Arial" w:cs="Arial" w:eastAsia="Arial" w:hAnsi="Arial"/>
                <w:sz w:val="18"/>
                <w:szCs w:val="18"/>
                <w:color w:val="auto"/>
                <w:w w:val="91"/>
              </w:rPr>
              <w:t>Gain (Loss) Reclassified from</w:t>
            </w: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gridSpan w:val="3"/>
          </w:tcPr>
          <w:p>
            <w:pPr>
              <w:ind w:left="260"/>
              <w:spacing w:after="0"/>
              <w:rPr>
                <w:sz w:val="20"/>
                <w:szCs w:val="20"/>
                <w:color w:val="auto"/>
              </w:rPr>
            </w:pPr>
            <w:r>
              <w:rPr>
                <w:rFonts w:ascii="Arial" w:cs="Arial" w:eastAsia="Arial" w:hAnsi="Arial"/>
                <w:sz w:val="18"/>
                <w:szCs w:val="18"/>
                <w:color w:val="auto"/>
              </w:rPr>
              <w:t>AOCL on Derivatives</w:t>
            </w:r>
          </w:p>
        </w:tc>
        <w:tc>
          <w:tcPr>
            <w:tcW w:w="2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80" w:type="dxa"/>
            <w:vAlign w:val="bottom"/>
            <w:gridSpan w:val="3"/>
          </w:tcPr>
          <w:p>
            <w:pPr>
              <w:jc w:val="center"/>
              <w:ind w:right="50"/>
              <w:spacing w:after="0"/>
              <w:rPr>
                <w:sz w:val="20"/>
                <w:szCs w:val="20"/>
                <w:color w:val="auto"/>
              </w:rPr>
            </w:pPr>
            <w:r>
              <w:rPr>
                <w:rFonts w:ascii="Arial" w:cs="Arial" w:eastAsia="Arial" w:hAnsi="Arial"/>
                <w:sz w:val="18"/>
                <w:szCs w:val="18"/>
                <w:color w:val="auto"/>
                <w:w w:val="95"/>
              </w:rPr>
              <w:t>AOCL into Income</w:t>
            </w:r>
          </w:p>
        </w:tc>
        <w:tc>
          <w:tcPr>
            <w:tcW w:w="0" w:type="dxa"/>
            <w:vAlign w:val="bottom"/>
          </w:tcPr>
          <w:p>
            <w:pPr>
              <w:spacing w:after="0"/>
              <w:rPr>
                <w:sz w:val="1"/>
                <w:szCs w:val="1"/>
                <w:color w:val="auto"/>
              </w:rPr>
            </w:pPr>
          </w:p>
        </w:tc>
      </w:tr>
      <w:tr>
        <w:trPr>
          <w:trHeight w:val="27"/>
        </w:trPr>
        <w:tc>
          <w:tcPr>
            <w:tcW w:w="38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38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2"/>
          </w:tcPr>
          <w:p>
            <w:pPr>
              <w:ind w:left="760"/>
              <w:spacing w:after="0"/>
              <w:rPr>
                <w:sz w:val="20"/>
                <w:szCs w:val="20"/>
                <w:color w:val="auto"/>
              </w:rPr>
            </w:pPr>
            <w:r>
              <w:rPr>
                <w:rFonts w:ascii="Arial" w:cs="Arial" w:eastAsia="Arial" w:hAnsi="Arial"/>
                <w:sz w:val="18"/>
                <w:szCs w:val="18"/>
                <w:color w:val="auto"/>
              </w:rPr>
              <w:t>May 31,</w:t>
            </w:r>
          </w:p>
        </w:tc>
        <w:tc>
          <w:tcPr>
            <w:tcW w:w="860" w:type="dxa"/>
            <w:vAlign w:val="bottom"/>
          </w:tcPr>
          <w:p>
            <w:pPr>
              <w:spacing w:after="0"/>
              <w:rPr>
                <w:sz w:val="24"/>
                <w:szCs w:val="24"/>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3"/>
              </w:rPr>
              <w:t>Location of Gain (Loss)</w:t>
            </w:r>
          </w:p>
        </w:tc>
        <w:tc>
          <w:tcPr>
            <w:tcW w:w="140" w:type="dxa"/>
            <w:vAlign w:val="bottom"/>
          </w:tcPr>
          <w:p>
            <w:pPr>
              <w:spacing w:after="0"/>
              <w:rPr>
                <w:sz w:val="24"/>
                <w:szCs w:val="24"/>
                <w:color w:val="auto"/>
              </w:rPr>
            </w:pPr>
          </w:p>
        </w:tc>
        <w:tc>
          <w:tcPr>
            <w:tcW w:w="1500" w:type="dxa"/>
            <w:vAlign w:val="bottom"/>
            <w:gridSpan w:val="2"/>
          </w:tcPr>
          <w:p>
            <w:pPr>
              <w:jc w:val="center"/>
              <w:ind w:left="650"/>
              <w:spacing w:after="0"/>
              <w:rPr>
                <w:sz w:val="20"/>
                <w:szCs w:val="20"/>
                <w:color w:val="auto"/>
              </w:rPr>
            </w:pPr>
            <w:r>
              <w:rPr>
                <w:rFonts w:ascii="Arial" w:cs="Arial" w:eastAsia="Arial" w:hAnsi="Arial"/>
                <w:sz w:val="18"/>
                <w:szCs w:val="18"/>
                <w:color w:val="auto"/>
                <w:w w:val="93"/>
              </w:rPr>
              <w:t>May 31,</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860" w:type="dxa"/>
            <w:vAlign w:val="bottom"/>
            <w:vMerge w:val="restart"/>
          </w:tcPr>
          <w:p>
            <w:pPr>
              <w:ind w:left="20"/>
              <w:spacing w:after="0"/>
              <w:rPr>
                <w:sz w:val="20"/>
                <w:szCs w:val="20"/>
                <w:color w:val="auto"/>
              </w:rPr>
            </w:pPr>
            <w:r>
              <w:rPr>
                <w:rFonts w:ascii="Arial" w:cs="Arial" w:eastAsia="Arial" w:hAnsi="Arial"/>
                <w:sz w:val="18"/>
                <w:szCs w:val="18"/>
                <w:color w:val="auto"/>
                <w:w w:val="99"/>
              </w:rPr>
              <w:t>Derivatives in Cash Flow Hedging Relationships</w:t>
            </w:r>
          </w:p>
        </w:tc>
        <w:tc>
          <w:tcPr>
            <w:tcW w:w="180" w:type="dxa"/>
            <w:vAlign w:val="bottom"/>
          </w:tcPr>
          <w:p>
            <w:pPr>
              <w:spacing w:after="0"/>
              <w:rPr>
                <w:sz w:val="15"/>
                <w:szCs w:val="15"/>
                <w:color w:val="auto"/>
              </w:rPr>
            </w:pPr>
          </w:p>
        </w:tc>
        <w:tc>
          <w:tcPr>
            <w:tcW w:w="1080" w:type="dxa"/>
            <w:vAlign w:val="bottom"/>
            <w:vMerge w:val="restart"/>
          </w:tcPr>
          <w:p>
            <w:pPr>
              <w:ind w:left="280"/>
              <w:spacing w:after="0"/>
              <w:rPr>
                <w:sz w:val="20"/>
                <w:szCs w:val="20"/>
                <w:color w:val="auto"/>
              </w:rPr>
            </w:pPr>
            <w:r>
              <w:rPr>
                <w:rFonts w:ascii="Arial" w:cs="Arial" w:eastAsia="Arial" w:hAnsi="Arial"/>
                <w:sz w:val="18"/>
                <w:szCs w:val="18"/>
                <w:color w:val="auto"/>
              </w:rPr>
              <w:t>2023</w:t>
            </w:r>
          </w:p>
        </w:tc>
        <w:tc>
          <w:tcPr>
            <w:tcW w:w="360" w:type="dxa"/>
            <w:vAlign w:val="bottom"/>
          </w:tcPr>
          <w:p>
            <w:pPr>
              <w:spacing w:after="0"/>
              <w:rPr>
                <w:sz w:val="15"/>
                <w:szCs w:val="15"/>
                <w:color w:val="auto"/>
              </w:rPr>
            </w:pPr>
          </w:p>
        </w:tc>
        <w:tc>
          <w:tcPr>
            <w:tcW w:w="860" w:type="dxa"/>
            <w:vAlign w:val="bottom"/>
            <w:vMerge w:val="restart"/>
          </w:tcPr>
          <w:p>
            <w:pPr>
              <w:jc w:val="right"/>
              <w:ind w:right="330"/>
              <w:spacing w:after="0"/>
              <w:rPr>
                <w:sz w:val="20"/>
                <w:szCs w:val="20"/>
                <w:color w:val="auto"/>
              </w:rPr>
            </w:pPr>
            <w:r>
              <w:rPr>
                <w:rFonts w:ascii="Arial" w:cs="Arial" w:eastAsia="Arial" w:hAnsi="Arial"/>
                <w:sz w:val="18"/>
                <w:szCs w:val="18"/>
                <w:color w:val="auto"/>
              </w:rPr>
              <w:t>2022</w:t>
            </w:r>
          </w:p>
        </w:tc>
        <w:tc>
          <w:tcPr>
            <w:tcW w:w="2380" w:type="dxa"/>
            <w:vAlign w:val="bottom"/>
          </w:tcPr>
          <w:p>
            <w:pPr>
              <w:jc w:val="center"/>
              <w:spacing w:after="0" w:line="176" w:lineRule="exact"/>
              <w:rPr>
                <w:sz w:val="20"/>
                <w:szCs w:val="20"/>
                <w:color w:val="auto"/>
              </w:rPr>
            </w:pPr>
            <w:r>
              <w:rPr>
                <w:rFonts w:ascii="Arial" w:cs="Arial" w:eastAsia="Arial" w:hAnsi="Arial"/>
                <w:sz w:val="18"/>
                <w:szCs w:val="18"/>
                <w:color w:val="auto"/>
                <w:w w:val="93"/>
              </w:rPr>
              <w:t>Reclassified from AOCL into</w:t>
            </w:r>
          </w:p>
        </w:tc>
        <w:tc>
          <w:tcPr>
            <w:tcW w:w="140" w:type="dxa"/>
            <w:vAlign w:val="bottom"/>
          </w:tcPr>
          <w:p>
            <w:pPr>
              <w:spacing w:after="0"/>
              <w:rPr>
                <w:sz w:val="15"/>
                <w:szCs w:val="15"/>
                <w:color w:val="auto"/>
              </w:rPr>
            </w:pPr>
          </w:p>
        </w:tc>
        <w:tc>
          <w:tcPr>
            <w:tcW w:w="1100" w:type="dxa"/>
            <w:vAlign w:val="bottom"/>
            <w:vMerge w:val="restart"/>
          </w:tcPr>
          <w:p>
            <w:pPr>
              <w:jc w:val="right"/>
              <w:ind w:right="350"/>
              <w:spacing w:after="0"/>
              <w:rPr>
                <w:sz w:val="20"/>
                <w:szCs w:val="20"/>
                <w:color w:val="auto"/>
              </w:rPr>
            </w:pPr>
            <w:r>
              <w:rPr>
                <w:rFonts w:ascii="Arial" w:cs="Arial" w:eastAsia="Arial" w:hAnsi="Arial"/>
                <w:sz w:val="18"/>
                <w:szCs w:val="18"/>
                <w:color w:val="auto"/>
              </w:rPr>
              <w:t>2023</w:t>
            </w:r>
          </w:p>
        </w:tc>
        <w:tc>
          <w:tcPr>
            <w:tcW w:w="400" w:type="dxa"/>
            <w:vAlign w:val="bottom"/>
          </w:tcPr>
          <w:p>
            <w:pPr>
              <w:spacing w:after="0"/>
              <w:rPr>
                <w:sz w:val="15"/>
                <w:szCs w:val="15"/>
                <w:color w:val="auto"/>
              </w:rPr>
            </w:pPr>
          </w:p>
        </w:tc>
        <w:tc>
          <w:tcPr>
            <w:tcW w:w="880" w:type="dxa"/>
            <w:vAlign w:val="bottom"/>
            <w:vMerge w:val="restart"/>
          </w:tcPr>
          <w:p>
            <w:pPr>
              <w:jc w:val="right"/>
              <w:ind w:right="370"/>
              <w:spacing w:after="0"/>
              <w:rPr>
                <w:sz w:val="20"/>
                <w:szCs w:val="20"/>
                <w:color w:val="auto"/>
              </w:rPr>
            </w:pPr>
            <w:r>
              <w:rPr>
                <w:rFonts w:ascii="Arial" w:cs="Arial" w:eastAsia="Arial" w:hAnsi="Arial"/>
                <w:sz w:val="18"/>
                <w:szCs w:val="18"/>
                <w:color w:val="auto"/>
                <w:w w:val="99"/>
              </w:rPr>
              <w:t>2022</w:t>
            </w:r>
          </w:p>
        </w:tc>
        <w:tc>
          <w:tcPr>
            <w:tcW w:w="0" w:type="dxa"/>
            <w:vAlign w:val="bottom"/>
          </w:tcPr>
          <w:p>
            <w:pPr>
              <w:spacing w:after="0"/>
              <w:rPr>
                <w:sz w:val="1"/>
                <w:szCs w:val="1"/>
                <w:color w:val="auto"/>
              </w:rPr>
            </w:pPr>
          </w:p>
        </w:tc>
      </w:tr>
      <w:tr>
        <w:trPr>
          <w:trHeight w:val="237"/>
        </w:trPr>
        <w:tc>
          <w:tcPr>
            <w:tcW w:w="386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Income</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forward contracts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919</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1"/>
              </w:rPr>
              <w:t>(4,114)</w:t>
            </w: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SG&amp;A</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(2,635)</w:t>
            </w: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Interest rate swap agreement</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w w:val="90"/>
              </w:rPr>
              <w:t>(172)</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color w:val="auto"/>
                <w:w w:val="88"/>
              </w:rPr>
              <w:t>5,629</w:t>
            </w:r>
          </w:p>
        </w:tc>
        <w:tc>
          <w:tcPr>
            <w:tcW w:w="2380" w:type="dxa"/>
            <w:vAlign w:val="bottom"/>
          </w:tcPr>
          <w:p>
            <w:pPr>
              <w:jc w:val="center"/>
              <w:spacing w:after="0"/>
              <w:rPr>
                <w:sz w:val="20"/>
                <w:szCs w:val="20"/>
                <w:color w:val="auto"/>
              </w:rPr>
            </w:pPr>
            <w:r>
              <w:rPr>
                <w:rFonts w:ascii="Arial" w:cs="Arial" w:eastAsia="Arial" w:hAnsi="Arial"/>
                <w:sz w:val="18"/>
                <w:szCs w:val="18"/>
                <w:color w:val="auto"/>
                <w:w w:val="87"/>
              </w:rPr>
              <w:t>Interest expense</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3,725</w:t>
            </w: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w:t>
            </w:r>
          </w:p>
        </w:tc>
        <w:tc>
          <w:tcPr>
            <w:tcW w:w="0" w:type="dxa"/>
            <w:vAlign w:val="bottom"/>
          </w:tcPr>
          <w:p>
            <w:pPr>
              <w:spacing w:after="0"/>
              <w:rPr>
                <w:sz w:val="1"/>
                <w:szCs w:val="1"/>
                <w:color w:val="auto"/>
              </w:rPr>
            </w:pPr>
          </w:p>
        </w:tc>
      </w:tr>
      <w:tr>
        <w:trPr>
          <w:trHeight w:val="236"/>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cash flow hedges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747</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88"/>
              </w:rPr>
              <w:t>1,515</w:t>
            </w:r>
          </w:p>
        </w:tc>
        <w:tc>
          <w:tcPr>
            <w:tcW w:w="23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3,495</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following table provides the pre-tax effect of derivative instruments in cash flow hedging relationships for the nine months ended May 31, 2023 and</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31, 2022:</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gridSpan w:val="3"/>
          </w:tcPr>
          <w:p>
            <w:pPr>
              <w:jc w:val="center"/>
              <w:ind w:right="90"/>
              <w:spacing w:after="0"/>
              <w:rPr>
                <w:sz w:val="20"/>
                <w:szCs w:val="20"/>
                <w:color w:val="auto"/>
              </w:rPr>
            </w:pPr>
            <w:r>
              <w:rPr>
                <w:rFonts w:ascii="Arial" w:cs="Arial" w:eastAsia="Arial" w:hAnsi="Arial"/>
                <w:sz w:val="18"/>
                <w:szCs w:val="18"/>
                <w:color w:val="auto"/>
                <w:w w:val="91"/>
              </w:rPr>
              <w:t>Gain (Loss) Reclassified in</w:t>
            </w:r>
          </w:p>
        </w:tc>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gridSpan w:val="3"/>
          </w:tcPr>
          <w:p>
            <w:pPr>
              <w:jc w:val="center"/>
              <w:ind w:right="70"/>
              <w:spacing w:after="0"/>
              <w:rPr>
                <w:sz w:val="20"/>
                <w:szCs w:val="20"/>
                <w:color w:val="auto"/>
              </w:rPr>
            </w:pPr>
            <w:r>
              <w:rPr>
                <w:rFonts w:ascii="Arial" w:cs="Arial" w:eastAsia="Arial" w:hAnsi="Arial"/>
                <w:sz w:val="18"/>
                <w:szCs w:val="18"/>
                <w:color w:val="auto"/>
                <w:w w:val="92"/>
              </w:rPr>
              <w:t>Gain (Loss) Reclassified from</w:t>
            </w:r>
          </w:p>
        </w:tc>
      </w:tr>
      <w:tr>
        <w:trPr>
          <w:trHeight w:val="230"/>
        </w:trPr>
        <w:tc>
          <w:tcPr>
            <w:tcW w:w="3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gridSpan w:val="3"/>
          </w:tcPr>
          <w:p>
            <w:pPr>
              <w:jc w:val="center"/>
              <w:ind w:right="110"/>
              <w:spacing w:after="0"/>
              <w:rPr>
                <w:sz w:val="20"/>
                <w:szCs w:val="20"/>
                <w:color w:val="auto"/>
              </w:rPr>
            </w:pPr>
            <w:r>
              <w:rPr>
                <w:rFonts w:ascii="Arial" w:cs="Arial" w:eastAsia="Arial" w:hAnsi="Arial"/>
                <w:sz w:val="18"/>
                <w:szCs w:val="18"/>
                <w:color w:val="auto"/>
                <w:w w:val="93"/>
              </w:rPr>
              <w:t>AOCL on Derivatives</w:t>
            </w:r>
          </w:p>
        </w:tc>
        <w:tc>
          <w:tcPr>
            <w:tcW w:w="2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80" w:type="dxa"/>
            <w:vAlign w:val="bottom"/>
            <w:gridSpan w:val="3"/>
          </w:tcPr>
          <w:p>
            <w:pPr>
              <w:jc w:val="center"/>
              <w:ind w:right="50"/>
              <w:spacing w:after="0"/>
              <w:rPr>
                <w:sz w:val="20"/>
                <w:szCs w:val="20"/>
                <w:color w:val="auto"/>
              </w:rPr>
            </w:pPr>
            <w:r>
              <w:rPr>
                <w:rFonts w:ascii="Arial" w:cs="Arial" w:eastAsia="Arial" w:hAnsi="Arial"/>
                <w:sz w:val="18"/>
                <w:szCs w:val="18"/>
                <w:color w:val="auto"/>
                <w:w w:val="95"/>
              </w:rPr>
              <w:t>AOCL into Income</w:t>
            </w:r>
          </w:p>
        </w:tc>
      </w:tr>
      <w:tr>
        <w:trPr>
          <w:trHeight w:val="27"/>
        </w:trPr>
        <w:tc>
          <w:tcPr>
            <w:tcW w:w="3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3"/>
        </w:trPr>
        <w:tc>
          <w:tcPr>
            <w:tcW w:w="38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22"/>
                <w:szCs w:val="22"/>
                <w:color w:val="auto"/>
              </w:rPr>
            </w:pPr>
          </w:p>
        </w:tc>
        <w:tc>
          <w:tcPr>
            <w:tcW w:w="1440" w:type="dxa"/>
            <w:vAlign w:val="bottom"/>
            <w:gridSpan w:val="2"/>
          </w:tcPr>
          <w:p>
            <w:pPr>
              <w:jc w:val="center"/>
              <w:ind w:left="590"/>
              <w:spacing w:after="0"/>
              <w:rPr>
                <w:sz w:val="20"/>
                <w:szCs w:val="20"/>
                <w:color w:val="auto"/>
              </w:rPr>
            </w:pPr>
            <w:r>
              <w:rPr>
                <w:rFonts w:ascii="Arial" w:cs="Arial" w:eastAsia="Arial" w:hAnsi="Arial"/>
                <w:sz w:val="18"/>
                <w:szCs w:val="18"/>
                <w:color w:val="auto"/>
                <w:w w:val="93"/>
              </w:rPr>
              <w:t>May 31,</w:t>
            </w:r>
          </w:p>
        </w:tc>
        <w:tc>
          <w:tcPr>
            <w:tcW w:w="860" w:type="dxa"/>
            <w:vAlign w:val="bottom"/>
          </w:tcPr>
          <w:p>
            <w:pPr>
              <w:spacing w:after="0"/>
              <w:rPr>
                <w:sz w:val="22"/>
                <w:szCs w:val="22"/>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3"/>
              </w:rPr>
              <w:t>Location of Gain (Loss)</w:t>
            </w:r>
          </w:p>
        </w:tc>
        <w:tc>
          <w:tcPr>
            <w:tcW w:w="140" w:type="dxa"/>
            <w:vAlign w:val="bottom"/>
          </w:tcPr>
          <w:p>
            <w:pPr>
              <w:spacing w:after="0"/>
              <w:rPr>
                <w:sz w:val="22"/>
                <w:szCs w:val="22"/>
                <w:color w:val="auto"/>
              </w:rPr>
            </w:pPr>
          </w:p>
        </w:tc>
        <w:tc>
          <w:tcPr>
            <w:tcW w:w="1500" w:type="dxa"/>
            <w:vAlign w:val="bottom"/>
            <w:gridSpan w:val="2"/>
          </w:tcPr>
          <w:p>
            <w:pPr>
              <w:jc w:val="center"/>
              <w:ind w:left="650"/>
              <w:spacing w:after="0"/>
              <w:rPr>
                <w:sz w:val="20"/>
                <w:szCs w:val="20"/>
                <w:color w:val="auto"/>
              </w:rPr>
            </w:pPr>
            <w:r>
              <w:rPr>
                <w:rFonts w:ascii="Arial" w:cs="Arial" w:eastAsia="Arial" w:hAnsi="Arial"/>
                <w:sz w:val="18"/>
                <w:szCs w:val="18"/>
                <w:color w:val="auto"/>
                <w:w w:val="93"/>
              </w:rPr>
              <w:t>May 31,</w:t>
            </w:r>
          </w:p>
        </w:tc>
        <w:tc>
          <w:tcPr>
            <w:tcW w:w="880" w:type="dxa"/>
            <w:vAlign w:val="bottom"/>
          </w:tcPr>
          <w:p>
            <w:pPr>
              <w:spacing w:after="0"/>
              <w:rPr>
                <w:sz w:val="22"/>
                <w:szCs w:val="22"/>
                <w:color w:val="auto"/>
              </w:rPr>
            </w:pPr>
          </w:p>
        </w:tc>
      </w:tr>
      <w:tr>
        <w:trPr>
          <w:trHeight w:val="188"/>
        </w:trPr>
        <w:tc>
          <w:tcPr>
            <w:tcW w:w="3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380" w:type="dxa"/>
            <w:vAlign w:val="bottom"/>
          </w:tcPr>
          <w:p>
            <w:pPr>
              <w:jc w:val="center"/>
              <w:spacing w:after="0" w:line="189" w:lineRule="exact"/>
              <w:rPr>
                <w:sz w:val="20"/>
                <w:szCs w:val="20"/>
                <w:color w:val="auto"/>
              </w:rPr>
            </w:pPr>
            <w:r>
              <w:rPr>
                <w:rFonts w:ascii="Arial" w:cs="Arial" w:eastAsia="Arial" w:hAnsi="Arial"/>
                <w:sz w:val="18"/>
                <w:szCs w:val="18"/>
                <w:color w:val="auto"/>
                <w:w w:val="93"/>
              </w:rPr>
              <w:t>Reclassified from AOCL into</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0"/>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Derivatives in Cash Flow Hedging Relationships</w:t>
            </w: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2023</w:t>
            </w: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Income</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2023</w:t>
            </w: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2022</w:t>
            </w:r>
          </w:p>
        </w:tc>
      </w:tr>
      <w:tr>
        <w:trPr>
          <w:trHeight w:val="223"/>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forward contracts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4,027</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(7,690)</w:t>
            </w: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SG&amp;A</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(5,474)</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w:t>
            </w:r>
          </w:p>
        </w:tc>
      </w:tr>
      <w:tr>
        <w:trPr>
          <w:trHeight w:val="243"/>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rate swap agreement</w:t>
            </w: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4,104</w:t>
            </w: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12,007</w:t>
            </w:r>
          </w:p>
        </w:tc>
        <w:tc>
          <w:tcPr>
            <w:tcW w:w="23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7"/>
              </w:rPr>
              <w:t>Interest expense</w:t>
            </w: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10,567</w:t>
            </w:r>
          </w:p>
        </w:tc>
        <w:tc>
          <w:tcPr>
            <w:tcW w:w="4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w:t>
            </w:r>
          </w:p>
        </w:tc>
      </w:tr>
      <w:tr>
        <w:trPr>
          <w:trHeight w:val="223"/>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cash flow hedges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8,131</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4,317</w:t>
            </w:r>
          </w:p>
        </w:tc>
        <w:tc>
          <w:tcPr>
            <w:tcW w:w="23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5,093</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w:t>
            </w:r>
          </w:p>
        </w:tc>
      </w:tr>
    </w:tbl>
    <w:p>
      <w:pPr>
        <w:spacing w:after="0" w:line="32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May 31, 2023, we estimate that net pre-tax derivative gains of $7.1 million included in AOCL will be reclassified into earnings within the next 12 months. As of May 31, 2023, our cash flow hedges were highly effective with no amount of ineffectiveness recorded in the Consolidated Statements of Income for these designated cash flow hedges and all components of each derivative’s gain or loss were included in the assessment of hedge effectiveness.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Offsetting of Derivative Instruments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enter into master netting arrangements designed to permit net settlement of derivative transactions among the respective counterparties, settled on the same date and in the same currency. As of May 31, 2023 and August 31, 2022, there were no material amounts recorded net on the Consolidated Balance Sheets.</w:t>
      </w: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 ACQUISITIONS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During fiscal 2022, we completed acquisitions of CUSIP Global Services ("CGS") and Cobalt Software, Inc. ("Cobalt").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Global Services</w:t>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March 1, 2022, we completed the acquisition of CGS for a cash purchase price of $1.932 billion, inclusive of working capital adjustments. CGS manages a database of 60 different data elements uniquely identifying more than 50 million global financial instruments. It is the foundation for security master files relied on by critical front, middle and back-office functions. CGS, operating on behalf of the American Bankers Association ("ABA"), is the provider of Committee on Uniform Security Identification Procedures ("CUSIP") and CUSIP International Number System ("CINS") identifiers globally and also acts as the official numbering agency for International Securities Identification Number ("ISIN") identifiers in the United States and as a substitute number agency for more than 35 other countries. We believe that the CGS acquisition will significantly expand our critical role in the global capital markets. The CGS purchase price was in excess of the fair value of net assets acquired, resulting in the recognition of goodwill. We finalized the purchase accounting for the CGS acquisition during the fourth quarter of fiscal 2022 and did not record any material changes to the preliminary purchase price allocation.</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The acquisition date fair values of major classes of assets acquired and liabilities assumed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20" w:type="dxa"/>
            <w:vAlign w:val="bottom"/>
          </w:tcPr>
          <w:p>
            <w:pPr>
              <w:jc w:val="right"/>
              <w:ind w:right="10"/>
              <w:spacing w:after="0"/>
              <w:rPr>
                <w:sz w:val="20"/>
                <w:szCs w:val="20"/>
                <w:color w:val="auto"/>
              </w:rPr>
            </w:pPr>
            <w:r>
              <w:rPr>
                <w:rFonts w:ascii="Arial" w:cs="Arial" w:eastAsia="Arial" w:hAnsi="Arial"/>
                <w:sz w:val="18"/>
                <w:szCs w:val="18"/>
                <w:color w:val="auto"/>
                <w:w w:val="92"/>
              </w:rPr>
              <w:t>Acquisition Date Fair Value</w:t>
            </w:r>
          </w:p>
        </w:tc>
        <w:tc>
          <w:tcPr>
            <w:tcW w:w="2220" w:type="dxa"/>
            <w:vAlign w:val="bottom"/>
          </w:tcPr>
          <w:p>
            <w:pPr>
              <w:jc w:val="center"/>
              <w:spacing w:after="0"/>
              <w:rPr>
                <w:sz w:val="20"/>
                <w:szCs w:val="20"/>
                <w:color w:val="auto"/>
              </w:rPr>
            </w:pPr>
            <w:r>
              <w:rPr>
                <w:rFonts w:ascii="Arial" w:cs="Arial" w:eastAsia="Arial" w:hAnsi="Arial"/>
                <w:sz w:val="18"/>
                <w:szCs w:val="18"/>
                <w:color w:val="auto"/>
                <w:w w:val="95"/>
              </w:rPr>
              <w:t>Acquisition Date Useful Life</w:t>
            </w:r>
          </w:p>
        </w:tc>
        <w:tc>
          <w:tcPr>
            <w:tcW w:w="1680" w:type="dxa"/>
            <w:vAlign w:val="bottom"/>
          </w:tcPr>
          <w:p>
            <w:pPr>
              <w:jc w:val="center"/>
              <w:spacing w:after="0"/>
              <w:rPr>
                <w:sz w:val="20"/>
                <w:szCs w:val="20"/>
                <w:color w:val="auto"/>
              </w:rPr>
            </w:pPr>
            <w:r>
              <w:rPr>
                <w:rFonts w:ascii="Arial" w:cs="Arial" w:eastAsia="Arial" w:hAnsi="Arial"/>
                <w:sz w:val="18"/>
                <w:szCs w:val="18"/>
                <w:color w:val="auto"/>
                <w:w w:val="95"/>
              </w:rPr>
              <w:t>Amortization Method</w:t>
            </w:r>
          </w:p>
        </w:tc>
      </w:tr>
      <w:tr>
        <w:trPr>
          <w:trHeight w:val="230"/>
        </w:trPr>
        <w:tc>
          <w:tcPr>
            <w:tcW w:w="5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i w:val="1"/>
                <w:iCs w:val="1"/>
                <w:color w:val="auto"/>
              </w:rPr>
              <w:t>(in thousands)</w:t>
            </w: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3"/>
              </w:rPr>
              <w:t>(in years)</w:t>
            </w:r>
          </w:p>
        </w:tc>
        <w:tc>
          <w:tcPr>
            <w:tcW w:w="1680" w:type="dxa"/>
            <w:vAlign w:val="bottom"/>
            <w:tcBorders>
              <w:bottom w:val="single" w:sz="8" w:color="auto"/>
            </w:tcBorders>
          </w:tcPr>
          <w:p>
            <w:pPr>
              <w:spacing w:after="0"/>
              <w:rPr>
                <w:sz w:val="20"/>
                <w:szCs w:val="20"/>
                <w:color w:val="auto"/>
              </w:rPr>
            </w:pPr>
          </w:p>
        </w:tc>
      </w:tr>
      <w:tr>
        <w:trPr>
          <w:trHeight w:val="236"/>
        </w:trPr>
        <w:tc>
          <w:tcPr>
            <w:tcW w:w="5120" w:type="dxa"/>
            <w:vAlign w:val="bottom"/>
            <w:shd w:val="clear" w:color="auto" w:fill="CCEEFF"/>
          </w:tcPr>
          <w:p>
            <w:pPr>
              <w:ind w:left="20"/>
              <w:spacing w:after="0" w:line="236" w:lineRule="exact"/>
              <w:rPr>
                <w:sz w:val="20"/>
                <w:szCs w:val="20"/>
                <w:color w:val="auto"/>
              </w:rPr>
            </w:pPr>
            <w:r>
              <w:rPr>
                <w:rFonts w:ascii="Arial" w:cs="Arial" w:eastAsia="Arial" w:hAnsi="Arial"/>
                <w:sz w:val="18"/>
                <w:szCs w:val="18"/>
                <w:color w:val="auto"/>
              </w:rPr>
              <w:t>Current assets</w:t>
            </w:r>
            <w:r>
              <w:rPr>
                <w:rFonts w:ascii="Arial" w:cs="Arial" w:eastAsia="Arial" w:hAnsi="Arial"/>
                <w:sz w:val="23"/>
                <w:szCs w:val="23"/>
                <w:i w:val="1"/>
                <w:iCs w:val="1"/>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29,728</w:t>
            </w:r>
          </w:p>
        </w:tc>
        <w:tc>
          <w:tcPr>
            <w:tcW w:w="22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Amortizable intangible assets</w:t>
            </w:r>
          </w:p>
        </w:tc>
        <w:tc>
          <w:tcPr>
            <w:tcW w:w="1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5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ABA business process</w:t>
            </w: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1,583,000</w:t>
            </w: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36 years</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Straight-line</w:t>
            </w:r>
          </w:p>
        </w:tc>
      </w:tr>
      <w:tr>
        <w:trPr>
          <w:trHeight w:val="237"/>
        </w:trPr>
        <w:tc>
          <w:tcPr>
            <w:tcW w:w="5120" w:type="dxa"/>
            <w:vAlign w:val="bottom"/>
          </w:tcPr>
          <w:p>
            <w:pPr>
              <w:ind w:left="240"/>
              <w:spacing w:after="0"/>
              <w:rPr>
                <w:sz w:val="20"/>
                <w:szCs w:val="20"/>
                <w:color w:val="auto"/>
              </w:rPr>
            </w:pPr>
            <w:r>
              <w:rPr>
                <w:rFonts w:ascii="Arial" w:cs="Arial" w:eastAsia="Arial" w:hAnsi="Arial"/>
                <w:sz w:val="18"/>
                <w:szCs w:val="18"/>
                <w:color w:val="auto"/>
              </w:rPr>
              <w:t>Client relationships</w:t>
            </w:r>
          </w:p>
        </w:tc>
        <w:tc>
          <w:tcPr>
            <w:tcW w:w="10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164,000</w:t>
            </w:r>
          </w:p>
        </w:tc>
        <w:tc>
          <w:tcPr>
            <w:tcW w:w="2220" w:type="dxa"/>
            <w:vAlign w:val="bottom"/>
          </w:tcPr>
          <w:p>
            <w:pPr>
              <w:jc w:val="center"/>
              <w:spacing w:after="0"/>
              <w:rPr>
                <w:sz w:val="20"/>
                <w:szCs w:val="20"/>
                <w:color w:val="auto"/>
              </w:rPr>
            </w:pPr>
            <w:r>
              <w:rPr>
                <w:rFonts w:ascii="Arial" w:cs="Arial" w:eastAsia="Arial" w:hAnsi="Arial"/>
                <w:sz w:val="18"/>
                <w:szCs w:val="18"/>
                <w:color w:val="auto"/>
                <w:w w:val="86"/>
              </w:rPr>
              <w:t>26 years</w:t>
            </w:r>
          </w:p>
        </w:tc>
        <w:tc>
          <w:tcPr>
            <w:tcW w:w="1680" w:type="dxa"/>
            <w:vAlign w:val="bottom"/>
          </w:tcPr>
          <w:p>
            <w:pPr>
              <w:jc w:val="center"/>
              <w:spacing w:after="0"/>
              <w:rPr>
                <w:sz w:val="20"/>
                <w:szCs w:val="20"/>
                <w:color w:val="auto"/>
              </w:rPr>
            </w:pPr>
            <w:r>
              <w:rPr>
                <w:rFonts w:ascii="Arial" w:cs="Arial" w:eastAsia="Arial" w:hAnsi="Arial"/>
                <w:sz w:val="18"/>
                <w:szCs w:val="18"/>
                <w:color w:val="auto"/>
                <w:w w:val="93"/>
              </w:rPr>
              <w:t>Straight-line</w:t>
            </w:r>
          </w:p>
        </w:tc>
      </w:tr>
      <w:tr>
        <w:trPr>
          <w:trHeight w:val="236"/>
        </w:trPr>
        <w:tc>
          <w:tcPr>
            <w:tcW w:w="5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Acquired databases</w:t>
            </w:r>
          </w:p>
        </w:tc>
        <w:tc>
          <w:tcPr>
            <w:tcW w:w="100" w:type="dxa"/>
            <w:vAlign w:val="bottom"/>
            <w:shd w:val="clear" w:color="auto" w:fill="CCEEFF"/>
          </w:tcPr>
          <w:p>
            <w:pPr>
              <w:spacing w:after="0"/>
              <w:rPr>
                <w:sz w:val="20"/>
                <w:szCs w:val="20"/>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46,000</w:t>
            </w: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15 years</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Straight-line</w:t>
            </w: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214,970</w:t>
            </w:r>
          </w:p>
        </w:tc>
        <w:tc>
          <w:tcPr>
            <w:tcW w:w="2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43"/>
        </w:trPr>
        <w:tc>
          <w:tcPr>
            <w:tcW w:w="512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Current liabilities</w:t>
            </w:r>
            <w:r>
              <w:rPr>
                <w:rFonts w:ascii="Arial" w:cs="Arial" w:eastAsia="Arial" w:hAnsi="Arial"/>
                <w:sz w:val="23"/>
                <w:szCs w:val="23"/>
                <w:i w:val="1"/>
                <w:iCs w:val="1"/>
                <w:color w:val="auto"/>
                <w:vertAlign w:val="superscript"/>
              </w:rPr>
              <w:t>(2)</w:t>
            </w:r>
          </w:p>
        </w:tc>
        <w:tc>
          <w:tcPr>
            <w:tcW w:w="100" w:type="dxa"/>
            <w:vAlign w:val="bottom"/>
            <w:shd w:val="clear" w:color="auto" w:fill="CCEEFF"/>
          </w:tcPr>
          <w:p>
            <w:pPr>
              <w:spacing w:after="0"/>
              <w:rPr>
                <w:sz w:val="21"/>
                <w:szCs w:val="21"/>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(104,691)</w:t>
            </w:r>
          </w:p>
        </w:tc>
        <w:tc>
          <w:tcPr>
            <w:tcW w:w="222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r>
      <w:tr>
        <w:trPr>
          <w:trHeight w:val="230"/>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revenues, long-term</w:t>
            </w:r>
          </w:p>
        </w:tc>
        <w:tc>
          <w:tcPr>
            <w:tcW w:w="1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w:t>
            </w:r>
          </w:p>
        </w:tc>
        <w:tc>
          <w:tcPr>
            <w:tcW w:w="222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spacing w:after="0"/>
              <w:rPr>
                <w:sz w:val="19"/>
                <w:szCs w:val="19"/>
                <w:color w:val="auto"/>
              </w:rPr>
            </w:pPr>
          </w:p>
        </w:tc>
      </w:tr>
      <w:tr>
        <w:trPr>
          <w:trHeight w:val="248"/>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purchase price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1,931,526</w:t>
            </w:r>
          </w:p>
        </w:tc>
        <w:tc>
          <w:tcPr>
            <w:tcW w:w="22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r>
    </w:tbl>
    <w:p>
      <w:pPr>
        <w:spacing w:after="0" w:line="193" w:lineRule="exact"/>
        <w:rPr>
          <w:sz w:val="20"/>
          <w:szCs w:val="20"/>
          <w:color w:val="auto"/>
        </w:rPr>
      </w:pPr>
    </w:p>
    <w:p>
      <w:pPr>
        <w:ind w:left="240" w:hanging="232"/>
        <w:spacing w:after="0"/>
        <w:tabs>
          <w:tab w:leader="none" w:pos="2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Includes an accounts receivable balance of $29.5 million.</w:t>
      </w:r>
    </w:p>
    <w:p>
      <w:pPr>
        <w:spacing w:after="0" w:line="113" w:lineRule="exact"/>
        <w:rPr>
          <w:rFonts w:ascii="Arial" w:cs="Arial" w:eastAsia="Arial" w:hAnsi="Arial"/>
          <w:sz w:val="16"/>
          <w:szCs w:val="16"/>
          <w:i w:val="1"/>
          <w:iCs w:val="1"/>
          <w:color w:val="auto"/>
        </w:rPr>
      </w:pPr>
    </w:p>
    <w:p>
      <w:pPr>
        <w:ind w:left="260" w:hanging="252"/>
        <w:spacing w:after="0" w:line="269" w:lineRule="auto"/>
        <w:tabs>
          <w:tab w:leader="none" w:pos="246"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Includes a deferred revenues balance of $99.4 million. The CGS acquisition was accounted for in accordance with our adoption of ASU No. 2021-08; as such, the deferred revenues did not include a fair value adjustment. Refer to Note 2, Significant Accounting Policies in the Notes included in Item 8. of our Annual Report on Form 10-K for the fiscal year ended August 31, 2022 for more information on ASU No. 2021-08.</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Goodwill totaling $215.0 million represents the excess of the CGS purchase price over the fair value of net assets acquired and considers future economic benefits that we expect to achieve as a result of the acquisition. The goodwill is included in the Americas segment and is deductible for income tax purposes. The majority of the net assets acquired relate to an ABA business process intangible which is a renewable license agreement with the ABA to manage the issuance, maintenance and access to the CUSIP numbering system and related database of CUSIP identifiers. This intangible asset's valuation and associated useful life considers the nature of the business relationship, multi-year term of the current agreement and the likelihood of long-term renewals. The useful life assigned to the Client relationships intangible asset considers the strong historical client retention and client renewals as a basis for expected future retention. The useful life assigned to Acquired databases considers the historical period of data collection and the limited changes to the data on an annual basis.</w:t>
      </w:r>
    </w:p>
    <w:p>
      <w:pPr>
        <w:spacing w:after="0" w:line="11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results of CGS's operations have been included in our Consolidated Financial Statements, within the Americas, EMEA and Asia Pacific segments, beginning with the closing of the acquisition on March 1, 2022. CGS operates as part of our CTS workflow solution which is included within the newly formed Data Solutions organization. Pro forma information has not been presented because the effect of the CGS acquisition was not material to our Consolidated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Cobalt Software, Inc.</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12, 2021, we acquired all of the outstanding shares of Cobalt for a purchase price of $50.0 million, net of cash acquired, and inclusive of working capital adjustments. Cobalt was a leading portfolio monitoring solutions provider for the private capital industry. This acquisition aligned with our strategy to scale our data and workflow solutions through targeted investments as part of our multi-year investment plan and expands our private markets offering. The Cobalt purchase price was in excess of the fair value of net assets acquired, resulting in the recognition of goodwill. We finalized the purchase accounting for the Cobalt acquisition during the fourth quarter of fiscal 2022 and did not record any material changes to the preliminary purchase price allocation.</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The acquisition date fair values of major classes of assets acquired and liabilities assumed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20" w:type="dxa"/>
            <w:vAlign w:val="bottom"/>
          </w:tcPr>
          <w:p>
            <w:pPr>
              <w:spacing w:after="0"/>
              <w:rPr>
                <w:sz w:val="19"/>
                <w:szCs w:val="19"/>
                <w:color w:val="auto"/>
              </w:rPr>
            </w:pPr>
          </w:p>
        </w:tc>
        <w:tc>
          <w:tcPr>
            <w:tcW w:w="2240" w:type="dxa"/>
            <w:vAlign w:val="bottom"/>
            <w:gridSpan w:val="2"/>
          </w:tcPr>
          <w:p>
            <w:pPr>
              <w:jc w:val="right"/>
              <w:ind w:right="30"/>
              <w:spacing w:after="0"/>
              <w:rPr>
                <w:sz w:val="20"/>
                <w:szCs w:val="20"/>
                <w:color w:val="auto"/>
              </w:rPr>
            </w:pPr>
            <w:r>
              <w:rPr>
                <w:rFonts w:ascii="Arial" w:cs="Arial" w:eastAsia="Arial" w:hAnsi="Arial"/>
                <w:sz w:val="18"/>
                <w:szCs w:val="18"/>
                <w:color w:val="auto"/>
                <w:w w:val="96"/>
              </w:rPr>
              <w:t>Acquisition Date Fair Value</w:t>
            </w:r>
          </w:p>
        </w:tc>
        <w:tc>
          <w:tcPr>
            <w:tcW w:w="2220" w:type="dxa"/>
            <w:vAlign w:val="bottom"/>
          </w:tcPr>
          <w:p>
            <w:pPr>
              <w:jc w:val="center"/>
              <w:spacing w:after="0"/>
              <w:rPr>
                <w:sz w:val="20"/>
                <w:szCs w:val="20"/>
                <w:color w:val="auto"/>
              </w:rPr>
            </w:pPr>
            <w:r>
              <w:rPr>
                <w:rFonts w:ascii="Arial" w:cs="Arial" w:eastAsia="Arial" w:hAnsi="Arial"/>
                <w:sz w:val="18"/>
                <w:szCs w:val="18"/>
                <w:color w:val="auto"/>
                <w:w w:val="95"/>
              </w:rPr>
              <w:t>Acquisition Date Useful Life</w:t>
            </w:r>
          </w:p>
        </w:tc>
        <w:tc>
          <w:tcPr>
            <w:tcW w:w="1660" w:type="dxa"/>
            <w:vAlign w:val="bottom"/>
          </w:tcPr>
          <w:p>
            <w:pPr>
              <w:jc w:val="center"/>
              <w:spacing w:after="0"/>
              <w:rPr>
                <w:sz w:val="20"/>
                <w:szCs w:val="20"/>
                <w:color w:val="auto"/>
              </w:rPr>
            </w:pPr>
            <w:r>
              <w:rPr>
                <w:rFonts w:ascii="Arial" w:cs="Arial" w:eastAsia="Arial" w:hAnsi="Arial"/>
                <w:sz w:val="18"/>
                <w:szCs w:val="18"/>
                <w:color w:val="auto"/>
                <w:w w:val="95"/>
              </w:rPr>
              <w:t>Amortization Method</w:t>
            </w:r>
          </w:p>
        </w:tc>
      </w:tr>
      <w:tr>
        <w:trPr>
          <w:trHeight w:val="230"/>
        </w:trPr>
        <w:tc>
          <w:tcPr>
            <w:tcW w:w="5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(in thousands)</w:t>
            </w:r>
          </w:p>
        </w:tc>
        <w:tc>
          <w:tcPr>
            <w:tcW w:w="6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3"/>
              </w:rPr>
              <w:t>(in years)</w:t>
            </w:r>
          </w:p>
        </w:tc>
        <w:tc>
          <w:tcPr>
            <w:tcW w:w="1660" w:type="dxa"/>
            <w:vAlign w:val="bottom"/>
            <w:tcBorders>
              <w:bottom w:val="single" w:sz="8" w:color="auto"/>
            </w:tcBorders>
          </w:tcPr>
          <w:p>
            <w:pPr>
              <w:spacing w:after="0"/>
              <w:rPr>
                <w:sz w:val="20"/>
                <w:szCs w:val="20"/>
                <w:color w:val="auto"/>
              </w:rPr>
            </w:pPr>
          </w:p>
        </w:tc>
      </w:tr>
      <w:tr>
        <w:trPr>
          <w:trHeight w:val="236"/>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640" w:type="dxa"/>
            <w:vAlign w:val="bottom"/>
            <w:shd w:val="clear" w:color="auto" w:fill="CCEEFF"/>
          </w:tcPr>
          <w:p>
            <w:pPr>
              <w:jc w:val="right"/>
              <w:ind w:right="145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22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Amortizable intangible assets</w:t>
            </w:r>
          </w:p>
        </w:tc>
        <w:tc>
          <w:tcPr>
            <w:tcW w:w="1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5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Software technology</w:t>
            </w:r>
          </w:p>
        </w:tc>
        <w:tc>
          <w:tcPr>
            <w:tcW w:w="16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7,750</w:t>
            </w: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 years</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Straight-line</w:t>
            </w:r>
          </w:p>
        </w:tc>
      </w:tr>
      <w:tr>
        <w:trPr>
          <w:trHeight w:val="237"/>
        </w:trPr>
        <w:tc>
          <w:tcPr>
            <w:tcW w:w="5120" w:type="dxa"/>
            <w:vAlign w:val="bottom"/>
          </w:tcPr>
          <w:p>
            <w:pPr>
              <w:ind w:left="240"/>
              <w:spacing w:after="0"/>
              <w:rPr>
                <w:sz w:val="20"/>
                <w:szCs w:val="20"/>
                <w:color w:val="auto"/>
              </w:rPr>
            </w:pPr>
            <w:r>
              <w:rPr>
                <w:rFonts w:ascii="Arial" w:cs="Arial" w:eastAsia="Arial" w:hAnsi="Arial"/>
                <w:sz w:val="18"/>
                <w:szCs w:val="18"/>
                <w:color w:val="auto"/>
              </w:rPr>
              <w:t>Client relationships</w:t>
            </w:r>
          </w:p>
        </w:tc>
        <w:tc>
          <w:tcPr>
            <w:tcW w:w="16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4,800</w:t>
            </w:r>
          </w:p>
        </w:tc>
        <w:tc>
          <w:tcPr>
            <w:tcW w:w="2220" w:type="dxa"/>
            <w:vAlign w:val="bottom"/>
          </w:tcPr>
          <w:p>
            <w:pPr>
              <w:jc w:val="center"/>
              <w:spacing w:after="0"/>
              <w:rPr>
                <w:sz w:val="20"/>
                <w:szCs w:val="20"/>
                <w:color w:val="auto"/>
              </w:rPr>
            </w:pPr>
            <w:r>
              <w:rPr>
                <w:rFonts w:ascii="Arial" w:cs="Arial" w:eastAsia="Arial" w:hAnsi="Arial"/>
                <w:sz w:val="18"/>
                <w:szCs w:val="18"/>
                <w:color w:val="auto"/>
                <w:w w:val="86"/>
              </w:rPr>
              <w:t>11 years</w:t>
            </w:r>
          </w:p>
        </w:tc>
        <w:tc>
          <w:tcPr>
            <w:tcW w:w="1660" w:type="dxa"/>
            <w:vAlign w:val="bottom"/>
          </w:tcPr>
          <w:p>
            <w:pPr>
              <w:jc w:val="center"/>
              <w:spacing w:after="0"/>
              <w:rPr>
                <w:sz w:val="20"/>
                <w:szCs w:val="20"/>
                <w:color w:val="auto"/>
              </w:rPr>
            </w:pPr>
            <w:r>
              <w:rPr>
                <w:rFonts w:ascii="Arial" w:cs="Arial" w:eastAsia="Arial" w:hAnsi="Arial"/>
                <w:sz w:val="18"/>
                <w:szCs w:val="18"/>
                <w:color w:val="auto"/>
                <w:w w:val="93"/>
              </w:rPr>
              <w:t>Straight-line</w:t>
            </w:r>
          </w:p>
        </w:tc>
      </w:tr>
      <w:tr>
        <w:trPr>
          <w:trHeight w:val="236"/>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6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41,338</w:t>
            </w:r>
          </w:p>
        </w:tc>
        <w:tc>
          <w:tcPr>
            <w:tcW w:w="22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6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w:t>
            </w:r>
          </w:p>
        </w:tc>
        <w:tc>
          <w:tcPr>
            <w:tcW w:w="22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4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6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(4,437)</w:t>
            </w:r>
          </w:p>
        </w:tc>
        <w:tc>
          <w:tcPr>
            <w:tcW w:w="222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r>
      <w:tr>
        <w:trPr>
          <w:trHeight w:val="230"/>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16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22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r>
      <w:tr>
        <w:trPr>
          <w:trHeight w:val="248"/>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purchase price</w:t>
            </w:r>
          </w:p>
        </w:tc>
        <w:tc>
          <w:tcPr>
            <w:tcW w:w="1640" w:type="dxa"/>
            <w:vAlign w:val="bottom"/>
            <w:tcBorders>
              <w:bottom w:val="single" w:sz="8" w:color="auto"/>
            </w:tcBorders>
            <w:shd w:val="clear" w:color="auto" w:fill="CCEEFF"/>
          </w:tcPr>
          <w:p>
            <w:pPr>
              <w:jc w:val="right"/>
              <w:ind w:right="14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50,018</w:t>
            </w:r>
          </w:p>
        </w:tc>
        <w:tc>
          <w:tcPr>
            <w:tcW w:w="2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Goodwill totaling $41.3 million represents the excess of the Cobalt purchase price over the fair value of net assets acquired and is included in the Americas and EMEA segments. Goodwill generated from the Cobalt acquisition is not deductible for income tax purposes. The useful life assigned to the Client relationships intangible asset considers the historical client retention as a basis for expected future retention. The useful life assigned to Software technology considers our historical experience and anticipated technological changes.</w:t>
      </w:r>
    </w:p>
    <w:p>
      <w:pPr>
        <w:spacing w:after="0" w:line="11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results of Cobalt's operations have been included in our Consolidated Financial Statements, within the Americas and EMEA segments, beginning with its acquisition on October 12, 2021. Pro forma information has not been presented because the effect of the Cobalt acquisition was not material to our Consolidated Financial Statements.</w:t>
      </w: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 GOODWILL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by segment for the nine months ended May 31, 2023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Americas</w:t>
            </w: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EMEA</w:t>
            </w: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8"/>
              </w:rPr>
              <w:t>Asia Pacific</w:t>
            </w: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Total</w:t>
            </w:r>
          </w:p>
        </w:tc>
      </w:tr>
      <w:tr>
        <w:trPr>
          <w:trHeight w:val="237"/>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August 31, 2022</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686,412</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277,087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965,848</w:t>
            </w:r>
          </w:p>
        </w:tc>
      </w:tr>
      <w:tr>
        <w:trPr>
          <w:trHeight w:val="229"/>
        </w:trPr>
        <w:tc>
          <w:tcPr>
            <w:tcW w:w="5940" w:type="dxa"/>
            <w:vAlign w:val="bottom"/>
          </w:tcPr>
          <w:p>
            <w:pPr>
              <w:ind w:left="140"/>
              <w:spacing w:after="0"/>
              <w:rPr>
                <w:sz w:val="20"/>
                <w:szCs w:val="20"/>
                <w:color w:val="auto"/>
              </w:rPr>
            </w:pPr>
            <w:r>
              <w:rPr>
                <w:rFonts w:ascii="Arial" w:cs="Arial" w:eastAsia="Arial" w:hAnsi="Arial"/>
                <w:sz w:val="18"/>
                <w:szCs w:val="18"/>
                <w:color w:val="auto"/>
              </w:rPr>
              <w:t>Foreign currency translations</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16,321</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16,314</w:t>
            </w:r>
          </w:p>
        </w:tc>
      </w:tr>
      <w:tr>
        <w:trPr>
          <w:trHeight w:val="22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May 31, 2023</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686,412</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293,408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982,162</w:t>
            </w:r>
          </w:p>
        </w:tc>
      </w:tr>
    </w:tbl>
    <w:p>
      <w:pPr>
        <w:spacing w:after="0" w:line="32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Goodwill is not amortized as it is estimated to have an indefinite life. At least annually, we test goodwill for impairment at the reporting unit level, which is consistent with our segments, and if impaired, it is written down to fair value. We performed our annual goodwill impairment test during the fourth quarter of fiscal 2022 utilizing a qualitative analysis, consistent with the timing and methodology of previous years. We concluded it was more likely than not that the fair value of each of our segments was not less than its respective carrying value and no impairment charge was required.</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8. INTANGIBLE ASSETS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amortize intangible assets on a straight line basis over their estimated useful lives. The estimated useful life, gross carrying amounts and accumulated amortization totals related to our identifiable intangible assets are as follows: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5"/>
              </w:rPr>
              <w:t>May 31, 2023</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August 31, 2022</w:t>
            </w: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240" w:type="dxa"/>
            <w:vAlign w:val="bottom"/>
            <w:vMerge w:val="restart"/>
          </w:tcPr>
          <w:p>
            <w:pPr>
              <w:ind w:left="20"/>
              <w:spacing w:after="0"/>
              <w:rPr>
                <w:sz w:val="20"/>
                <w:szCs w:val="20"/>
                <w:color w:val="auto"/>
              </w:rPr>
            </w:pPr>
            <w:r>
              <w:rPr>
                <w:rFonts w:ascii="Arial" w:cs="Arial" w:eastAsia="Arial" w:hAnsi="Arial"/>
                <w:sz w:val="18"/>
                <w:szCs w:val="18"/>
                <w:i w:val="1"/>
                <w:iCs w:val="1"/>
                <w:color w:val="auto"/>
                <w:w w:val="98"/>
              </w:rPr>
              <w:t>(in thousands, except useful</w:t>
            </w:r>
          </w:p>
        </w:tc>
        <w:tc>
          <w:tcPr>
            <w:tcW w:w="1240" w:type="dxa"/>
            <w:vAlign w:val="bottom"/>
          </w:tcPr>
          <w:p>
            <w:pPr>
              <w:jc w:val="center"/>
              <w:spacing w:after="0" w:line="169" w:lineRule="exact"/>
              <w:rPr>
                <w:sz w:val="20"/>
                <w:szCs w:val="20"/>
                <w:color w:val="auto"/>
              </w:rPr>
            </w:pPr>
            <w:r>
              <w:rPr>
                <w:rFonts w:ascii="Arial" w:cs="Arial" w:eastAsia="Arial" w:hAnsi="Arial"/>
                <w:sz w:val="18"/>
                <w:szCs w:val="18"/>
                <w:color w:val="auto"/>
                <w:w w:val="89"/>
              </w:rPr>
              <w:t>Estimated</w:t>
            </w:r>
          </w:p>
        </w:tc>
        <w:tc>
          <w:tcPr>
            <w:tcW w:w="1180" w:type="dxa"/>
            <w:vAlign w:val="bottom"/>
            <w:gridSpan w:val="2"/>
            <w:vMerge w:val="restart"/>
          </w:tcPr>
          <w:p>
            <w:pPr>
              <w:jc w:val="right"/>
              <w:spacing w:after="0"/>
              <w:rPr>
                <w:sz w:val="20"/>
                <w:szCs w:val="20"/>
                <w:color w:val="auto"/>
              </w:rPr>
            </w:pPr>
            <w:r>
              <w:rPr>
                <w:rFonts w:ascii="Arial" w:cs="Arial" w:eastAsia="Arial" w:hAnsi="Arial"/>
                <w:sz w:val="18"/>
                <w:szCs w:val="18"/>
                <w:color w:val="auto"/>
                <w:w w:val="92"/>
              </w:rPr>
              <w:t>Gross Carrying</w:t>
            </w:r>
          </w:p>
        </w:tc>
        <w:tc>
          <w:tcPr>
            <w:tcW w:w="180" w:type="dxa"/>
            <w:vAlign w:val="bottom"/>
          </w:tcPr>
          <w:p>
            <w:pPr>
              <w:spacing w:after="0"/>
              <w:rPr>
                <w:sz w:val="14"/>
                <w:szCs w:val="14"/>
                <w:color w:val="auto"/>
              </w:rPr>
            </w:pPr>
          </w:p>
        </w:tc>
        <w:tc>
          <w:tcPr>
            <w:tcW w:w="1180" w:type="dxa"/>
            <w:vAlign w:val="bottom"/>
            <w:vMerge w:val="restart"/>
          </w:tcPr>
          <w:p>
            <w:pPr>
              <w:jc w:val="right"/>
              <w:ind w:right="90"/>
              <w:spacing w:after="0"/>
              <w:rPr>
                <w:sz w:val="20"/>
                <w:szCs w:val="20"/>
                <w:color w:val="auto"/>
              </w:rPr>
            </w:pPr>
            <w:r>
              <w:rPr>
                <w:rFonts w:ascii="Arial" w:cs="Arial" w:eastAsia="Arial" w:hAnsi="Arial"/>
                <w:sz w:val="18"/>
                <w:szCs w:val="18"/>
                <w:color w:val="auto"/>
                <w:w w:val="94"/>
              </w:rPr>
              <w:t>Accumulated</w:t>
            </w:r>
          </w:p>
        </w:tc>
        <w:tc>
          <w:tcPr>
            <w:tcW w:w="160" w:type="dxa"/>
            <w:vAlign w:val="bottom"/>
          </w:tcPr>
          <w:p>
            <w:pPr>
              <w:spacing w:after="0"/>
              <w:rPr>
                <w:sz w:val="14"/>
                <w:szCs w:val="14"/>
                <w:color w:val="auto"/>
              </w:rPr>
            </w:pPr>
          </w:p>
        </w:tc>
        <w:tc>
          <w:tcPr>
            <w:tcW w:w="1100" w:type="dxa"/>
            <w:vAlign w:val="bottom"/>
            <w:vMerge w:val="restart"/>
          </w:tcPr>
          <w:p>
            <w:pPr>
              <w:jc w:val="right"/>
              <w:ind w:right="30"/>
              <w:spacing w:after="0"/>
              <w:rPr>
                <w:sz w:val="20"/>
                <w:szCs w:val="20"/>
                <w:color w:val="auto"/>
              </w:rPr>
            </w:pPr>
            <w:r>
              <w:rPr>
                <w:rFonts w:ascii="Arial" w:cs="Arial" w:eastAsia="Arial" w:hAnsi="Arial"/>
                <w:sz w:val="18"/>
                <w:szCs w:val="18"/>
                <w:color w:val="auto"/>
                <w:w w:val="94"/>
              </w:rPr>
              <w:t>Net Carrying</w:t>
            </w:r>
          </w:p>
        </w:tc>
        <w:tc>
          <w:tcPr>
            <w:tcW w:w="1240" w:type="dxa"/>
            <w:vAlign w:val="bottom"/>
            <w:gridSpan w:val="2"/>
            <w:vMerge w:val="restart"/>
          </w:tcPr>
          <w:p>
            <w:pPr>
              <w:jc w:val="right"/>
              <w:spacing w:after="0"/>
              <w:rPr>
                <w:sz w:val="20"/>
                <w:szCs w:val="20"/>
                <w:color w:val="auto"/>
              </w:rPr>
            </w:pPr>
            <w:r>
              <w:rPr>
                <w:rFonts w:ascii="Arial" w:cs="Arial" w:eastAsia="Arial" w:hAnsi="Arial"/>
                <w:sz w:val="18"/>
                <w:szCs w:val="18"/>
                <w:color w:val="auto"/>
                <w:w w:val="97"/>
              </w:rPr>
              <w:t>Gross Carrying</w:t>
            </w:r>
          </w:p>
        </w:tc>
        <w:tc>
          <w:tcPr>
            <w:tcW w:w="140" w:type="dxa"/>
            <w:vAlign w:val="bottom"/>
          </w:tcPr>
          <w:p>
            <w:pPr>
              <w:spacing w:after="0"/>
              <w:rPr>
                <w:sz w:val="14"/>
                <w:szCs w:val="14"/>
                <w:color w:val="auto"/>
              </w:rPr>
            </w:pPr>
          </w:p>
        </w:tc>
        <w:tc>
          <w:tcPr>
            <w:tcW w:w="1240" w:type="dxa"/>
            <w:vAlign w:val="bottom"/>
            <w:vMerge w:val="restart"/>
          </w:tcPr>
          <w:p>
            <w:pPr>
              <w:jc w:val="right"/>
              <w:ind w:right="110"/>
              <w:spacing w:after="0"/>
              <w:rPr>
                <w:sz w:val="20"/>
                <w:szCs w:val="20"/>
                <w:color w:val="auto"/>
              </w:rPr>
            </w:pPr>
            <w:r>
              <w:rPr>
                <w:rFonts w:ascii="Arial" w:cs="Arial" w:eastAsia="Arial" w:hAnsi="Arial"/>
                <w:sz w:val="18"/>
                <w:szCs w:val="18"/>
                <w:color w:val="auto"/>
                <w:w w:val="97"/>
              </w:rPr>
              <w:t>Accumulated</w:t>
            </w:r>
          </w:p>
        </w:tc>
        <w:tc>
          <w:tcPr>
            <w:tcW w:w="160" w:type="dxa"/>
            <w:vAlign w:val="bottom"/>
          </w:tcPr>
          <w:p>
            <w:pPr>
              <w:spacing w:after="0"/>
              <w:rPr>
                <w:sz w:val="14"/>
                <w:szCs w:val="14"/>
                <w:color w:val="auto"/>
              </w:rPr>
            </w:pPr>
          </w:p>
        </w:tc>
        <w:tc>
          <w:tcPr>
            <w:tcW w:w="1180" w:type="dxa"/>
            <w:vAlign w:val="bottom"/>
            <w:vMerge w:val="restart"/>
          </w:tcPr>
          <w:p>
            <w:pPr>
              <w:jc w:val="right"/>
              <w:ind w:right="110"/>
              <w:spacing w:after="0"/>
              <w:rPr>
                <w:sz w:val="20"/>
                <w:szCs w:val="20"/>
                <w:color w:val="auto"/>
              </w:rPr>
            </w:pPr>
            <w:r>
              <w:rPr>
                <w:rFonts w:ascii="Arial" w:cs="Arial" w:eastAsia="Arial" w:hAnsi="Arial"/>
                <w:sz w:val="18"/>
                <w:szCs w:val="18"/>
                <w:color w:val="auto"/>
                <w:w w:val="94"/>
              </w:rPr>
              <w:t>Net Carrying</w:t>
            </w:r>
          </w:p>
        </w:tc>
        <w:tc>
          <w:tcPr>
            <w:tcW w:w="0" w:type="dxa"/>
            <w:vAlign w:val="bottom"/>
          </w:tcPr>
          <w:p>
            <w:pPr>
              <w:spacing w:after="0"/>
              <w:rPr>
                <w:sz w:val="1"/>
                <w:szCs w:val="1"/>
                <w:color w:val="auto"/>
              </w:rPr>
            </w:pPr>
          </w:p>
        </w:tc>
      </w:tr>
      <w:tr>
        <w:trPr>
          <w:trHeight w:val="176"/>
        </w:trPr>
        <w:tc>
          <w:tcPr>
            <w:tcW w:w="2240" w:type="dxa"/>
            <w:vAlign w:val="bottom"/>
            <w:vMerge w:val="continue"/>
          </w:tcPr>
          <w:p>
            <w:pPr>
              <w:spacing w:after="0"/>
              <w:rPr>
                <w:sz w:val="15"/>
                <w:szCs w:val="15"/>
                <w:color w:val="auto"/>
              </w:rPr>
            </w:pPr>
          </w:p>
        </w:tc>
        <w:tc>
          <w:tcPr>
            <w:tcW w:w="1240" w:type="dxa"/>
            <w:vAlign w:val="bottom"/>
          </w:tcPr>
          <w:p>
            <w:pPr>
              <w:jc w:val="center"/>
              <w:spacing w:after="0" w:line="176" w:lineRule="exact"/>
              <w:rPr>
                <w:sz w:val="20"/>
                <w:szCs w:val="20"/>
                <w:color w:val="auto"/>
              </w:rPr>
            </w:pPr>
            <w:r>
              <w:rPr>
                <w:rFonts w:ascii="Arial" w:cs="Arial" w:eastAsia="Arial" w:hAnsi="Arial"/>
                <w:sz w:val="18"/>
                <w:szCs w:val="18"/>
                <w:color w:val="auto"/>
                <w:w w:val="96"/>
              </w:rPr>
              <w:t>Useful Life</w:t>
            </w:r>
          </w:p>
        </w:tc>
        <w:tc>
          <w:tcPr>
            <w:tcW w:w="11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lives)</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(years)</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Amount</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7"/>
              </w:rPr>
              <w:t>Amortization</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Amount</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Amount</w:t>
            </w: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Amortization</w:t>
            </w: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Amount</w:t>
            </w:r>
          </w:p>
        </w:tc>
        <w:tc>
          <w:tcPr>
            <w:tcW w:w="0" w:type="dxa"/>
            <w:vAlign w:val="bottom"/>
          </w:tcPr>
          <w:p>
            <w:pPr>
              <w:spacing w:after="0"/>
              <w:rPr>
                <w:sz w:val="1"/>
                <w:szCs w:val="1"/>
                <w:color w:val="auto"/>
              </w:rPr>
            </w:pPr>
          </w:p>
        </w:tc>
      </w:tr>
      <w:tr>
        <w:trPr>
          <w:trHeight w:val="229"/>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ABA business process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54,965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1,528,035</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1,561,014</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rPr>
                <w:sz w:val="20"/>
                <w:szCs w:val="20"/>
                <w:color w:val="auto"/>
              </w:rPr>
            </w:pPr>
            <w:r>
              <w:rPr>
                <w:rFonts w:ascii="Arial" w:cs="Arial" w:eastAsia="Arial" w:hAnsi="Arial"/>
                <w:sz w:val="18"/>
                <w:szCs w:val="18"/>
                <w:color w:val="auto"/>
              </w:rPr>
              <w:t>Client relationships</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11 to 26</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264,540</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65,392</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199,148</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263,163</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55,405</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207,758</w:t>
            </w:r>
          </w:p>
        </w:tc>
        <w:tc>
          <w:tcPr>
            <w:tcW w:w="0" w:type="dxa"/>
            <w:vAlign w:val="bottom"/>
          </w:tcPr>
          <w:p>
            <w:pPr>
              <w:spacing w:after="0"/>
              <w:rPr>
                <w:sz w:val="1"/>
                <w:szCs w:val="1"/>
                <w:color w:val="auto"/>
              </w:rPr>
            </w:pPr>
          </w:p>
        </w:tc>
      </w:tr>
      <w:tr>
        <w:trPr>
          <w:trHeight w:val="243"/>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 technology</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 to 9</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124,626</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105,220</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19,406</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122,363</w:t>
            </w: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96,567</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25,796</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3 to 5</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107,215</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45,804</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61,411</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80,956</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33,676</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47,280</w:t>
            </w:r>
          </w:p>
        </w:tc>
        <w:tc>
          <w:tcPr>
            <w:tcW w:w="0" w:type="dxa"/>
            <w:vAlign w:val="bottom"/>
          </w:tcPr>
          <w:p>
            <w:pPr>
              <w:spacing w:after="0"/>
              <w:rPr>
                <w:sz w:val="1"/>
                <w:szCs w:val="1"/>
                <w:color w:val="auto"/>
              </w:rPr>
            </w:pPr>
          </w:p>
        </w:tc>
      </w:tr>
      <w:tr>
        <w:trPr>
          <w:trHeight w:val="229"/>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Acquired databases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46,000</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3,833</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42,167</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46,000</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44,467</w:t>
            </w:r>
          </w:p>
        </w:tc>
        <w:tc>
          <w:tcPr>
            <w:tcW w:w="0" w:type="dxa"/>
            <w:vAlign w:val="bottom"/>
          </w:tcPr>
          <w:p>
            <w:pPr>
              <w:spacing w:after="0"/>
              <w:rPr>
                <w:sz w:val="1"/>
                <w:szCs w:val="1"/>
                <w:color w:val="auto"/>
              </w:rPr>
            </w:pPr>
          </w:p>
        </w:tc>
      </w:tr>
      <w:tr>
        <w:trPr>
          <w:trHeight w:val="237"/>
        </w:trPr>
        <w:tc>
          <w:tcPr>
            <w:tcW w:w="2240" w:type="dxa"/>
            <w:vAlign w:val="bottom"/>
          </w:tcPr>
          <w:p>
            <w:pPr>
              <w:ind w:left="20"/>
              <w:spacing w:after="0"/>
              <w:rPr>
                <w:sz w:val="20"/>
                <w:szCs w:val="20"/>
                <w:color w:val="auto"/>
              </w:rPr>
            </w:pPr>
            <w:r>
              <w:rPr>
                <w:rFonts w:ascii="Arial" w:cs="Arial" w:eastAsia="Arial" w:hAnsi="Arial"/>
                <w:sz w:val="18"/>
                <w:szCs w:val="18"/>
                <w:color w:val="auto"/>
              </w:rPr>
              <w:t>Data content</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7 to 20</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34,421</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27,664</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6,757</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32,305</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24,973</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7,332</w:t>
            </w:r>
          </w:p>
        </w:tc>
        <w:tc>
          <w:tcPr>
            <w:tcW w:w="0" w:type="dxa"/>
            <w:vAlign w:val="bottom"/>
          </w:tcPr>
          <w:p>
            <w:pPr>
              <w:spacing w:after="0"/>
              <w:rPr>
                <w:sz w:val="1"/>
                <w:szCs w:val="1"/>
                <w:color w:val="auto"/>
              </w:rPr>
            </w:pPr>
          </w:p>
        </w:tc>
      </w:tr>
      <w:tr>
        <w:trPr>
          <w:trHeight w:val="236"/>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2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6,785</w:t>
            </w:r>
          </w:p>
        </w:tc>
        <w:tc>
          <w:tcPr>
            <w:tcW w:w="1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4,467</w:t>
            </w:r>
          </w:p>
        </w:tc>
        <w:tc>
          <w:tcPr>
            <w:tcW w:w="1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2,318</w:t>
            </w:r>
          </w:p>
        </w:tc>
        <w:tc>
          <w:tcPr>
            <w:tcW w:w="2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6,693</w:t>
            </w:r>
          </w:p>
        </w:tc>
        <w:tc>
          <w:tcPr>
            <w:tcW w:w="1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4,431</w:t>
            </w:r>
          </w:p>
        </w:tc>
        <w:tc>
          <w:tcPr>
            <w:tcW w:w="1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0" w:type="dxa"/>
            <w:vAlign w:val="bottom"/>
          </w:tcPr>
          <w:p>
            <w:pPr>
              <w:spacing w:after="0"/>
              <w:rPr>
                <w:sz w:val="1"/>
                <w:szCs w:val="1"/>
                <w:color w:val="auto"/>
              </w:rPr>
            </w:pPr>
          </w:p>
        </w:tc>
      </w:tr>
      <w:tr>
        <w:trPr>
          <w:trHeight w:val="224"/>
        </w:trPr>
        <w:tc>
          <w:tcPr>
            <w:tcW w:w="2240" w:type="dxa"/>
            <w:vAlign w:val="bottom"/>
          </w:tcPr>
          <w:p>
            <w:pPr>
              <w:ind w:left="140"/>
              <w:spacing w:after="0"/>
              <w:rPr>
                <w:sz w:val="20"/>
                <w:szCs w:val="20"/>
                <w:color w:val="auto"/>
              </w:rPr>
            </w:pPr>
            <w:r>
              <w:rPr>
                <w:rFonts w:ascii="Arial" w:cs="Arial" w:eastAsia="Arial" w:hAnsi="Arial"/>
                <w:sz w:val="18"/>
                <w:szCs w:val="18"/>
                <w:i w:val="1"/>
                <w:iCs w:val="1"/>
                <w:color w:val="auto"/>
              </w:rPr>
              <w:t>Total</w:t>
            </w:r>
          </w:p>
        </w:tc>
        <w:tc>
          <w:tcPr>
            <w:tcW w:w="12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2,166,587</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307,345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1,859,242</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2,134,480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238,571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1,895,909</w:t>
            </w:r>
          </w:p>
        </w:tc>
        <w:tc>
          <w:tcPr>
            <w:tcW w:w="0" w:type="dxa"/>
            <w:vAlign w:val="bottom"/>
          </w:tcPr>
          <w:p>
            <w:pPr>
              <w:spacing w:after="0"/>
              <w:rPr>
                <w:sz w:val="1"/>
                <w:szCs w:val="1"/>
                <w:color w:val="auto"/>
              </w:rPr>
            </w:pPr>
          </w:p>
        </w:tc>
      </w:tr>
    </w:tbl>
    <w:p>
      <w:pPr>
        <w:spacing w:after="0" w:line="25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 weighted average useful life of our intangible assets at May 31, 2023 was 32.7 years. As described in Note 6, </w:t>
      </w:r>
      <w:r>
        <w:rPr>
          <w:rFonts w:ascii="Arial" w:cs="Arial" w:eastAsia="Arial" w:hAnsi="Arial"/>
          <w:sz w:val="17"/>
          <w:szCs w:val="17"/>
          <w:i w:val="1"/>
          <w:iCs w:val="1"/>
          <w:color w:val="auto"/>
        </w:rPr>
        <w:t>Acquisitions</w:t>
      </w:r>
      <w:r>
        <w:rPr>
          <w:rFonts w:ascii="Arial" w:cs="Arial" w:eastAsia="Arial" w:hAnsi="Arial"/>
          <w:sz w:val="17"/>
          <w:szCs w:val="17"/>
          <w:color w:val="auto"/>
        </w:rPr>
        <w:t>, we acquired several intangible assets as part of the CGS acquisition. The weighted average useful life of our intangible assets at May 31, 2023, excluding those acquired from CGS, was 9.0 years. We assess intangible assets for indicators of impairment on a quarterly basis, including an evaluation of our useful lives to determine if events and circumstances warrant a revision to the remaining period of amortization. If indicators of impairment are present, amortizable intangible assets are tested for impairment by comparing the carrying value to undiscounted cash flows and, if impaired, written down to fair value based on discounted cash flows. We have not identified a material impairment nor a material change to the estimated remaining useful lives of our intangible assets for the nine months ended May 31, 2023 and May 31, 2022. The intangible assets have no assigned residual values.</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Amortization expense recorded for intangible assets for the three months ended May 31, 2023 and May 31, 2022 was $22.0 million and $21.5 million, respectively. Amortization expense for intangible assets for the nine months ended May 31, 2023 and May 31, 2022 was $65.4 million and $40.6 million,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As of May 31, 2023, estimated intangible asset amortization expense for each of the next five years and thereafter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304"/>
        </w:trPr>
        <w:tc>
          <w:tcPr>
            <w:tcW w:w="8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Fiscal Years Ended August 31,</w:t>
            </w:r>
          </w:p>
        </w:tc>
        <w:tc>
          <w:tcPr>
            <w:tcW w:w="2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4"/>
              </w:rPr>
              <w:t>Estimated Amortization Expense</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 (remaining three months)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22,197</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9"/>
                <w:szCs w:val="19"/>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88,459</w:t>
            </w:r>
          </w:p>
        </w:tc>
      </w:tr>
      <w:tr>
        <w:trPr>
          <w:trHeight w:val="24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21"/>
                <w:szCs w:val="21"/>
                <w:color w:val="auto"/>
              </w:rPr>
            </w:pP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81,937</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2026</w:t>
            </w:r>
          </w:p>
        </w:tc>
        <w:tc>
          <w:tcPr>
            <w:tcW w:w="220" w:type="dxa"/>
            <w:vAlign w:val="bottom"/>
          </w:tcPr>
          <w:p>
            <w:pPr>
              <w:spacing w:after="0"/>
              <w:rPr>
                <w:sz w:val="19"/>
                <w:szCs w:val="19"/>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75,528</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20" w:type="dxa"/>
            <w:vAlign w:val="bottom"/>
            <w:shd w:val="clear" w:color="auto" w:fill="CCEEFF"/>
          </w:tcPr>
          <w:p>
            <w:pPr>
              <w:spacing w:after="0"/>
              <w:rPr>
                <w:sz w:val="19"/>
                <w:szCs w:val="19"/>
                <w:color w:val="auto"/>
              </w:rPr>
            </w:pP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63,930</w:t>
            </w:r>
          </w:p>
        </w:tc>
      </w:tr>
      <w:tr>
        <w:trPr>
          <w:trHeight w:val="24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1,527,191</w:t>
            </w:r>
          </w:p>
        </w:tc>
      </w:tr>
      <w:tr>
        <w:trPr>
          <w:trHeight w:val="223"/>
        </w:trPr>
        <w:tc>
          <w:tcPr>
            <w:tcW w:w="8220" w:type="dxa"/>
            <w:vAlign w:val="bottom"/>
            <w:shd w:val="clear" w:color="auto" w:fill="CCEEFF"/>
          </w:tcPr>
          <w:p>
            <w:pPr>
              <w:ind w:left="480"/>
              <w:spacing w:after="0"/>
              <w:rPr>
                <w:sz w:val="20"/>
                <w:szCs w:val="20"/>
                <w:color w:val="auto"/>
              </w:rPr>
            </w:pPr>
            <w:r>
              <w:rPr>
                <w:rFonts w:ascii="Arial" w:cs="Arial" w:eastAsia="Arial" w:hAnsi="Arial"/>
                <w:sz w:val="18"/>
                <w:szCs w:val="18"/>
                <w:i w:val="1"/>
                <w:iCs w:val="1"/>
                <w:color w:val="auto"/>
              </w:rPr>
              <w:t>Total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1,859,242</w:t>
            </w: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 INCOME TAXES</w:t>
      </w:r>
    </w:p>
    <w:p>
      <w:pPr>
        <w:spacing w:after="0" w:line="1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Income tax expense is based on taxable income determined in accordance with current enacted laws and tax rates. Deferred income taxes are recorded for the temporary differences between the financial statement and the tax bases of assets and liabilities using currently enacted tax rates.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Table of Contents</w:t>
            </w:r>
          </w:p>
        </w:tc>
        <w:tc>
          <w:tcPr>
            <w:tcW w:w="1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945"/>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Income Tax Provision and Effective Tax Rate</w:t>
            </w:r>
          </w:p>
        </w:tc>
        <w:tc>
          <w:tcPr>
            <w:tcW w:w="1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05"/>
        </w:trPr>
        <w:tc>
          <w:tcPr>
            <w:tcW w:w="5380" w:type="dxa"/>
            <w:vAlign w:val="bottom"/>
            <w:gridSpan w:val="3"/>
          </w:tcPr>
          <w:p>
            <w:pPr>
              <w:spacing w:after="0"/>
              <w:rPr>
                <w:sz w:val="20"/>
                <w:szCs w:val="20"/>
                <w:color w:val="auto"/>
              </w:rPr>
            </w:pPr>
            <w:r>
              <w:rPr>
                <w:rFonts w:ascii="Arial" w:cs="Arial" w:eastAsia="Arial" w:hAnsi="Arial"/>
                <w:sz w:val="18"/>
                <w:szCs w:val="18"/>
                <w:color w:val="auto"/>
                <w:w w:val="99"/>
              </w:rPr>
              <w:t>The provision for income taxes and effective tax rate are as follows:</w:t>
            </w: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6"/>
        </w:trPr>
        <w:tc>
          <w:tcPr>
            <w:tcW w:w="27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Three Months Ended</w:t>
            </w:r>
          </w:p>
        </w:tc>
        <w:tc>
          <w:tcPr>
            <w:tcW w:w="1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Nine Months Ended</w:t>
            </w:r>
          </w:p>
        </w:tc>
        <w:tc>
          <w:tcPr>
            <w:tcW w:w="1200" w:type="dxa"/>
            <w:vAlign w:val="bottom"/>
          </w:tcPr>
          <w:p>
            <w:pPr>
              <w:spacing w:after="0"/>
              <w:rPr>
                <w:sz w:val="22"/>
                <w:szCs w:val="22"/>
                <w:color w:val="auto"/>
              </w:rPr>
            </w:pPr>
          </w:p>
        </w:tc>
      </w:tr>
      <w:tr>
        <w:trPr>
          <w:trHeight w:val="229"/>
        </w:trPr>
        <w:tc>
          <w:tcPr>
            <w:tcW w:w="27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80" w:type="dxa"/>
            <w:vAlign w:val="bottom"/>
            <w:gridSpan w:val="2"/>
          </w:tcPr>
          <w:p>
            <w:pPr>
              <w:jc w:val="right"/>
              <w:ind w:right="390"/>
              <w:spacing w:after="0"/>
              <w:rPr>
                <w:sz w:val="20"/>
                <w:szCs w:val="20"/>
                <w:color w:val="auto"/>
              </w:rPr>
            </w:pPr>
            <w:r>
              <w:rPr>
                <w:rFonts w:ascii="Arial" w:cs="Arial" w:eastAsia="Arial" w:hAnsi="Arial"/>
                <w:sz w:val="18"/>
                <w:szCs w:val="18"/>
                <w:color w:val="auto"/>
              </w:rPr>
              <w:t>May 31,</w:t>
            </w:r>
          </w:p>
        </w:tc>
        <w:tc>
          <w:tcPr>
            <w:tcW w:w="1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60" w:type="dxa"/>
            <w:vAlign w:val="bottom"/>
            <w:gridSpan w:val="2"/>
          </w:tcPr>
          <w:p>
            <w:pPr>
              <w:jc w:val="right"/>
              <w:ind w:right="370"/>
              <w:spacing w:after="0"/>
              <w:rPr>
                <w:sz w:val="20"/>
                <w:szCs w:val="20"/>
                <w:color w:val="auto"/>
              </w:rPr>
            </w:pPr>
            <w:r>
              <w:rPr>
                <w:rFonts w:ascii="Arial" w:cs="Arial" w:eastAsia="Arial" w:hAnsi="Arial"/>
                <w:sz w:val="18"/>
                <w:szCs w:val="18"/>
                <w:color w:val="auto"/>
              </w:rPr>
              <w:t>May 31,</w:t>
            </w:r>
          </w:p>
        </w:tc>
        <w:tc>
          <w:tcPr>
            <w:tcW w:w="1200" w:type="dxa"/>
            <w:vAlign w:val="bottom"/>
          </w:tcPr>
          <w:p>
            <w:pPr>
              <w:spacing w:after="0"/>
              <w:rPr>
                <w:sz w:val="19"/>
                <w:szCs w:val="19"/>
                <w:color w:val="auto"/>
              </w:rPr>
            </w:pPr>
          </w:p>
        </w:tc>
      </w:tr>
      <w:tr>
        <w:trPr>
          <w:trHeight w:val="237"/>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2023</w:t>
            </w:r>
          </w:p>
        </w:tc>
        <w:tc>
          <w:tcPr>
            <w:tcW w:w="7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89"/>
              </w:rPr>
              <w:t>2022</w:t>
            </w:r>
          </w:p>
        </w:tc>
        <w:tc>
          <w:tcPr>
            <w:tcW w:w="4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2023</w:t>
            </w:r>
          </w:p>
        </w:tc>
        <w:tc>
          <w:tcPr>
            <w:tcW w:w="7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94"/>
              </w:rPr>
              <w:t>2022</w:t>
            </w:r>
          </w:p>
        </w:tc>
      </w:tr>
      <w:tr>
        <w:trPr>
          <w:trHeight w:val="229"/>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1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161,998</w:t>
            </w:r>
          </w:p>
        </w:tc>
        <w:tc>
          <w:tcPr>
            <w:tcW w:w="7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85,280</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476,645</w:t>
            </w: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327,166</w:t>
            </w:r>
          </w:p>
        </w:tc>
      </w:tr>
      <w:tr>
        <w:trPr>
          <w:trHeight w:val="229"/>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Provision for income taxes</w:t>
            </w: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27,335</w:t>
            </w:r>
          </w:p>
        </w:tc>
        <w:tc>
          <w:tcPr>
            <w:tcW w:w="7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10,370</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73,591</w:t>
            </w:r>
          </w:p>
        </w:tc>
        <w:tc>
          <w:tcPr>
            <w:tcW w:w="7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34,671</w:t>
            </w:r>
          </w:p>
        </w:tc>
      </w:tr>
      <w:tr>
        <w:trPr>
          <w:trHeight w:val="237"/>
        </w:trPr>
        <w:tc>
          <w:tcPr>
            <w:tcW w:w="2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Effective tax rate</w:t>
            </w:r>
          </w:p>
        </w:tc>
        <w:tc>
          <w:tcPr>
            <w:tcW w:w="1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16.9 %</w:t>
            </w:r>
          </w:p>
        </w:tc>
        <w:tc>
          <w:tcPr>
            <w:tcW w:w="7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12.2 %</w:t>
            </w:r>
          </w:p>
        </w:tc>
        <w:tc>
          <w:tcPr>
            <w:tcW w:w="46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15.4 %</w:t>
            </w:r>
          </w:p>
        </w:tc>
        <w:tc>
          <w:tcPr>
            <w:tcW w:w="7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10.6 %</w:t>
            </w:r>
          </w:p>
        </w:tc>
      </w:tr>
    </w:tbl>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subject to taxation in the United States and various foreign jurisdictions in which we conduct our business. Our provision for income taxes for interim periods is calculated by applying an estimate of our annual effective tax rate to our quarter and year-to-date results, adjusted for discrete items recorded in the period. The computation of the annual estimated effective tax rate at each interim period requires certain estimates and assumptions including, but not limited to, the expected pretax income (or loss) for the year, projections of the proportion of income (or loss) earned and taxed in foreign jurisdictions, permanent and temporary differences and the likelihood of recovering deferred tax assets, then adjusted for any discrete items. On a quarterly basis, we update the estimate of our annual effective tax rate as new events occur, assumptions change, or additional information is obtained.</w:t>
      </w:r>
    </w:p>
    <w:p>
      <w:pPr>
        <w:spacing w:after="0" w:line="1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effective tax rate for all periods presented above was lower than the applicable U.S. corporate income tax rate mainly due to research and development ("R&amp;D") tax credits, a foreign derived intangible income ("FDII") deduction and a net tax benefit from discrete items, partially offset by our net state taxes.</w:t>
      </w:r>
    </w:p>
    <w:p>
      <w:pPr>
        <w:spacing w:after="0" w:line="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effective tax rate during the three and nine months ended May 31, 2023 was higher than the rate during the respective prior year periods due mainly to a decrease in the impact of tax attributes on the effective tax rate as a result of an increase in income, a lower net tax benefit from discrete items driven mainly by a reduction in the exercise of stock options, as well as an increase in the U.K.'s enacted tax rates.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Reduction Act of 2022</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August 16, 2022, the Inflation Reduction Act ("IRA") was signed into law. The IRA contains several revisions to the Internal Revenue Code effective for taxable years beginning after December 31, 2022, including a 15% minimum income tax on certain large corporations. We do not expect this revision to have a material impact on our Consolidated Financial Statements.</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IRA also includes a 1% excise tax on corporate stock repurchases made by publicly traded U.S. corporations after December 31, 2022. For the three and nine months ended May 31, 2023, the excise tax on our stock repurchases was not material.</w:t>
      </w: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 LEASES</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Our lease portfolio is primarily related to our office space, </w:t>
      </w:r>
      <w:r>
        <w:rPr>
          <w:rFonts w:ascii="Arial" w:cs="Arial" w:eastAsia="Arial" w:hAnsi="Arial"/>
          <w:sz w:val="17"/>
          <w:szCs w:val="17"/>
          <w:color w:val="212529"/>
        </w:rPr>
        <w:t>under various operating lease agreements.</w:t>
      </w:r>
      <w:r>
        <w:rPr>
          <w:rFonts w:ascii="Arial" w:cs="Arial" w:eastAsia="Arial" w:hAnsi="Arial"/>
          <w:sz w:val="17"/>
          <w:szCs w:val="17"/>
          <w:color w:val="auto"/>
        </w:rPr>
        <w:t xml:space="preserve"> We review new arrangements at inception to evaluate whether we obtain substantially all the economic benefits of and have the right to control the use of an asset. </w:t>
      </w:r>
      <w:r>
        <w:rPr>
          <w:rFonts w:ascii="Arial" w:cs="Arial" w:eastAsia="Arial" w:hAnsi="Arial"/>
          <w:sz w:val="17"/>
          <w:szCs w:val="17"/>
          <w:color w:val="212529"/>
        </w:rPr>
        <w:t>Our</w:t>
      </w:r>
      <w:r>
        <w:rPr>
          <w:rFonts w:ascii="Arial" w:cs="Arial" w:eastAsia="Arial" w:hAnsi="Arial"/>
          <w:sz w:val="17"/>
          <w:szCs w:val="17"/>
          <w:color w:val="auto"/>
        </w:rPr>
        <w:t xml:space="preserve"> lease ROU assets and lease liabilities are recognized based on </w:t>
      </w:r>
      <w:r>
        <w:rPr>
          <w:rFonts w:ascii="Arial" w:cs="Arial" w:eastAsia="Arial" w:hAnsi="Arial"/>
          <w:sz w:val="17"/>
          <w:szCs w:val="17"/>
          <w:color w:val="212529"/>
        </w:rPr>
        <w:t>the present value of future minimum lease payments at lease commencement (which includes fixed lease payments and certain</w:t>
      </w:r>
      <w:r>
        <w:rPr>
          <w:rFonts w:ascii="Arial" w:cs="Arial" w:eastAsia="Arial" w:hAnsi="Arial"/>
          <w:sz w:val="17"/>
          <w:szCs w:val="17"/>
          <w:color w:val="auto"/>
        </w:rPr>
        <w:t xml:space="preserve"> </w:t>
      </w:r>
      <w:r>
        <w:rPr>
          <w:rFonts w:ascii="Arial" w:cs="Arial" w:eastAsia="Arial" w:hAnsi="Arial"/>
          <w:sz w:val="17"/>
          <w:szCs w:val="17"/>
          <w:color w:val="212529"/>
        </w:rPr>
        <w:t xml:space="preserve">qualifying index-based variable payments) </w:t>
      </w:r>
      <w:r>
        <w:rPr>
          <w:rFonts w:ascii="Arial" w:cs="Arial" w:eastAsia="Arial" w:hAnsi="Arial"/>
          <w:sz w:val="17"/>
          <w:szCs w:val="17"/>
          <w:color w:val="000000"/>
        </w:rPr>
        <w:t>over the reasonably certain lease term, leveraging</w:t>
      </w:r>
      <w:r>
        <w:rPr>
          <w:rFonts w:ascii="Arial" w:cs="Arial" w:eastAsia="Arial" w:hAnsi="Arial"/>
          <w:sz w:val="17"/>
          <w:szCs w:val="17"/>
          <w:color w:val="212529"/>
        </w:rPr>
        <w:t xml:space="preserve"> an estimated IBR. </w:t>
      </w:r>
      <w:r>
        <w:rPr>
          <w:rFonts w:ascii="Arial" w:cs="Arial" w:eastAsia="Arial" w:hAnsi="Arial"/>
          <w:sz w:val="17"/>
          <w:szCs w:val="17"/>
          <w:color w:val="000000"/>
        </w:rPr>
        <w:t>Certain adjustments to calculate our lease</w:t>
      </w:r>
      <w:r>
        <w:rPr>
          <w:rFonts w:ascii="Arial" w:cs="Arial" w:eastAsia="Arial" w:hAnsi="Arial"/>
          <w:sz w:val="17"/>
          <w:szCs w:val="17"/>
          <w:color w:val="212529"/>
        </w:rPr>
        <w:t xml:space="preserve"> </w:t>
      </w:r>
      <w:r>
        <w:rPr>
          <w:rFonts w:ascii="Arial" w:cs="Arial" w:eastAsia="Arial" w:hAnsi="Arial"/>
          <w:sz w:val="17"/>
          <w:szCs w:val="17"/>
          <w:color w:val="000000"/>
        </w:rPr>
        <w:t>ROU assets may be required due to prepayments, lease incentives received and initial direct costs incurred. We account for lease and non-lease components as a single lease component, which we recognize over the expected term on a straight-line expense basis in occupancy costs (a component of SG&amp;A expense) in our Consolidated Statements of Income.</w:t>
      </w:r>
    </w:p>
    <w:p>
      <w:pPr>
        <w:spacing w:after="0" w:line="1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12529"/>
        </w:rPr>
        <w:t xml:space="preserve">As of </w:t>
      </w:r>
      <w:r>
        <w:rPr>
          <w:rFonts w:ascii="Arial" w:cs="Arial" w:eastAsia="Arial" w:hAnsi="Arial"/>
          <w:sz w:val="18"/>
          <w:szCs w:val="18"/>
          <w:color w:val="000000"/>
        </w:rPr>
        <w:t>May 31, 2023, we recognized $156.8 million of Lease ROU assets, net and $230.3 million of combined Current lease liabilities and Long-term lease</w:t>
      </w:r>
      <w:r>
        <w:rPr>
          <w:rFonts w:ascii="Arial" w:cs="Arial" w:eastAsia="Arial" w:hAnsi="Arial"/>
          <w:sz w:val="18"/>
          <w:szCs w:val="18"/>
          <w:color w:val="212529"/>
        </w:rPr>
        <w:t xml:space="preserve"> </w:t>
      </w:r>
      <w:r>
        <w:rPr>
          <w:rFonts w:ascii="Arial" w:cs="Arial" w:eastAsia="Arial" w:hAnsi="Arial"/>
          <w:sz w:val="18"/>
          <w:szCs w:val="18"/>
          <w:color w:val="000000"/>
        </w:rPr>
        <w:t xml:space="preserve">liabilities in the Consolidated Balance Sheets. Such leases </w:t>
      </w:r>
      <w:r>
        <w:rPr>
          <w:rFonts w:ascii="Arial" w:cs="Arial" w:eastAsia="Arial" w:hAnsi="Arial"/>
          <w:sz w:val="18"/>
          <w:szCs w:val="18"/>
          <w:color w:val="212529"/>
        </w:rPr>
        <w:t>have a remaining lease term ranging from</w:t>
      </w:r>
      <w:r>
        <w:rPr>
          <w:rFonts w:ascii="Arial" w:cs="Arial" w:eastAsia="Arial" w:hAnsi="Arial"/>
          <w:sz w:val="18"/>
          <w:szCs w:val="18"/>
          <w:color w:val="000000"/>
        </w:rPr>
        <w:t xml:space="preserve"> less than one year to just under 13 years and did not include any renewal or termination options that were not yet reasonably certain to be exercised.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212529"/>
        </w:rPr>
        <w:t xml:space="preserve">The following table reconciles our future undiscounted cash flows related to our operating leases and the reconciliation to the combined </w:t>
      </w:r>
      <w:r>
        <w:rPr>
          <w:rFonts w:ascii="Arial" w:cs="Arial" w:eastAsia="Arial" w:hAnsi="Arial"/>
          <w:sz w:val="18"/>
          <w:szCs w:val="18"/>
          <w:color w:val="000000"/>
        </w:rPr>
        <w:t>Current lease</w:t>
      </w:r>
      <w:r>
        <w:rPr>
          <w:rFonts w:ascii="Arial" w:cs="Arial" w:eastAsia="Arial" w:hAnsi="Arial"/>
          <w:sz w:val="18"/>
          <w:szCs w:val="18"/>
          <w:color w:val="212529"/>
        </w:rPr>
        <w:t xml:space="preserve"> </w:t>
      </w:r>
      <w:r>
        <w:rPr>
          <w:rFonts w:ascii="Arial" w:cs="Arial" w:eastAsia="Arial" w:hAnsi="Arial"/>
          <w:sz w:val="18"/>
          <w:szCs w:val="18"/>
          <w:color w:val="000000"/>
        </w:rPr>
        <w:t xml:space="preserve">liabilities and Long-term lease liabilities in the Consolidated Balance Sheets </w:t>
      </w:r>
      <w:r>
        <w:rPr>
          <w:rFonts w:ascii="Arial" w:cs="Arial" w:eastAsia="Arial" w:hAnsi="Arial"/>
          <w:sz w:val="18"/>
          <w:szCs w:val="18"/>
          <w:color w:val="212529"/>
        </w:rPr>
        <w:t>as of</w:t>
      </w:r>
      <w:r>
        <w:rPr>
          <w:rFonts w:ascii="Arial" w:cs="Arial" w:eastAsia="Arial" w:hAnsi="Arial"/>
          <w:sz w:val="18"/>
          <w:szCs w:val="18"/>
          <w:color w:val="000000"/>
        </w:rPr>
        <w:t xml:space="preserve"> May 31, 2023</w:t>
      </w:r>
      <w:r>
        <w:rPr>
          <w:rFonts w:ascii="Arial" w:cs="Arial" w:eastAsia="Arial" w:hAnsi="Arial"/>
          <w:sz w:val="18"/>
          <w:szCs w:val="18"/>
          <w:color w:val="212529"/>
        </w:rPr>
        <w:t>:</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580" w:type="dxa"/>
            <w:vAlign w:val="bottom"/>
          </w:tcPr>
          <w:p>
            <w:pPr>
              <w:spacing w:after="0"/>
              <w:rPr>
                <w:sz w:val="20"/>
                <w:szCs w:val="20"/>
                <w:color w:val="auto"/>
              </w:rPr>
            </w:pPr>
          </w:p>
        </w:tc>
        <w:tc>
          <w:tcPr>
            <w:tcW w:w="2640" w:type="dxa"/>
            <w:vAlign w:val="bottom"/>
            <w:vMerge w:val="restart"/>
          </w:tcPr>
          <w:p>
            <w:pPr>
              <w:jc w:val="right"/>
              <w:ind w:right="930"/>
              <w:spacing w:after="0"/>
              <w:rPr>
                <w:sz w:val="20"/>
                <w:szCs w:val="20"/>
                <w:color w:val="auto"/>
              </w:rPr>
            </w:pPr>
            <w:r>
              <w:rPr>
                <w:rFonts w:ascii="Arial" w:cs="Arial" w:eastAsia="Arial" w:hAnsi="Arial"/>
                <w:sz w:val="18"/>
                <w:szCs w:val="18"/>
                <w:color w:val="auto"/>
              </w:rPr>
              <w:t>Minimum Lease</w:t>
            </w:r>
          </w:p>
        </w:tc>
        <w:tc>
          <w:tcPr>
            <w:tcW w:w="0" w:type="dxa"/>
            <w:vAlign w:val="bottom"/>
          </w:tcPr>
          <w:p>
            <w:pPr>
              <w:spacing w:after="0"/>
              <w:rPr>
                <w:sz w:val="1"/>
                <w:szCs w:val="1"/>
                <w:color w:val="auto"/>
              </w:rPr>
            </w:pPr>
          </w:p>
        </w:tc>
      </w:tr>
      <w:tr>
        <w:trPr>
          <w:trHeight w:val="40"/>
        </w:trPr>
        <w:tc>
          <w:tcPr>
            <w:tcW w:w="80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Fiscal Years Ended August 31,</w:t>
            </w:r>
          </w:p>
        </w:tc>
        <w:tc>
          <w:tcPr>
            <w:tcW w:w="58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color w:val="auto"/>
              </w:rPr>
              <w:t>Payments</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 (remaining three months)</w:t>
            </w: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9,991</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2024</w:t>
            </w:r>
          </w:p>
        </w:tc>
        <w:tc>
          <w:tcPr>
            <w:tcW w:w="580" w:type="dxa"/>
            <w:vAlign w:val="bottom"/>
          </w:tcPr>
          <w:p>
            <w:pPr>
              <w:spacing w:after="0"/>
              <w:rPr>
                <w:sz w:val="19"/>
                <w:szCs w:val="19"/>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38,343</w:t>
            </w:r>
          </w:p>
        </w:tc>
        <w:tc>
          <w:tcPr>
            <w:tcW w:w="0" w:type="dxa"/>
            <w:vAlign w:val="bottom"/>
          </w:tcPr>
          <w:p>
            <w:pPr>
              <w:spacing w:after="0"/>
              <w:rPr>
                <w:sz w:val="1"/>
                <w:szCs w:val="1"/>
                <w:color w:val="auto"/>
              </w:rPr>
            </w:pPr>
          </w:p>
        </w:tc>
      </w:tr>
      <w:tr>
        <w:trPr>
          <w:trHeight w:val="24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80" w:type="dxa"/>
            <w:vAlign w:val="bottom"/>
            <w:shd w:val="clear" w:color="auto" w:fill="CCEEFF"/>
          </w:tcPr>
          <w:p>
            <w:pPr>
              <w:spacing w:after="0"/>
              <w:rPr>
                <w:sz w:val="21"/>
                <w:szCs w:val="21"/>
                <w:color w:val="auto"/>
              </w:rPr>
            </w:pP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36,303</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2026</w:t>
            </w:r>
          </w:p>
        </w:tc>
        <w:tc>
          <w:tcPr>
            <w:tcW w:w="580" w:type="dxa"/>
            <w:vAlign w:val="bottom"/>
          </w:tcPr>
          <w:p>
            <w:pPr>
              <w:spacing w:after="0"/>
              <w:rPr>
                <w:sz w:val="19"/>
                <w:szCs w:val="19"/>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35,489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580" w:type="dxa"/>
            <w:vAlign w:val="bottom"/>
            <w:shd w:val="clear" w:color="auto" w:fill="CCEEFF"/>
          </w:tcPr>
          <w:p>
            <w:pPr>
              <w:spacing w:after="0"/>
              <w:rPr>
                <w:sz w:val="19"/>
                <w:szCs w:val="19"/>
                <w:color w:val="auto"/>
              </w:rPr>
            </w:pP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34,233</w:t>
            </w:r>
          </w:p>
        </w:tc>
        <w:tc>
          <w:tcPr>
            <w:tcW w:w="0" w:type="dxa"/>
            <w:vAlign w:val="bottom"/>
          </w:tcPr>
          <w:p>
            <w:pPr>
              <w:spacing w:after="0"/>
              <w:rPr>
                <w:sz w:val="1"/>
                <w:szCs w:val="1"/>
                <w:color w:val="auto"/>
              </w:rPr>
            </w:pPr>
          </w:p>
        </w:tc>
      </w:tr>
      <w:tr>
        <w:trPr>
          <w:trHeight w:val="24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8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119,137</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273,496</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58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43,156</w:t>
            </w:r>
          </w:p>
        </w:tc>
        <w:tc>
          <w:tcPr>
            <w:tcW w:w="0" w:type="dxa"/>
            <w:vAlign w:val="bottom"/>
          </w:tcPr>
          <w:p>
            <w:pPr>
              <w:spacing w:after="0"/>
              <w:rPr>
                <w:sz w:val="1"/>
                <w:szCs w:val="1"/>
                <w:color w:val="auto"/>
              </w:rPr>
            </w:pPr>
          </w:p>
        </w:tc>
      </w:tr>
      <w:tr>
        <w:trPr>
          <w:trHeight w:val="262"/>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2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230,340</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the components of our occupancy costs in our Consolidated Statements of Income: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4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2100" w:type="dxa"/>
            <w:vAlign w:val="bottom"/>
            <w:gridSpan w:val="3"/>
          </w:tcPr>
          <w:p>
            <w:pPr>
              <w:jc w:val="right"/>
              <w:ind w:right="330"/>
              <w:spacing w:after="0"/>
              <w:rPr>
                <w:sz w:val="20"/>
                <w:szCs w:val="20"/>
                <w:color w:val="auto"/>
              </w:rPr>
            </w:pPr>
            <w:r>
              <w:rPr>
                <w:rFonts w:ascii="Arial" w:cs="Arial" w:eastAsia="Arial" w:hAnsi="Arial"/>
                <w:sz w:val="18"/>
                <w:szCs w:val="18"/>
                <w:color w:val="auto"/>
                <w:w w:val="98"/>
              </w:rPr>
              <w:t>Three Months Ended</w:t>
            </w:r>
          </w:p>
        </w:tc>
        <w:tc>
          <w:tcPr>
            <w:tcW w:w="280" w:type="dxa"/>
            <w:vAlign w:val="bottom"/>
          </w:tcPr>
          <w:p>
            <w:pPr>
              <w:spacing w:after="0"/>
              <w:rPr>
                <w:sz w:val="19"/>
                <w:szCs w:val="19"/>
                <w:color w:val="auto"/>
              </w:rPr>
            </w:pPr>
          </w:p>
        </w:tc>
        <w:tc>
          <w:tcPr>
            <w:tcW w:w="2140" w:type="dxa"/>
            <w:vAlign w:val="bottom"/>
            <w:gridSpan w:val="3"/>
          </w:tcPr>
          <w:p>
            <w:pPr>
              <w:jc w:val="right"/>
              <w:ind w:right="390"/>
              <w:spacing w:after="0"/>
              <w:rPr>
                <w:sz w:val="20"/>
                <w:szCs w:val="20"/>
                <w:color w:val="auto"/>
              </w:rPr>
            </w:pPr>
            <w:r>
              <w:rPr>
                <w:rFonts w:ascii="Arial" w:cs="Arial" w:eastAsia="Arial" w:hAnsi="Arial"/>
                <w:sz w:val="18"/>
                <w:szCs w:val="18"/>
                <w:color w:val="auto"/>
              </w:rPr>
              <w:t>Nine Months Ended</w:t>
            </w:r>
          </w:p>
        </w:tc>
      </w:tr>
      <w:tr>
        <w:trPr>
          <w:trHeight w:val="229"/>
        </w:trPr>
        <w:tc>
          <w:tcPr>
            <w:tcW w:w="404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May 31,</w:t>
            </w: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May 31,</w:t>
            </w:r>
          </w:p>
        </w:tc>
        <w:tc>
          <w:tcPr>
            <w:tcW w:w="840" w:type="dxa"/>
            <w:vAlign w:val="bottom"/>
          </w:tcPr>
          <w:p>
            <w:pPr>
              <w:spacing w:after="0"/>
              <w:rPr>
                <w:sz w:val="19"/>
                <w:szCs w:val="19"/>
                <w:color w:val="auto"/>
              </w:rPr>
            </w:pPr>
          </w:p>
        </w:tc>
      </w:tr>
      <w:tr>
        <w:trPr>
          <w:trHeight w:val="237"/>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6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2023</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2022</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2022</w:t>
            </w:r>
          </w:p>
        </w:tc>
      </w:tr>
      <w:tr>
        <w:trPr>
          <w:trHeight w:val="229"/>
        </w:trPr>
        <w:tc>
          <w:tcPr>
            <w:tcW w:w="40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Operating lease cost</w:t>
            </w:r>
            <w:r>
              <w:rPr>
                <w:rFonts w:ascii="Arial" w:cs="Arial" w:eastAsia="Arial" w:hAnsi="Arial"/>
                <w:sz w:val="23"/>
                <w:szCs w:val="23"/>
                <w:i w:val="1"/>
                <w:iCs w:val="1"/>
                <w:color w:val="auto"/>
                <w:vertAlign w:val="superscript"/>
              </w:rPr>
              <w:t>(1)</w:t>
            </w:r>
          </w:p>
        </w:tc>
        <w:tc>
          <w:tcPr>
            <w:tcW w:w="2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21252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212529"/>
              </w:rPr>
              <w:t>8,170</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9,767</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24,403</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30,466</w:t>
            </w:r>
          </w:p>
        </w:tc>
      </w:tr>
      <w:tr>
        <w:trPr>
          <w:trHeight w:val="304"/>
        </w:trPr>
        <w:tc>
          <w:tcPr>
            <w:tcW w:w="4040" w:type="dxa"/>
            <w:vAlign w:val="bottom"/>
          </w:tcPr>
          <w:p>
            <w:pPr>
              <w:ind w:left="20"/>
              <w:spacing w:after="0"/>
              <w:rPr>
                <w:sz w:val="20"/>
                <w:szCs w:val="20"/>
                <w:color w:val="auto"/>
              </w:rPr>
            </w:pPr>
            <w:r>
              <w:rPr>
                <w:rFonts w:ascii="Arial" w:cs="Arial" w:eastAsia="Arial" w:hAnsi="Arial"/>
                <w:sz w:val="18"/>
                <w:szCs w:val="18"/>
                <w:color w:val="auto"/>
              </w:rPr>
              <w:t>Variable lease cost</w:t>
            </w:r>
            <w:r>
              <w:rPr>
                <w:rFonts w:ascii="Arial" w:cs="Arial" w:eastAsia="Arial" w:hAnsi="Arial"/>
                <w:sz w:val="23"/>
                <w:szCs w:val="23"/>
                <w:i w:val="1"/>
                <w:iCs w:val="1"/>
                <w:color w:val="auto"/>
                <w:vertAlign w:val="superscript"/>
              </w:rPr>
              <w:t>(2)</w:t>
            </w:r>
          </w:p>
        </w:tc>
        <w:tc>
          <w:tcPr>
            <w:tcW w:w="26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4,645</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3,185</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12,699</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8,933</w:t>
            </w:r>
          </w:p>
        </w:tc>
      </w:tr>
    </w:tbl>
    <w:p>
      <w:pPr>
        <w:spacing w:after="0" w:line="118" w:lineRule="exact"/>
        <w:rPr>
          <w:sz w:val="20"/>
          <w:szCs w:val="20"/>
          <w:color w:val="auto"/>
        </w:rPr>
      </w:pPr>
    </w:p>
    <w:p>
      <w:pPr>
        <w:ind w:left="260" w:hanging="252"/>
        <w:spacing w:after="0" w:line="275" w:lineRule="auto"/>
        <w:tabs>
          <w:tab w:leader="none" w:pos="369"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Operating lease costs include costs associated with fixed lease payments and index-based variable payments that qualified for lease accounting under ASC 842, Leases and complied with the practical expedients and exceptions elected by us.</w:t>
      </w:r>
    </w:p>
    <w:p>
      <w:pPr>
        <w:spacing w:after="0" w:line="77" w:lineRule="exact"/>
        <w:rPr>
          <w:rFonts w:ascii="Arial" w:cs="Arial" w:eastAsia="Arial" w:hAnsi="Arial"/>
          <w:sz w:val="16"/>
          <w:szCs w:val="16"/>
          <w:i w:val="1"/>
          <w:iCs w:val="1"/>
          <w:color w:val="auto"/>
        </w:rPr>
      </w:pPr>
    </w:p>
    <w:p>
      <w:pPr>
        <w:jc w:val="both"/>
        <w:ind w:left="260" w:hanging="252"/>
        <w:spacing w:after="0" w:line="269" w:lineRule="auto"/>
        <w:tabs>
          <w:tab w:leader="none" w:pos="385"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Variable lease costs include costs that were not fixed at the lease commencement date and are not dependent on an index or rate. These costs were not included in the measurement of lease liabilities and primarily include variable non-lease costs, such as utilities, real estate taxes, insurance and maintenance, as well as lease costs for those leases that qualified for the short-term lease exception.</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lease term and discount rate assumptions related to the operating leases recorded on the Consolidated Balance Sheets: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280" w:type="dxa"/>
            <w:vAlign w:val="bottom"/>
            <w:tcBorders>
              <w:bottom w:val="single" w:sz="8" w:color="auto"/>
            </w:tcBorders>
          </w:tcPr>
          <w:p>
            <w:pPr>
              <w:ind w:left="6780"/>
              <w:spacing w:after="0"/>
              <w:rPr>
                <w:sz w:val="20"/>
                <w:szCs w:val="20"/>
                <w:color w:val="auto"/>
              </w:rPr>
            </w:pPr>
            <w:r>
              <w:rPr>
                <w:rFonts w:ascii="Arial" w:cs="Arial" w:eastAsia="Arial" w:hAnsi="Arial"/>
                <w:sz w:val="18"/>
                <w:szCs w:val="18"/>
                <w:color w:val="auto"/>
                <w:w w:val="95"/>
              </w:rPr>
              <w:t>As of May 31, 2023</w:t>
            </w:r>
          </w:p>
        </w:tc>
        <w:tc>
          <w:tcPr>
            <w:tcW w:w="68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As of August 31, 2022</w:t>
            </w: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Weighted average remaining lease term </w:t>
            </w:r>
            <w:r>
              <w:rPr>
                <w:rFonts w:ascii="Arial" w:cs="Arial" w:eastAsia="Arial" w:hAnsi="Arial"/>
                <w:sz w:val="18"/>
                <w:szCs w:val="18"/>
                <w:i w:val="1"/>
                <w:iCs w:val="1"/>
                <w:color w:val="auto"/>
              </w:rPr>
              <w:t>(in years)</w:t>
            </w:r>
          </w:p>
        </w:tc>
        <w:tc>
          <w:tcPr>
            <w:tcW w:w="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8.0</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 xml:space="preserve">Weighted average discount rate </w:t>
            </w:r>
            <w:r>
              <w:rPr>
                <w:rFonts w:ascii="Arial" w:cs="Arial" w:eastAsia="Arial" w:hAnsi="Arial"/>
                <w:sz w:val="18"/>
                <w:szCs w:val="18"/>
                <w:i w:val="1"/>
                <w:iCs w:val="1"/>
                <w:color w:val="auto"/>
              </w:rPr>
              <w:t>(IBR)</w:t>
            </w:r>
          </w:p>
        </w:tc>
        <w:tc>
          <w:tcPr>
            <w:tcW w:w="680" w:type="dxa"/>
            <w:vAlign w:val="bottom"/>
          </w:tcPr>
          <w:p>
            <w:pPr>
              <w:jc w:val="right"/>
              <w:ind w:right="130"/>
              <w:spacing w:after="0"/>
              <w:rPr>
                <w:sz w:val="20"/>
                <w:szCs w:val="20"/>
                <w:color w:val="auto"/>
              </w:rPr>
            </w:pPr>
            <w:r>
              <w:rPr>
                <w:rFonts w:ascii="Arial" w:cs="Arial" w:eastAsia="Arial" w:hAnsi="Arial"/>
                <w:sz w:val="18"/>
                <w:szCs w:val="18"/>
                <w:color w:val="auto"/>
                <w:w w:val="95"/>
              </w:rPr>
              <w:t>4.5 %</w:t>
            </w:r>
          </w:p>
        </w:tc>
        <w:tc>
          <w:tcPr>
            <w:tcW w:w="2280" w:type="dxa"/>
            <w:vAlign w:val="bottom"/>
          </w:tcPr>
          <w:p>
            <w:pPr>
              <w:jc w:val="right"/>
              <w:spacing w:after="0"/>
              <w:rPr>
                <w:sz w:val="20"/>
                <w:szCs w:val="20"/>
                <w:color w:val="auto"/>
              </w:rPr>
            </w:pPr>
            <w:r>
              <w:rPr>
                <w:rFonts w:ascii="Arial" w:cs="Arial" w:eastAsia="Arial" w:hAnsi="Arial"/>
                <w:sz w:val="18"/>
                <w:szCs w:val="18"/>
                <w:color w:val="auto"/>
              </w:rPr>
              <w:t>4.4 %</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supplemental cash flow information related to our operating leases: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w w:val="93"/>
              </w:rPr>
              <w:t>Nine Months Ended</w:t>
            </w:r>
          </w:p>
        </w:tc>
        <w:tc>
          <w:tcPr>
            <w:tcW w:w="1240" w:type="dxa"/>
            <w:vAlign w:val="bottom"/>
          </w:tcPr>
          <w:p>
            <w:pPr>
              <w:spacing w:after="0"/>
              <w:rPr>
                <w:sz w:val="19"/>
                <w:szCs w:val="19"/>
                <w:color w:val="auto"/>
              </w:rPr>
            </w:pPr>
          </w:p>
        </w:tc>
      </w:tr>
      <w:tr>
        <w:trPr>
          <w:trHeight w:val="230"/>
        </w:trPr>
        <w:tc>
          <w:tcPr>
            <w:tcW w:w="62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540" w:type="dxa"/>
            <w:vAlign w:val="bottom"/>
            <w:gridSpan w:val="2"/>
          </w:tcPr>
          <w:p>
            <w:pPr>
              <w:jc w:val="right"/>
              <w:ind w:right="370"/>
              <w:spacing w:after="0"/>
              <w:rPr>
                <w:sz w:val="20"/>
                <w:szCs w:val="20"/>
                <w:color w:val="auto"/>
              </w:rPr>
            </w:pPr>
            <w:r>
              <w:rPr>
                <w:rFonts w:ascii="Arial" w:cs="Arial" w:eastAsia="Arial" w:hAnsi="Arial"/>
                <w:sz w:val="18"/>
                <w:szCs w:val="18"/>
                <w:color w:val="auto"/>
              </w:rPr>
              <w:t>May 31,</w:t>
            </w:r>
          </w:p>
        </w:tc>
        <w:tc>
          <w:tcPr>
            <w:tcW w:w="1240" w:type="dxa"/>
            <w:vAlign w:val="bottom"/>
          </w:tcPr>
          <w:p>
            <w:pPr>
              <w:spacing w:after="0"/>
              <w:rPr>
                <w:sz w:val="20"/>
                <w:szCs w:val="20"/>
                <w:color w:val="auto"/>
              </w:rPr>
            </w:pPr>
          </w:p>
        </w:tc>
      </w:tr>
      <w:tr>
        <w:trPr>
          <w:trHeight w:val="243"/>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7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2022</w:t>
            </w:r>
          </w:p>
        </w:tc>
      </w:tr>
      <w:tr>
        <w:trPr>
          <w:trHeight w:val="223"/>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22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29,245</w:t>
            </w:r>
          </w:p>
        </w:tc>
        <w:tc>
          <w:tcPr>
            <w:tcW w:w="80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32,936</w:t>
            </w:r>
          </w:p>
        </w:tc>
      </w:tr>
      <w:tr>
        <w:trPr>
          <w:trHeight w:val="243"/>
        </w:trPr>
        <w:tc>
          <w:tcPr>
            <w:tcW w:w="6240" w:type="dxa"/>
            <w:vAlign w:val="bottom"/>
          </w:tcPr>
          <w:p>
            <w:pPr>
              <w:ind w:left="20"/>
              <w:spacing w:after="0" w:line="243" w:lineRule="exact"/>
              <w:rPr>
                <w:sz w:val="20"/>
                <w:szCs w:val="20"/>
                <w:color w:val="auto"/>
              </w:rPr>
            </w:pPr>
            <w:r>
              <w:rPr>
                <w:rFonts w:ascii="Arial" w:cs="Arial" w:eastAsia="Arial" w:hAnsi="Arial"/>
                <w:sz w:val="18"/>
                <w:szCs w:val="18"/>
                <w:color w:val="auto"/>
              </w:rPr>
              <w:t>Lease ROU assets obtained in exchange for lease liabilities</w:t>
            </w:r>
            <w:r>
              <w:rPr>
                <w:rFonts w:ascii="Arial" w:cs="Arial" w:eastAsia="Arial" w:hAnsi="Arial"/>
                <w:sz w:val="23"/>
                <w:szCs w:val="23"/>
                <w:i w:val="1"/>
                <w:iCs w:val="1"/>
                <w:color w:val="auto"/>
                <w:vertAlign w:val="superscript"/>
              </w:rPr>
              <w:t>(1)</w:t>
            </w:r>
          </w:p>
        </w:tc>
        <w:tc>
          <w:tcPr>
            <w:tcW w:w="22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13,872</w:t>
            </w:r>
          </w:p>
        </w:tc>
        <w:tc>
          <w:tcPr>
            <w:tcW w:w="80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9,348</w:t>
            </w:r>
          </w:p>
        </w:tc>
      </w:tr>
      <w:tr>
        <w:trPr>
          <w:trHeight w:val="230"/>
        </w:trPr>
        <w:tc>
          <w:tcPr>
            <w:tcW w:w="6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Reductions to ROU assets resulting from reductions to lease liabilities</w:t>
            </w:r>
            <w:r>
              <w:rPr>
                <w:rFonts w:ascii="Arial" w:cs="Arial" w:eastAsia="Arial" w:hAnsi="Arial"/>
                <w:sz w:val="23"/>
                <w:szCs w:val="23"/>
                <w:i w:val="1"/>
                <w:iCs w:val="1"/>
                <w:color w:val="auto"/>
                <w:vertAlign w:val="superscript"/>
              </w:rPr>
              <w:t>(2)</w:t>
            </w:r>
          </w:p>
        </w:tc>
        <w:tc>
          <w:tcPr>
            <w:tcW w:w="222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(11,661)</w:t>
            </w:r>
          </w:p>
        </w:tc>
      </w:tr>
    </w:tbl>
    <w:p>
      <w:pPr>
        <w:spacing w:after="0" w:line="193"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5"/>
          <w:szCs w:val="15"/>
          <w:i w:val="1"/>
          <w:iCs w:val="1"/>
          <w:color w:val="auto"/>
        </w:rPr>
      </w:pPr>
      <w:r>
        <w:rPr>
          <w:rFonts w:ascii="Arial" w:cs="Arial" w:eastAsia="Arial" w:hAnsi="Arial"/>
          <w:sz w:val="15"/>
          <w:szCs w:val="15"/>
          <w:i w:val="1"/>
          <w:iCs w:val="1"/>
          <w:color w:val="auto"/>
        </w:rPr>
        <w:t>Primarily includes new lease arrangements entered into during the period and contract modifications that extend our lease terms and/or provide additional rights.</w:t>
      </w:r>
    </w:p>
    <w:p>
      <w:pPr>
        <w:spacing w:after="0" w:line="124" w:lineRule="exact"/>
        <w:rPr>
          <w:rFonts w:ascii="Arial" w:cs="Arial" w:eastAsia="Arial" w:hAnsi="Arial"/>
          <w:sz w:val="15"/>
          <w:szCs w:val="15"/>
          <w:i w:val="1"/>
          <w:iCs w:val="1"/>
          <w:color w:val="auto"/>
        </w:rPr>
      </w:pPr>
    </w:p>
    <w:p>
      <w:pPr>
        <w:ind w:left="260" w:hanging="252"/>
        <w:spacing w:after="0" w:line="275" w:lineRule="auto"/>
        <w:tabs>
          <w:tab w:leader="none" w:pos="26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Primarily relates to lease term reassessments based on contractual options to early terminate, resulting in a reduction to the lease liability and the corresponding lease ROU asset.</w:t>
      </w:r>
    </w:p>
    <w:p>
      <w:pPr>
        <w:spacing w:after="0" w:line="7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During the three and nine months ended May 31, 2022, we incurred an impairment charge of $24.2 million and $31.5 million, respectively, related to our lease ROU assets associated with vacating certain leased office space. Refer to </w:t>
      </w:r>
      <w:r>
        <w:rPr>
          <w:rFonts w:ascii="Arial" w:cs="Arial" w:eastAsia="Arial" w:hAnsi="Arial"/>
          <w:sz w:val="16"/>
          <w:szCs w:val="16"/>
          <w:i w:val="1"/>
          <w:iCs w:val="1"/>
          <w:color w:val="auto"/>
        </w:rPr>
        <w:t>Note 4, Fair Value Measures</w:t>
      </w:r>
      <w:r>
        <w:rPr>
          <w:rFonts w:ascii="Arial" w:cs="Arial" w:eastAsia="Arial" w:hAnsi="Arial"/>
          <w:sz w:val="16"/>
          <w:szCs w:val="16"/>
          <w:color w:val="auto"/>
        </w:rPr>
        <w:t xml:space="preserve"> for more information on the lease ROU assets impairment methodology. The were no similar lease ROU asset impairments recorded during the three and nine months ended May 31, 2023.</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 DEBT</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elected not to carry our Long-term debt at fair value. The carrying value of our debt is net of related unamortized discounts and debt issuance costs. Our total debt obligations as of May 31, 2023 and August 31, 2022 consisted of the following:</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40" w:type="dxa"/>
            <w:vAlign w:val="bottom"/>
            <w:gridSpan w:val="2"/>
          </w:tcPr>
          <w:p>
            <w:pPr>
              <w:jc w:val="center"/>
              <w:ind w:right="190"/>
              <w:spacing w:after="0"/>
              <w:rPr>
                <w:sz w:val="20"/>
                <w:szCs w:val="20"/>
                <w:color w:val="auto"/>
              </w:rPr>
            </w:pPr>
            <w:r>
              <w:rPr>
                <w:rFonts w:ascii="Arial" w:cs="Arial" w:eastAsia="Arial" w:hAnsi="Arial"/>
                <w:sz w:val="18"/>
                <w:szCs w:val="18"/>
                <w:color w:val="auto"/>
                <w:w w:val="91"/>
              </w:rPr>
              <w:t>Contractual</w:t>
            </w: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50"/>
        </w:trPr>
        <w:tc>
          <w:tcPr>
            <w:tcW w:w="54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2"/>
              </w:rPr>
              <w:t>Issuance Date</w:t>
            </w:r>
          </w:p>
        </w:tc>
        <w:tc>
          <w:tcPr>
            <w:tcW w:w="1640" w:type="dxa"/>
            <w:vAlign w:val="bottom"/>
            <w:tcBorders>
              <w:bottom w:val="single" w:sz="8" w:color="auto"/>
            </w:tcBorders>
            <w:gridSpan w:val="2"/>
          </w:tcPr>
          <w:p>
            <w:pPr>
              <w:jc w:val="center"/>
              <w:ind w:right="210"/>
              <w:spacing w:after="0"/>
              <w:rPr>
                <w:sz w:val="20"/>
                <w:szCs w:val="20"/>
                <w:color w:val="auto"/>
              </w:rPr>
            </w:pPr>
            <w:r>
              <w:rPr>
                <w:rFonts w:ascii="Arial" w:cs="Arial" w:eastAsia="Arial" w:hAnsi="Arial"/>
                <w:sz w:val="18"/>
                <w:szCs w:val="18"/>
                <w:color w:val="auto"/>
                <w:w w:val="95"/>
              </w:rPr>
              <w:t>Maturity Date</w:t>
            </w: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3"/>
              </w:rPr>
              <w:t>May 31, 2023</w:t>
            </w: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3"/>
              </w:rPr>
              <w:t>August 31, 2022</w:t>
            </w:r>
          </w:p>
        </w:tc>
      </w:tr>
      <w:tr>
        <w:trPr>
          <w:trHeight w:val="216"/>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2022 Credit Agreement</w:t>
            </w:r>
          </w:p>
        </w:tc>
        <w:tc>
          <w:tcPr>
            <w:tcW w:w="13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29"/>
        </w:trPr>
        <w:tc>
          <w:tcPr>
            <w:tcW w:w="5460" w:type="dxa"/>
            <w:vAlign w:val="bottom"/>
            <w:gridSpan w:val="2"/>
          </w:tcPr>
          <w:p>
            <w:pPr>
              <w:ind w:left="360"/>
              <w:spacing w:after="0"/>
              <w:rPr>
                <w:sz w:val="20"/>
                <w:szCs w:val="20"/>
                <w:color w:val="auto"/>
              </w:rPr>
            </w:pPr>
            <w:r>
              <w:rPr>
                <w:rFonts w:ascii="Arial" w:cs="Arial" w:eastAsia="Arial" w:hAnsi="Arial"/>
                <w:sz w:val="18"/>
                <w:szCs w:val="18"/>
                <w:color w:val="auto"/>
              </w:rPr>
              <w:t>2022 Term Facility</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3/1/2022</w:t>
            </w:r>
          </w:p>
        </w:tc>
        <w:tc>
          <w:tcPr>
            <w:tcW w:w="1500" w:type="dxa"/>
            <w:vAlign w:val="bottom"/>
          </w:tcPr>
          <w:p>
            <w:pPr>
              <w:jc w:val="right"/>
              <w:spacing w:after="0"/>
              <w:rPr>
                <w:sz w:val="20"/>
                <w:szCs w:val="20"/>
                <w:color w:val="auto"/>
              </w:rPr>
            </w:pPr>
            <w:r>
              <w:rPr>
                <w:rFonts w:ascii="Arial" w:cs="Arial" w:eastAsia="Arial" w:hAnsi="Arial"/>
                <w:sz w:val="18"/>
                <w:szCs w:val="18"/>
                <w:color w:val="auto"/>
              </w:rPr>
              <w:t>3/1/2025</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437,500</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750,000</w:t>
            </w:r>
          </w:p>
        </w:tc>
      </w:tr>
      <w:tr>
        <w:trPr>
          <w:trHeight w:val="229"/>
        </w:trPr>
        <w:tc>
          <w:tcPr>
            <w:tcW w:w="7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9"/>
              </w:rPr>
              <w:t>2022</w:t>
            </w:r>
          </w:p>
        </w:tc>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Revolving Facility</w:t>
            </w: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3/1/2022</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3/1/2027</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r>
      <w:tr>
        <w:trPr>
          <w:trHeight w:val="203"/>
        </w:trPr>
        <w:tc>
          <w:tcPr>
            <w:tcW w:w="5460" w:type="dxa"/>
            <w:vAlign w:val="bottom"/>
            <w:gridSpan w:val="2"/>
          </w:tcPr>
          <w:p>
            <w:pPr>
              <w:spacing w:after="0"/>
              <w:rPr>
                <w:sz w:val="17"/>
                <w:szCs w:val="17"/>
                <w:color w:val="auto"/>
              </w:rPr>
            </w:pPr>
          </w:p>
        </w:tc>
        <w:tc>
          <w:tcPr>
            <w:tcW w:w="1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30"/>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13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7"/>
        </w:trPr>
        <w:tc>
          <w:tcPr>
            <w:tcW w:w="740" w:type="dxa"/>
            <w:vAlign w:val="bottom"/>
          </w:tcPr>
          <w:p>
            <w:pPr>
              <w:ind w:left="360"/>
              <w:spacing w:after="0"/>
              <w:rPr>
                <w:sz w:val="20"/>
                <w:szCs w:val="20"/>
                <w:color w:val="auto"/>
              </w:rPr>
            </w:pPr>
            <w:r>
              <w:rPr>
                <w:rFonts w:ascii="Arial" w:cs="Arial" w:eastAsia="Arial" w:hAnsi="Arial"/>
                <w:sz w:val="18"/>
                <w:szCs w:val="18"/>
                <w:color w:val="auto"/>
                <w:w w:val="89"/>
              </w:rPr>
              <w:t>2027</w:t>
            </w:r>
          </w:p>
        </w:tc>
        <w:tc>
          <w:tcPr>
            <w:tcW w:w="4720" w:type="dxa"/>
            <w:vAlign w:val="bottom"/>
          </w:tcPr>
          <w:p>
            <w:pPr>
              <w:ind w:left="20"/>
              <w:spacing w:after="0"/>
              <w:rPr>
                <w:sz w:val="20"/>
                <w:szCs w:val="20"/>
                <w:color w:val="auto"/>
              </w:rPr>
            </w:pPr>
            <w:r>
              <w:rPr>
                <w:rFonts w:ascii="Arial" w:cs="Arial" w:eastAsia="Arial" w:hAnsi="Arial"/>
                <w:sz w:val="18"/>
                <w:szCs w:val="18"/>
                <w:color w:val="auto"/>
              </w:rPr>
              <w:t>Notes</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3/1/2022</w:t>
            </w:r>
          </w:p>
        </w:tc>
        <w:tc>
          <w:tcPr>
            <w:tcW w:w="1500" w:type="dxa"/>
            <w:vAlign w:val="bottom"/>
          </w:tcPr>
          <w:p>
            <w:pPr>
              <w:jc w:val="right"/>
              <w:spacing w:after="0"/>
              <w:rPr>
                <w:sz w:val="20"/>
                <w:szCs w:val="20"/>
                <w:color w:val="auto"/>
              </w:rPr>
            </w:pPr>
            <w:r>
              <w:rPr>
                <w:rFonts w:ascii="Arial" w:cs="Arial" w:eastAsia="Arial" w:hAnsi="Arial"/>
                <w:sz w:val="18"/>
                <w:szCs w:val="18"/>
                <w:color w:val="auto"/>
              </w:rPr>
              <w:t>3/1/2027</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500,000</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500,000</w:t>
            </w:r>
          </w:p>
        </w:tc>
      </w:tr>
      <w:tr>
        <w:trPr>
          <w:trHeight w:val="236"/>
        </w:trPr>
        <w:tc>
          <w:tcPr>
            <w:tcW w:w="7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9"/>
              </w:rPr>
              <w:t>2032</w:t>
            </w:r>
          </w:p>
        </w:tc>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3/1/2022</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3/1/2032</w:t>
            </w: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r>
      <w:tr>
        <w:trPr>
          <w:trHeight w:val="203"/>
        </w:trPr>
        <w:tc>
          <w:tcPr>
            <w:tcW w:w="5460" w:type="dxa"/>
            <w:vAlign w:val="bottom"/>
            <w:gridSpan w:val="2"/>
          </w:tcPr>
          <w:p>
            <w:pPr>
              <w:spacing w:after="0"/>
              <w:rPr>
                <w:sz w:val="17"/>
                <w:szCs w:val="17"/>
                <w:color w:val="auto"/>
              </w:rPr>
            </w:pPr>
          </w:p>
        </w:tc>
        <w:tc>
          <w:tcPr>
            <w:tcW w:w="1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29"/>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unamortized discounts and debt issuance costs</w:t>
            </w:r>
          </w:p>
        </w:tc>
        <w:tc>
          <w:tcPr>
            <w:tcW w:w="13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(13,306)</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(17,576)</w:t>
            </w:r>
          </w:p>
        </w:tc>
      </w:tr>
      <w:tr>
        <w:trPr>
          <w:trHeight w:val="270"/>
        </w:trPr>
        <w:tc>
          <w:tcPr>
            <w:tcW w:w="5460" w:type="dxa"/>
            <w:vAlign w:val="bottom"/>
            <w:tcBorders>
              <w:bottom w:val="single" w:sz="8" w:color="CCEEFF"/>
            </w:tcBorders>
            <w:gridSpan w:val="2"/>
          </w:tcPr>
          <w:p>
            <w:pPr>
              <w:spacing w:after="0"/>
              <w:rPr>
                <w:sz w:val="23"/>
                <w:szCs w:val="23"/>
                <w:color w:val="auto"/>
              </w:rPr>
            </w:pPr>
          </w:p>
        </w:tc>
        <w:tc>
          <w:tcPr>
            <w:tcW w:w="1300" w:type="dxa"/>
            <w:vAlign w:val="bottom"/>
            <w:tcBorders>
              <w:bottom w:val="single" w:sz="8" w:color="CCEEFF"/>
            </w:tcBorders>
          </w:tcPr>
          <w:p>
            <w:pPr>
              <w:spacing w:after="0"/>
              <w:rPr>
                <w:sz w:val="23"/>
                <w:szCs w:val="23"/>
                <w:color w:val="auto"/>
              </w:rPr>
            </w:pPr>
          </w:p>
        </w:tc>
        <w:tc>
          <w:tcPr>
            <w:tcW w:w="15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spacing w:after="0"/>
              <w:rPr>
                <w:sz w:val="23"/>
                <w:szCs w:val="23"/>
                <w:color w:val="auto"/>
              </w:rPr>
            </w:pPr>
          </w:p>
        </w:tc>
      </w:tr>
      <w:tr>
        <w:trPr>
          <w:trHeight w:val="248"/>
        </w:trPr>
        <w:tc>
          <w:tcPr>
            <w:tcW w:w="5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1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1,674,194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1,982,424</w:t>
            </w:r>
          </w:p>
        </w:tc>
      </w:tr>
      <w:tr>
        <w:trPr>
          <w:trHeight w:val="20"/>
        </w:trPr>
        <w:tc>
          <w:tcPr>
            <w:tcW w:w="740" w:type="dxa"/>
            <w:vAlign w:val="bottom"/>
            <w:tcBorders>
              <w:top w:val="single" w:sz="8" w:color="CCEEFF"/>
            </w:tcBorders>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of May 31, 2023, annual maturities on our total debt obligations, based on contract maturity,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08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263"/>
        </w:trPr>
        <w:tc>
          <w:tcPr>
            <w:tcW w:w="6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Fiscal Years Ended August 31,</w:t>
            </w:r>
          </w:p>
        </w:tc>
        <w:tc>
          <w:tcPr>
            <w:tcW w:w="1080" w:type="dxa"/>
            <w:vAlign w:val="bottom"/>
            <w:tcBorders>
              <w:bottom w:val="single" w:sz="8" w:color="auto"/>
            </w:tcBorders>
          </w:tcPr>
          <w:p>
            <w:pPr>
              <w:spacing w:after="0"/>
              <w:rPr>
                <w:sz w:val="22"/>
                <w:szCs w:val="22"/>
                <w:color w:val="auto"/>
              </w:rPr>
            </w:pPr>
          </w:p>
        </w:tc>
        <w:tc>
          <w:tcPr>
            <w:tcW w:w="3800" w:type="dxa"/>
            <w:vAlign w:val="bottom"/>
            <w:tcBorders>
              <w:bottom w:val="single" w:sz="8" w:color="auto"/>
            </w:tcBorders>
          </w:tcPr>
          <w:p>
            <w:pPr>
              <w:jc w:val="right"/>
              <w:ind w:right="1990"/>
              <w:spacing w:after="0"/>
              <w:rPr>
                <w:sz w:val="20"/>
                <w:szCs w:val="20"/>
                <w:color w:val="auto"/>
              </w:rPr>
            </w:pPr>
            <w:r>
              <w:rPr>
                <w:rFonts w:ascii="Arial" w:cs="Arial" w:eastAsia="Arial" w:hAnsi="Arial"/>
                <w:sz w:val="18"/>
                <w:szCs w:val="18"/>
                <w:color w:val="auto"/>
              </w:rPr>
              <w:t>Maturities</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 (remaining three months)</w:t>
            </w: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3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2024</w:t>
            </w:r>
          </w:p>
        </w:tc>
        <w:tc>
          <w:tcPr>
            <w:tcW w:w="1080" w:type="dxa"/>
            <w:vAlign w:val="bottom"/>
          </w:tcPr>
          <w:p>
            <w:pPr>
              <w:spacing w:after="0"/>
              <w:rPr>
                <w:sz w:val="19"/>
                <w:szCs w:val="19"/>
                <w:color w:val="auto"/>
              </w:rPr>
            </w:pPr>
          </w:p>
        </w:tc>
        <w:tc>
          <w:tcPr>
            <w:tcW w:w="3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80" w:type="dxa"/>
            <w:vAlign w:val="bottom"/>
            <w:shd w:val="clear" w:color="auto" w:fill="CCEEFF"/>
          </w:tcPr>
          <w:p>
            <w:pPr>
              <w:spacing w:after="0"/>
              <w:rPr>
                <w:sz w:val="21"/>
                <w:szCs w:val="21"/>
                <w:color w:val="auto"/>
              </w:rPr>
            </w:pPr>
          </w:p>
        </w:tc>
        <w:tc>
          <w:tcPr>
            <w:tcW w:w="3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437,500</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2026</w:t>
            </w:r>
          </w:p>
        </w:tc>
        <w:tc>
          <w:tcPr>
            <w:tcW w:w="1080" w:type="dxa"/>
            <w:vAlign w:val="bottom"/>
          </w:tcPr>
          <w:p>
            <w:pPr>
              <w:spacing w:after="0"/>
              <w:rPr>
                <w:sz w:val="19"/>
                <w:szCs w:val="19"/>
                <w:color w:val="auto"/>
              </w:rPr>
            </w:pPr>
          </w:p>
        </w:tc>
        <w:tc>
          <w:tcPr>
            <w:tcW w:w="3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080" w:type="dxa"/>
            <w:vAlign w:val="bottom"/>
            <w:shd w:val="clear" w:color="auto" w:fill="CCEEFF"/>
          </w:tcPr>
          <w:p>
            <w:pPr>
              <w:spacing w:after="0"/>
              <w:rPr>
                <w:sz w:val="19"/>
                <w:szCs w:val="19"/>
                <w:color w:val="auto"/>
              </w:rPr>
            </w:pPr>
          </w:p>
        </w:tc>
        <w:tc>
          <w:tcPr>
            <w:tcW w:w="3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r>
      <w:tr>
        <w:trPr>
          <w:trHeight w:val="243"/>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080" w:type="dxa"/>
            <w:vAlign w:val="bottom"/>
            <w:tcBorders>
              <w:bottom w:val="single" w:sz="8" w:color="auto"/>
            </w:tcBorders>
          </w:tcPr>
          <w:p>
            <w:pPr>
              <w:spacing w:after="0"/>
              <w:rPr>
                <w:sz w:val="21"/>
                <w:szCs w:val="21"/>
                <w:color w:val="auto"/>
              </w:rPr>
            </w:pPr>
          </w:p>
        </w:tc>
        <w:tc>
          <w:tcPr>
            <w:tcW w:w="3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500,000</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3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1,687,500</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8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Credit Agreement</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March 1, 2022, we entered into a credit agreement (the "2022 Credit Agreement") and borrowed an aggregate principal amount of $1.0 billion under its senior unsecured term loan credit facility (the "2022 Term Facility") and $250.0 million of the available $500.0 million under its senior unsecured revolving credit facility (the "2022 Revolving Facility" and, together with the 2022 Term Facility, the “2022 Credit Facilities”). The 2022 Term Facility matures on March 1, 2025, and the 2022 Revolving Facility matures on March 1, 2027. The 2022 Revolving Facility allows for the availability of up to $100.0 million in the form of letters of credit and up to $50.0 million in the form of swingline loans. We may seek additional commitments under the 2022 Revolving Facility from lenders or other financial institutions up to an aggregate principal amount of $750.0 million.</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pay a commitment fee on the daily unused amount of the 2022 Revolving Facility using a pricing grid based on our senior unsecured non-credit enhanced long-term debt rating and our total leverage ratio. The commitment fee remained consistent at 0.125% from the borrowing date through May 31, 2023.</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used these borrowings, along with the net proceeds from the issuance of the Senior Notes (as defined below) and cash on hand, to finance the consideration for the CGS acquisition, to repay borrowings under the 2019 Credit Agreement (as defined below) and to pay related transaction fees, costs and expenses.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During fiscal 2022, we incurred approximately $9.5 million in debt issuance costs related to the 2022 Credit Facilities. Debt issuance costs are presented in the Consolidated Balance Sheets as a direct deduction from the carrying amount of the debt liability. Debt issuance costs are amortized to Interest expense in the Consolidated Statements of Income on a straight-line basis over the contractual term of the debt, which approximates the effective interest method.</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voluntarily prepay loans under the 2022 Credit Facilities at any time without premium or penalty. During the three and nine months ended May 31, 2023, we repaid $62.5 million and $312.5 million, respectively, under the 2022 Term Facility, inclusive of voluntary prepayments of $50.0 million and $275.0 million, respectively. Since loan inception on March 1, 2022, we have repaid $562.5 million under the 2022 Term Facility, inclusive of voluntary prepayments of $512.5 million.</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May 31, 2023, the outstanding borrowings under the 2022 Credit Facilities bore interest at a rate equal to the applicable one-month Term SOFR rate plus a 1.1% spread (comprised of a 1.0% interest rate margin based on a debt leverage pricing grid plus a 0.1% credit spread adjustment). The spread remained consistent from the borrowing date through May 31, 2023. Interest on the 2022 Credit Facilities is currently payable on the last business day of each month, in arrears.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2022 Credit Agreement contains usual and customary event of default provisions for facilities of this type, which are subject to usual and customary grace periods and materiality thresholds. If an event of default occurs under the 2022 Credit Agreement, the lenders may, among other things, terminate their commitments and declare all outstanding borrowings immediately due and payable.</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2022 Credit Agreement contains usual and customary affirmative and negative covenants for facilities of this type, including a financial covenant requiring maintenance of a total leverage ratio of no greater than 4.00 to 1.00 as of May 31, 2023. We were in compliance with all covenants and requirements of the 2022 Credit Agreement as of May 31, 2023.</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Swap Agreements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 March 5, 2020, we entered into the 2020 Swap Agreement to hedge a portion of our then outstanding floating LIBOR rate debt with a fixed interest rate of 0.7995%. On March 1, 2022, we terminated the 2020 Swap Agreement and concurrently entered into the 2022 Swap Agreement to hedge a portion of our outstanding floating SOFR rate debt with a fixed interest rate of 1.162%. Effective December 30, 2022, we apportioned the then outstanding notional amount of the 2022 Swap Agreement between two counterparties. Refer to Note 5, </w:t>
      </w:r>
      <w:r>
        <w:rPr>
          <w:rFonts w:ascii="Arial" w:cs="Arial" w:eastAsia="Arial" w:hAnsi="Arial"/>
          <w:sz w:val="18"/>
          <w:szCs w:val="18"/>
          <w:i w:val="1"/>
          <w:iCs w:val="1"/>
          <w:color w:val="auto"/>
        </w:rPr>
        <w:t>Derivative Instruments</w:t>
      </w:r>
      <w:r>
        <w:rPr>
          <w:rFonts w:ascii="Arial" w:cs="Arial" w:eastAsia="Arial" w:hAnsi="Arial"/>
          <w:sz w:val="18"/>
          <w:szCs w:val="18"/>
          <w:color w:val="auto"/>
        </w:rPr>
        <w:t xml:space="preserve"> for further discussion of the 2020 Swap Agreement and 2022 Swap Agreement.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1, 2022 we completed a public offering of $500.0 million aggregate principal amount of 2.900% Senior Notes due March 1, 2027 (the “2027 Notes”) and $500.0 million aggregate principal amount of 3.450% Senior Notes due March 1, 2032 (the “2032 Notes” and, together with the 2027 Notes, the “Senior Notes”). The Senior Notes were issued pursuant to an indenture, dated as of March 1, 2022, by and between us and U.S. Bank Trust Company, National Association, as trustee (the "Trustee"), as supplemented by the supplemental indenture, dated as of March 1, 2022, between us and the Trustee (the "Supplemental Indenture").</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Senior Notes were issued at an aggregate discount of $2.8 million during fiscal 2022 and we incurred approximately $9.1 million in debt issuance costs. Debt discounts and debt issuance costs are presented in the Consolidated Balance Sheets as a net direct deduction from the carrying amount of the debt liability. The debt discounts and debt issuance costs are amortized to Interest expense in the Consolidated Statements of Income over the contractual term of the debt, leveraging the effective interest method.</w:t>
      </w:r>
    </w:p>
    <w:p>
      <w:pPr>
        <w:spacing w:after="0" w:line="1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on the Senior Notes is payable semiannually in arrears on March 1 and September 1 of each year, with the first payment made on September 1, 2022.</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may redeem the Senior Notes, in whole or in part, at any time at specified redemption prices, plus any accrued and unpaid interest. Upon the occurrence of a change of control triggering event (as defined in the Supplemental Indenture), we must offer to repurchase the Senior Notes at 101% of their principal amount, plus any accrued and unpaid interest.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Credit Agreement</w:t>
      </w:r>
    </w:p>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March 29, 2019, we entered into a credit agreement with PNC Bank, National Association (the "2019 Credit Agreement") and borrowed $575.0 million of the available $750.0 million provided by the revolving credit facility thereunder (the "2019 Revolving Credit Facility"). Borrowings under the 2019 Revolving Credit Facility bore interest on the outstanding principal amount at a rate equal to the daily LIBOR plus a spread using a debt leverage pricing grid. Interest on the amounts outstanding under the 2019 Revolving Credit Facility was payable quarterly, in arrears, and on the maturity date. We incurred approximately $0.9 million in debt issuance costs related to the 2019 Credit Agreement.</w:t>
      </w:r>
    </w:p>
    <w:p>
      <w:pPr>
        <w:spacing w:after="0" w:line="1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1, 2022, we terminated the 2019 Credit Agreement and amortized the remaining related $0.4 million of capitalized debt issuance costs into Interest expense in the Consolidated Statements of Income.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1, 2022, the 2019 Revolving Credit Facility and 2020 Swap Agreement were both terminated and concurrently replaced with the 2022 Credit Facilities, Senior Notes and 2022 Swap Agreement.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interest expense on our outstanding debt which is included in Interest expense in our Consolidated Statements of Income: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100" w:type="dxa"/>
            <w:vAlign w:val="bottom"/>
            <w:gridSpan w:val="2"/>
          </w:tcPr>
          <w:p>
            <w:pPr>
              <w:ind w:left="160"/>
              <w:spacing w:after="0"/>
              <w:rPr>
                <w:sz w:val="20"/>
                <w:szCs w:val="20"/>
                <w:color w:val="auto"/>
              </w:rPr>
            </w:pPr>
            <w:r>
              <w:rPr>
                <w:rFonts w:ascii="Arial" w:cs="Arial" w:eastAsia="Arial" w:hAnsi="Arial"/>
                <w:sz w:val="18"/>
                <w:szCs w:val="18"/>
                <w:color w:val="auto"/>
              </w:rPr>
              <w:t>Three Months Ended</w:t>
            </w:r>
          </w:p>
        </w:tc>
        <w:tc>
          <w:tcPr>
            <w:tcW w:w="280" w:type="dxa"/>
            <w:vAlign w:val="bottom"/>
          </w:tcPr>
          <w:p>
            <w:pPr>
              <w:spacing w:after="0"/>
              <w:rPr>
                <w:sz w:val="20"/>
                <w:szCs w:val="20"/>
                <w:color w:val="auto"/>
              </w:rPr>
            </w:pPr>
          </w:p>
        </w:tc>
        <w:tc>
          <w:tcPr>
            <w:tcW w:w="2140" w:type="dxa"/>
            <w:vAlign w:val="bottom"/>
            <w:gridSpan w:val="2"/>
          </w:tcPr>
          <w:p>
            <w:pPr>
              <w:jc w:val="center"/>
              <w:ind w:right="170"/>
              <w:spacing w:after="0"/>
              <w:rPr>
                <w:sz w:val="20"/>
                <w:szCs w:val="20"/>
                <w:color w:val="auto"/>
              </w:rPr>
            </w:pPr>
            <w:r>
              <w:rPr>
                <w:rFonts w:ascii="Arial" w:cs="Arial" w:eastAsia="Arial" w:hAnsi="Arial"/>
                <w:sz w:val="18"/>
                <w:szCs w:val="18"/>
                <w:color w:val="auto"/>
                <w:w w:val="91"/>
              </w:rPr>
              <w:t>Nine Months Ended</w:t>
            </w:r>
          </w:p>
        </w:tc>
      </w:tr>
      <w:tr>
        <w:trPr>
          <w:trHeight w:val="242"/>
        </w:trPr>
        <w:tc>
          <w:tcPr>
            <w:tcW w:w="464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280" w:type="dxa"/>
            <w:vAlign w:val="bottom"/>
          </w:tcPr>
          <w:p>
            <w:pPr>
              <w:ind w:left="620"/>
              <w:spacing w:after="0"/>
              <w:rPr>
                <w:sz w:val="20"/>
                <w:szCs w:val="20"/>
                <w:color w:val="auto"/>
              </w:rPr>
            </w:pPr>
            <w:r>
              <w:rPr>
                <w:rFonts w:ascii="Arial" w:cs="Arial" w:eastAsia="Arial" w:hAnsi="Arial"/>
                <w:sz w:val="18"/>
                <w:szCs w:val="18"/>
                <w:color w:val="auto"/>
                <w:w w:val="99"/>
              </w:rPr>
              <w:t>May 31,</w:t>
            </w: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center"/>
              <w:ind w:left="490"/>
              <w:spacing w:after="0"/>
              <w:rPr>
                <w:sz w:val="20"/>
                <w:szCs w:val="20"/>
                <w:color w:val="auto"/>
              </w:rPr>
            </w:pPr>
            <w:r>
              <w:rPr>
                <w:rFonts w:ascii="Arial" w:cs="Arial" w:eastAsia="Arial" w:hAnsi="Arial"/>
                <w:sz w:val="18"/>
                <w:szCs w:val="18"/>
                <w:color w:val="auto"/>
                <w:w w:val="93"/>
              </w:rPr>
              <w:t>May 31,</w:t>
            </w:r>
          </w:p>
        </w:tc>
        <w:tc>
          <w:tcPr>
            <w:tcW w:w="840" w:type="dxa"/>
            <w:vAlign w:val="bottom"/>
          </w:tcPr>
          <w:p>
            <w:pPr>
              <w:spacing w:after="0"/>
              <w:rPr>
                <w:sz w:val="21"/>
                <w:szCs w:val="21"/>
                <w:color w:val="auto"/>
              </w:rPr>
            </w:pPr>
          </w:p>
        </w:tc>
      </w:tr>
      <w:tr>
        <w:trPr>
          <w:trHeight w:val="230"/>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0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2023</w:t>
            </w: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2022</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2023</w:t>
            </w: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2022</w:t>
            </w:r>
          </w:p>
        </w:tc>
      </w:tr>
      <w:tr>
        <w:trPr>
          <w:trHeight w:val="236"/>
        </w:trPr>
        <w:tc>
          <w:tcPr>
            <w:tcW w:w="4640" w:type="dxa"/>
            <w:vAlign w:val="bottom"/>
            <w:shd w:val="clear" w:color="auto" w:fill="CCEEFF"/>
          </w:tcPr>
          <w:p>
            <w:pPr>
              <w:ind w:left="20"/>
              <w:spacing w:after="0" w:line="236" w:lineRule="exact"/>
              <w:rPr>
                <w:sz w:val="20"/>
                <w:szCs w:val="20"/>
                <w:color w:val="auto"/>
              </w:rPr>
            </w:pPr>
            <w:r>
              <w:rPr>
                <w:rFonts w:ascii="Arial" w:cs="Arial" w:eastAsia="Arial" w:hAnsi="Arial"/>
                <w:sz w:val="18"/>
                <w:szCs w:val="18"/>
                <w:color w:val="auto"/>
              </w:rPr>
              <w:t>Interest expense on outstanding debt</w:t>
            </w:r>
            <w:r>
              <w:rPr>
                <w:rFonts w:ascii="Arial" w:cs="Arial" w:eastAsia="Arial" w:hAnsi="Arial"/>
                <w:sz w:val="23"/>
                <w:szCs w:val="23"/>
                <w:i w:val="1"/>
                <w:iCs w:val="1"/>
                <w:color w:val="auto"/>
                <w:vertAlign w:val="superscript"/>
              </w:rPr>
              <w:t>(1)</w:t>
            </w:r>
          </w:p>
        </w:tc>
        <w:tc>
          <w:tcPr>
            <w:tcW w:w="2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212529"/>
              </w:rPr>
              <w:t>$</w:t>
            </w: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212529"/>
              </w:rPr>
              <w:t xml:space="preserve">16,345 </w:t>
            </w:r>
            <w:r>
              <w:rPr>
                <w:rFonts w:ascii="Arial" w:cs="Arial" w:eastAsia="Arial" w:hAnsi="Arial"/>
                <w:sz w:val="18"/>
                <w:szCs w:val="18"/>
                <w:color w:val="000000"/>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15,755</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49,601 $</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19,581</w:t>
            </w:r>
          </w:p>
        </w:tc>
      </w:tr>
    </w:tbl>
    <w:p>
      <w:pPr>
        <w:spacing w:after="0" w:line="179" w:lineRule="exact"/>
        <w:rPr>
          <w:sz w:val="20"/>
          <w:szCs w:val="20"/>
          <w:color w:val="auto"/>
        </w:rPr>
      </w:pPr>
    </w:p>
    <w:p>
      <w:pPr>
        <w:ind w:left="260" w:hanging="252"/>
        <w:spacing w:after="0" w:line="293" w:lineRule="auto"/>
        <w:tabs>
          <w:tab w:leader="none" w:pos="385"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Interest expense on our outstanding debt includes the related amortization of debt issuance costs and debt discounts, net of the effects of the related interest rate swap agreements.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Including the related amortization of debt issuance costs and debt discounts, net of the effects of the related interest rate swap agreement, the year-to-date weighted average interest rate on amounts outstanding under our outstanding debt was 3.3% and 2.0% as of May 31, 2023 and August 31, 2022, respectively. Refer to Note 5, </w:t>
      </w:r>
      <w:r>
        <w:rPr>
          <w:rFonts w:ascii="Arial" w:cs="Arial" w:eastAsia="Arial" w:hAnsi="Arial"/>
          <w:sz w:val="17"/>
          <w:szCs w:val="17"/>
          <w:i w:val="1"/>
          <w:iCs w:val="1"/>
          <w:color w:val="auto"/>
        </w:rPr>
        <w:t>Derivative Instruments</w:t>
      </w:r>
      <w:r>
        <w:rPr>
          <w:rFonts w:ascii="Arial" w:cs="Arial" w:eastAsia="Arial" w:hAnsi="Arial"/>
          <w:sz w:val="17"/>
          <w:szCs w:val="17"/>
          <w:color w:val="auto"/>
        </w:rPr>
        <w:t xml:space="preserve"> for further discussion of the 2020 Swap Agreement and 2022 Swap Agreement.</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 COMMITMENTS AND CONTINGENCIES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Commitments represent obligations, such as those for future purchases of goods or services, that are not yet recorded on the balance sheet as liabilities. We record liabilities for commitments when incurred (</w:t>
      </w:r>
      <w:r>
        <w:rPr>
          <w:rFonts w:ascii="Arial" w:cs="Arial" w:eastAsia="Arial" w:hAnsi="Arial"/>
          <w:sz w:val="18"/>
          <w:szCs w:val="18"/>
          <w:i w:val="1"/>
          <w:iCs w:val="1"/>
          <w:color w:val="auto"/>
        </w:rPr>
        <w:t>i.e.</w:t>
      </w:r>
      <w:r>
        <w:rPr>
          <w:rFonts w:ascii="Arial" w:cs="Arial" w:eastAsia="Arial" w:hAnsi="Arial"/>
          <w:sz w:val="18"/>
          <w:szCs w:val="18"/>
          <w:color w:val="auto"/>
        </w:rPr>
        <w:t>, when the goods or services are received).</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accrue non-income-tax liabilities for contingencies when we believe that a loss is probable, and the amount can be reasonably estimated. Judgment is required to determine both the probability and the estimated amount of loss. If the reasonable estimate of a probable loss is a range, we record the most probable estimate of the loss or the minimum amount when no amount within the range is a better estimate than any other amount. We review accruals on a quarterly basis and adjust, as necessary, to reflect the impact of negotiations, settlements, rulings, advice of legal counsel and other current information. Contingent gains are recognized only when realized.</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Uncertain income tax positions are accounted for in accordance with applicable accounting guidance, refer to Note 9,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in the Notes included in Item 8 of our Annual Report on Form 10-K for the fiscal year ended August 31, 2022 for further details.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Commitments with Suppliers and Vendors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Purchase obligations represent our legally-binding agreements to purchase fixed or minimum quantities at determinable prices. Our total purchase obligations as of August 31, 2022 primarily related to hosting services and acquisition of data, and, to a lesser extent, third-party software providers. Hosting services support our technology investments related to our hybrid cloud strategy, the majority of which rely on third-party hosting providers. Data is an integral component of the value we provide to our clients and our commitments to third-party software providers mainly include internal-use software licenses.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August 31, 2022, we had total purchase obligations with suppliers of $373.9 million. During the second quarter of fiscal 2023, we amended a contract with a data supplier that resulted in an incremental commitment to purchase data of approximately $26.0 million.</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We also have contractual obligations related to our lease liabilities and outstanding debt. Refer to Note 10,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and Note 11, </w:t>
      </w:r>
      <w:r>
        <w:rPr>
          <w:rFonts w:ascii="Arial" w:cs="Arial" w:eastAsia="Arial" w:hAnsi="Arial"/>
          <w:sz w:val="18"/>
          <w:szCs w:val="18"/>
          <w:i w:val="1"/>
          <w:iCs w:val="1"/>
          <w:color w:val="auto"/>
        </w:rPr>
        <w:t>Debt</w:t>
      </w:r>
      <w:r>
        <w:rPr>
          <w:rFonts w:ascii="Arial" w:cs="Arial" w:eastAsia="Arial" w:hAnsi="Arial"/>
          <w:sz w:val="18"/>
          <w:szCs w:val="18"/>
          <w:color w:val="auto"/>
        </w:rPr>
        <w:t xml:space="preserve"> for information regarding lease commitments and outstanding debt obligations,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Commitments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As of May 31, 2023 and August 31, 2022, we had outstanding capital commitments related to an investment of $0.8 million and $1.1 million, respectively.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Letters of Credit</w:t>
      </w:r>
    </w:p>
    <w:p>
      <w:pPr>
        <w:spacing w:after="0" w:line="17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From time to time, we are required to obtain letters of credit in the ordinary course of business. As of both May 31, 2023 and August 31, 2022, we had $0.5 million of standby letters of credit outstanding. No liabilities related to these arrangements are reflected in the Company's Consolidated Balance Sheets.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engaged in various legal proceedings, claims and litigation that have arisen in the ordinary course of business. The outcome of all the matters against us are subject to future resolution, including the uncertainties of litigation. Based on information available at May 31, 2023, our management believes that the ultimate outcome of these unresolved matters against us, individually or in the aggregate, will not have a material adverse effect on our consolidated financial position, our results of operations or our cash flows.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multinational company operating in many states and countries, we are routinely audited by various taxing authorities and have reserved for potential adjustments to our provision for income taxes that may result from examinations by, or any negotiated settlements with, these tax authorities. We believe that the final outcome of these examinations or settlements will not have a material effect on our results of operations nor our cash flows. If events occur which indicate payment of these amounts is unnecessary, the reversal of the liabilities would result in the recognition of tax benefits in the period we determine the liabilities are no longer necessary. If our estimates of the federal, state and foreign income tax liabilities are less than the ultimate assessment, additional expense would result.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Tax Matters</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August 8, 2019, we received a Notice of Intent to Assess (the "First Notice") additional sales taxes, interest and underpayment penalties (the “Sales Taxes”) from the Commonwealth of Massachusetts Department of Revenue (the "Commonwealth") relating to the tax periods from January 1, 2006 through December 31, 2013. On July 20, 2021, we received a Notice of Intent to Assess (the "Second Notice") additional Sales Taxes from the Commonwealth relating to the tax periods from January 1, 2014 through December 31, 2018. On December 29, 2022, we received a Notice of Intent to Assess (the “Third Notice"; cumulatively with the First and Second Notices, the “Notices”) additional Sales Taxes from the Commonwealth relating to the tax periods from January 1, 2019 through June 30, 2021. We filed an appeal with respect to the Notices to contest all Sales Taxes that may be assessed. On May 24, 2023, we received a Letter of Determination from the Commonwealth upholding the Notices, followed by a Notice of Assessment for all the periods covered by the Notices. We continue to contest these assessments and believe that we will ultimately prevail; however, if we do not prevail, the amount of these assessments could have a material impact on our consolidated financial position, results of operations and cash flows.</w:t>
      </w:r>
    </w:p>
    <w:p>
      <w:pPr>
        <w:spacing w:after="0" w:line="12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concluded that a payment to the Commonwealth is probable. We have recorded an accrual which is not material to our consolidated financial statements. While we believe that the assumptions and estimates used to determine the accrual are reasonable, future developments could result in adjustments being made to this accrual.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permitted or required under Delaware law and to the maximum extent allowable under that law, we have certain obligations to indemnify each of our current and former officers and directors for certain events or occurrences while the officer or director is, or was, serving at our request in such capacity. These indemnification obligations are valid as long as the director or officer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acted in good faith and in a manner the person reasonably believed to be in, or not opposed to, the best interests of FactSet, and with respect to any criminal action or proceeding, had no reasonable cause to believe his or her conduct was unlawful. It is not possible to determine the maximum potential amount for claims made under the indemnification obligations due to the unique set of facts and circumstances likely to be involved in each particular claim and indemnification provision; however, we have purchased a director and officer insurance policy that mitigates our exposure and may enable us to recover a portion of any future amounts paid. We do not believe, based on historical experience and information currently available, that it is probable that any material amounts will be required to be paid under such indemnification obligations.</w:t>
      </w: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13. STOCKHOLDERS' EQUITY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960" w:type="dxa"/>
            <w:vAlign w:val="bottom"/>
            <w:gridSpan w:val="2"/>
          </w:tcPr>
          <w:p>
            <w:pPr>
              <w:jc w:val="center"/>
              <w:spacing w:after="0"/>
              <w:rPr>
                <w:sz w:val="20"/>
                <w:szCs w:val="20"/>
                <w:color w:val="auto"/>
              </w:rPr>
            </w:pPr>
            <w:r>
              <w:rPr>
                <w:rFonts w:ascii="Arial" w:cs="Arial" w:eastAsia="Arial" w:hAnsi="Arial"/>
                <w:sz w:val="18"/>
                <w:szCs w:val="18"/>
                <w:color w:val="auto"/>
                <w:w w:val="90"/>
              </w:rPr>
              <w:t>Three Months Ended</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20" w:type="dxa"/>
            <w:vAlign w:val="bottom"/>
            <w:gridSpan w:val="2"/>
          </w:tcPr>
          <w:p>
            <w:pPr>
              <w:jc w:val="center"/>
              <w:ind w:right="190"/>
              <w:spacing w:after="0"/>
              <w:rPr>
                <w:sz w:val="20"/>
                <w:szCs w:val="20"/>
                <w:color w:val="auto"/>
              </w:rPr>
            </w:pPr>
            <w:r>
              <w:rPr>
                <w:rFonts w:ascii="Arial" w:cs="Arial" w:eastAsia="Arial" w:hAnsi="Arial"/>
                <w:sz w:val="18"/>
                <w:szCs w:val="18"/>
                <w:color w:val="auto"/>
                <w:w w:val="89"/>
              </w:rPr>
              <w:t>Nine months ended</w:t>
            </w:r>
          </w:p>
        </w:tc>
      </w:tr>
      <w:tr>
        <w:trPr>
          <w:trHeight w:val="230"/>
        </w:trPr>
        <w:tc>
          <w:tcPr>
            <w:tcW w:w="5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960" w:type="dxa"/>
            <w:vAlign w:val="bottom"/>
            <w:gridSpan w:val="2"/>
          </w:tcPr>
          <w:p>
            <w:pPr>
              <w:jc w:val="center"/>
              <w:spacing w:after="0"/>
              <w:rPr>
                <w:sz w:val="20"/>
                <w:szCs w:val="20"/>
                <w:color w:val="auto"/>
              </w:rPr>
            </w:pPr>
            <w:r>
              <w:rPr>
                <w:rFonts w:ascii="Arial" w:cs="Arial" w:eastAsia="Arial" w:hAnsi="Arial"/>
                <w:sz w:val="18"/>
                <w:szCs w:val="18"/>
                <w:color w:val="auto"/>
                <w:w w:val="93"/>
              </w:rPr>
              <w:t>May 31,</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jc w:val="center"/>
              <w:ind w:left="550"/>
              <w:spacing w:after="0"/>
              <w:rPr>
                <w:sz w:val="20"/>
                <w:szCs w:val="20"/>
                <w:color w:val="auto"/>
              </w:rPr>
            </w:pPr>
            <w:r>
              <w:rPr>
                <w:rFonts w:ascii="Arial" w:cs="Arial" w:eastAsia="Arial" w:hAnsi="Arial"/>
                <w:sz w:val="18"/>
                <w:szCs w:val="18"/>
                <w:color w:val="auto"/>
                <w:w w:val="93"/>
              </w:rPr>
              <w:t>May 31,</w:t>
            </w:r>
          </w:p>
        </w:tc>
        <w:tc>
          <w:tcPr>
            <w:tcW w:w="920" w:type="dxa"/>
            <w:vAlign w:val="bottom"/>
          </w:tcPr>
          <w:p>
            <w:pPr>
              <w:spacing w:after="0"/>
              <w:rPr>
                <w:sz w:val="20"/>
                <w:szCs w:val="20"/>
                <w:color w:val="auto"/>
              </w:rPr>
            </w:pPr>
          </w:p>
        </w:tc>
      </w:tr>
      <w:tr>
        <w:trPr>
          <w:trHeight w:val="277"/>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 except share data)</w:t>
            </w:r>
          </w:p>
        </w:tc>
        <w:tc>
          <w:tcPr>
            <w:tcW w:w="7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2023</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2022</w:t>
            </w: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2023</w:t>
            </w: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r>
      <w:tr>
        <w:trPr>
          <w:trHeight w:val="229"/>
        </w:trPr>
        <w:tc>
          <w:tcPr>
            <w:tcW w:w="55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w w:val="97"/>
              </w:rPr>
              <w:t>Repurchases of common stock under the share repurchase program</w:t>
            </w:r>
            <w:r>
              <w:rPr>
                <w:rFonts w:ascii="Arial" w:cs="Arial" w:eastAsia="Arial" w:hAnsi="Arial"/>
                <w:sz w:val="23"/>
                <w:szCs w:val="23"/>
                <w:i w:val="1"/>
                <w:iCs w:val="1"/>
                <w:color w:val="auto"/>
                <w:w w:val="97"/>
                <w:vertAlign w:val="superscript"/>
              </w:rPr>
              <w:t>(1)</w:t>
            </w:r>
          </w:p>
        </w:tc>
        <w:tc>
          <w:tcPr>
            <w:tcW w:w="7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165,950</w:t>
            </w: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165,950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46,200</w:t>
            </w:r>
          </w:p>
        </w:tc>
      </w:tr>
      <w:tr>
        <w:trPr>
          <w:trHeight w:val="304"/>
        </w:trPr>
        <w:tc>
          <w:tcPr>
            <w:tcW w:w="5520" w:type="dxa"/>
            <w:vAlign w:val="bottom"/>
          </w:tcPr>
          <w:p>
            <w:pPr>
              <w:ind w:left="20"/>
              <w:spacing w:after="0"/>
              <w:rPr>
                <w:sz w:val="20"/>
                <w:szCs w:val="20"/>
                <w:color w:val="auto"/>
              </w:rPr>
            </w:pPr>
            <w:r>
              <w:rPr>
                <w:rFonts w:ascii="Arial" w:cs="Arial" w:eastAsia="Arial" w:hAnsi="Arial"/>
                <w:sz w:val="18"/>
                <w:szCs w:val="18"/>
                <w:color w:val="auto"/>
              </w:rPr>
              <w:t>Total cost of shares repurchased</w:t>
            </w:r>
            <w:r>
              <w:rPr>
                <w:rFonts w:ascii="Arial" w:cs="Arial" w:eastAsia="Arial" w:hAnsi="Arial"/>
                <w:sz w:val="23"/>
                <w:szCs w:val="23"/>
                <w:i w:val="1"/>
                <w:iCs w:val="1"/>
                <w:color w:val="auto"/>
                <w:vertAlign w:val="superscript"/>
              </w:rPr>
              <w:t>(1)</w:t>
            </w: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67,092</w:t>
            </w:r>
          </w:p>
        </w:tc>
        <w:tc>
          <w:tcPr>
            <w:tcW w:w="960" w:type="dxa"/>
            <w:vAlign w:val="bottom"/>
          </w:tcPr>
          <w:p>
            <w:pPr>
              <w:jc w:val="right"/>
              <w:ind w:right="730"/>
              <w:spacing w:after="0"/>
              <w:rPr>
                <w:sz w:val="20"/>
                <w:szCs w:val="20"/>
                <w:color w:val="auto"/>
              </w:rPr>
            </w:pPr>
            <w:r>
              <w:rPr>
                <w:rFonts w:ascii="Arial" w:cs="Arial" w:eastAsia="Arial" w:hAnsi="Arial"/>
                <w:sz w:val="18"/>
                <w:szCs w:val="18"/>
                <w:color w:val="auto"/>
              </w:rPr>
              <w:t>$</w:t>
            </w: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67,092 $</w:t>
            </w:r>
          </w:p>
        </w:tc>
        <w:tc>
          <w:tcPr>
            <w:tcW w:w="920" w:type="dxa"/>
            <w:vAlign w:val="bottom"/>
          </w:tcPr>
          <w:p>
            <w:pPr>
              <w:jc w:val="right"/>
              <w:spacing w:after="0"/>
              <w:rPr>
                <w:sz w:val="20"/>
                <w:szCs w:val="20"/>
                <w:color w:val="auto"/>
              </w:rPr>
            </w:pPr>
            <w:r>
              <w:rPr>
                <w:rFonts w:ascii="Arial" w:cs="Arial" w:eastAsia="Arial" w:hAnsi="Arial"/>
                <w:sz w:val="18"/>
                <w:szCs w:val="18"/>
                <w:color w:val="auto"/>
              </w:rPr>
              <w:t>18,639</w:t>
            </w:r>
          </w:p>
        </w:tc>
      </w:tr>
    </w:tbl>
    <w:p>
      <w:pPr>
        <w:spacing w:after="0" w:line="118" w:lineRule="exact"/>
        <w:rPr>
          <w:sz w:val="20"/>
          <w:szCs w:val="20"/>
          <w:color w:val="auto"/>
        </w:rPr>
      </w:pPr>
    </w:p>
    <w:p>
      <w:pPr>
        <w:jc w:val="both"/>
        <w:ind w:left="260" w:hanging="252"/>
        <w:spacing w:after="0" w:line="262" w:lineRule="auto"/>
        <w:tabs>
          <w:tab w:leader="none" w:pos="264"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Amounts do not include 1,239 shares and 10 shares surrendered by grantees to satisfy withholding tax obligations due upon the vesting or exercise of stock-based awards valued at $0.5 million and $4.0 thousand during the three months ended May 31, 2023 and May 31, 2022, respectively. Amounts do not include 28,952 shares and 7,432 shares surrendered by grantees to satisfy withholding tax obligations due upon the vesting or exercise of stock-based awards valued at $12.3 million and $3.3 million during the nine months ended May 31, 2023 and May 31, 2022, respectively.</w:t>
      </w:r>
    </w:p>
    <w:p>
      <w:pPr>
        <w:spacing w:after="0" w:line="15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repurchase shares of our common stock under our share repurchase program from time-to-time in the open market or via privately negotiated transactions, subject to market conditions. We had suspended our share repurchase program beginning in the second quarter of fiscal 2022, with the exception of potential minor repurchases to offset dilution from grants of equity awards or repurchases to satisfy withholding tax obligations due upon the vesting of stock-based awards, to prioritize the repayment of debt under the 2022 Credit Facilities. We resumed our share repurchase program in the third quarter of fiscal 2023.</w:t>
      </w:r>
    </w:p>
    <w:p>
      <w:pPr>
        <w:spacing w:after="0" w:line="14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is no defined number of shares to be repurchased over a specified timeframe through the life of our share repurchase program. As of May 31, 2023, a total of $114.2 million remained authorized for future share repurchases through August 31, 2023. On June 20, 2023, our Board of Directors authorized up to $300 million for share repurchases on or after September 1, 2023.</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Awards</w:t>
      </w:r>
    </w:p>
    <w:p>
      <w:pPr>
        <w:spacing w:after="0" w:line="20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 xml:space="preserve">Refer to Note 15, </w:t>
      </w:r>
      <w:r>
        <w:rPr>
          <w:rFonts w:ascii="Arial" w:cs="Arial" w:eastAsia="Arial" w:hAnsi="Arial"/>
          <w:sz w:val="18"/>
          <w:szCs w:val="18"/>
          <w:i w:val="1"/>
          <w:iCs w:val="1"/>
          <w:color w:val="auto"/>
        </w:rPr>
        <w:t>Stock-Based Compensation</w:t>
      </w:r>
      <w:r>
        <w:rPr>
          <w:rFonts w:ascii="Arial" w:cs="Arial" w:eastAsia="Arial" w:hAnsi="Arial"/>
          <w:sz w:val="18"/>
          <w:szCs w:val="18"/>
          <w:color w:val="auto"/>
        </w:rPr>
        <w:t xml:space="preserve"> for more information on equity awards issued during the three and nine months ended May 31, 2023 and May 31, 2022.</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declared dividends during the nine months ended May 31, 2023 and May 31, 2022 as follows:</w:t>
      </w:r>
    </w:p>
    <w:p>
      <w:pPr>
        <w:spacing w:after="0" w:line="4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Dividends per</w:t>
      </w:r>
    </w:p>
    <w:tbl>
      <w:tblPr>
        <w:tblLayout w:type="fixed"/>
        <w:tblInd w:w="0" w:type="dxa"/>
        <w:tblCellMar>
          <w:top w:w="0" w:type="dxa"/>
          <w:left w:w="0" w:type="dxa"/>
          <w:bottom w:w="0" w:type="dxa"/>
          <w:right w:w="0" w:type="dxa"/>
        </w:tblCellMar>
      </w:tblPr>
      <w:tr>
        <w:trPr>
          <w:trHeight w:val="160"/>
        </w:trPr>
        <w:tc>
          <w:tcPr>
            <w:tcW w:w="2760" w:type="dxa"/>
            <w:vAlign w:val="bottom"/>
            <w:vMerge w:val="restart"/>
          </w:tcPr>
          <w:p>
            <w:pPr>
              <w:ind w:left="20"/>
              <w:spacing w:after="0"/>
              <w:rPr>
                <w:sz w:val="20"/>
                <w:szCs w:val="20"/>
                <w:color w:val="auto"/>
              </w:rPr>
            </w:pPr>
            <w:r>
              <w:rPr>
                <w:rFonts w:ascii="Arial" w:cs="Arial" w:eastAsia="Arial" w:hAnsi="Arial"/>
                <w:sz w:val="18"/>
                <w:szCs w:val="18"/>
                <w:color w:val="auto"/>
              </w:rPr>
              <w:t>Year Ended</w:t>
            </w:r>
          </w:p>
        </w:tc>
        <w:tc>
          <w:tcPr>
            <w:tcW w:w="1620" w:type="dxa"/>
            <w:vAlign w:val="bottom"/>
          </w:tcPr>
          <w:p>
            <w:pPr>
              <w:spacing w:after="0"/>
              <w:rPr>
                <w:sz w:val="13"/>
                <w:szCs w:val="13"/>
                <w:color w:val="auto"/>
              </w:rPr>
            </w:pPr>
          </w:p>
        </w:tc>
        <w:tc>
          <w:tcPr>
            <w:tcW w:w="1360" w:type="dxa"/>
            <w:vAlign w:val="bottom"/>
          </w:tcPr>
          <w:p>
            <w:pPr>
              <w:jc w:val="right"/>
              <w:ind w:right="350"/>
              <w:spacing w:after="0" w:line="160" w:lineRule="exact"/>
              <w:rPr>
                <w:sz w:val="20"/>
                <w:szCs w:val="20"/>
                <w:color w:val="auto"/>
              </w:rPr>
            </w:pPr>
            <w:r>
              <w:rPr>
                <w:rFonts w:ascii="Arial" w:cs="Arial" w:eastAsia="Arial" w:hAnsi="Arial"/>
                <w:sz w:val="18"/>
                <w:szCs w:val="18"/>
                <w:color w:val="auto"/>
              </w:rPr>
              <w:t>Share of</w:t>
            </w:r>
          </w:p>
        </w:tc>
        <w:tc>
          <w:tcPr>
            <w:tcW w:w="1740" w:type="dxa"/>
            <w:vAlign w:val="bottom"/>
            <w:vMerge w:val="restart"/>
          </w:tcPr>
          <w:p>
            <w:pPr>
              <w:ind w:left="560"/>
              <w:spacing w:after="0"/>
              <w:rPr>
                <w:sz w:val="20"/>
                <w:szCs w:val="20"/>
                <w:color w:val="auto"/>
              </w:rPr>
            </w:pPr>
            <w:r>
              <w:rPr>
                <w:rFonts w:ascii="Arial" w:cs="Arial" w:eastAsia="Arial" w:hAnsi="Arial"/>
                <w:sz w:val="18"/>
                <w:szCs w:val="18"/>
                <w:color w:val="auto"/>
              </w:rPr>
              <w:t>Record Date</w:t>
            </w:r>
          </w:p>
        </w:tc>
        <w:tc>
          <w:tcPr>
            <w:tcW w:w="400" w:type="dxa"/>
            <w:vAlign w:val="bottom"/>
          </w:tcPr>
          <w:p>
            <w:pPr>
              <w:spacing w:after="0"/>
              <w:rPr>
                <w:sz w:val="13"/>
                <w:szCs w:val="13"/>
                <w:color w:val="auto"/>
              </w:rPr>
            </w:pPr>
          </w:p>
        </w:tc>
        <w:tc>
          <w:tcPr>
            <w:tcW w:w="1360" w:type="dxa"/>
            <w:vAlign w:val="bottom"/>
          </w:tcPr>
          <w:p>
            <w:pPr>
              <w:jc w:val="right"/>
              <w:ind w:right="90"/>
              <w:spacing w:after="0" w:line="160" w:lineRule="exact"/>
              <w:rPr>
                <w:sz w:val="20"/>
                <w:szCs w:val="20"/>
                <w:color w:val="auto"/>
              </w:rPr>
            </w:pPr>
            <w:r>
              <w:rPr>
                <w:rFonts w:ascii="Arial" w:cs="Arial" w:eastAsia="Arial" w:hAnsi="Arial"/>
                <w:sz w:val="18"/>
                <w:szCs w:val="18"/>
                <w:color w:val="auto"/>
                <w:w w:val="94"/>
              </w:rPr>
              <w:t>Total $ Amount</w:t>
            </w:r>
          </w:p>
        </w:tc>
        <w:tc>
          <w:tcPr>
            <w:tcW w:w="1980" w:type="dxa"/>
            <w:vAlign w:val="bottom"/>
            <w:vMerge w:val="restart"/>
          </w:tcPr>
          <w:p>
            <w:pPr>
              <w:ind w:left="500"/>
              <w:spacing w:after="0"/>
              <w:rPr>
                <w:sz w:val="20"/>
                <w:szCs w:val="20"/>
                <w:color w:val="auto"/>
              </w:rPr>
            </w:pPr>
            <w:r>
              <w:rPr>
                <w:rFonts w:ascii="Arial" w:cs="Arial" w:eastAsia="Arial" w:hAnsi="Arial"/>
                <w:sz w:val="18"/>
                <w:szCs w:val="18"/>
                <w:color w:val="auto"/>
              </w:rPr>
              <w:t>Payment Date</w:t>
            </w:r>
          </w:p>
        </w:tc>
        <w:tc>
          <w:tcPr>
            <w:tcW w:w="0" w:type="dxa"/>
            <w:vAlign w:val="bottom"/>
          </w:tcPr>
          <w:p>
            <w:pPr>
              <w:spacing w:after="0"/>
              <w:rPr>
                <w:sz w:val="1"/>
                <w:szCs w:val="1"/>
                <w:color w:val="auto"/>
              </w:rPr>
            </w:pPr>
          </w:p>
        </w:tc>
      </w:tr>
      <w:tr>
        <w:trPr>
          <w:trHeight w:val="229"/>
        </w:trPr>
        <w:tc>
          <w:tcPr>
            <w:tcW w:w="2760" w:type="dxa"/>
            <w:vAlign w:val="bottom"/>
            <w:tcBorders>
              <w:bottom w:val="single" w:sz="8" w:color="auto"/>
            </w:tcBorders>
            <w:vMerge w:val="continue"/>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4"/>
              </w:rPr>
              <w:t>Common Stock</w:t>
            </w:r>
          </w:p>
        </w:tc>
        <w:tc>
          <w:tcPr>
            <w:tcW w:w="174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i w:val="1"/>
                <w:iCs w:val="1"/>
                <w:color w:val="auto"/>
                <w:w w:val="98"/>
              </w:rPr>
              <w:t>(in thousands)</w:t>
            </w:r>
          </w:p>
        </w:tc>
        <w:tc>
          <w:tcPr>
            <w:tcW w:w="1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2023</w:t>
            </w:r>
          </w:p>
        </w:tc>
        <w:tc>
          <w:tcPr>
            <w:tcW w:w="16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760" w:type="dxa"/>
            <w:vAlign w:val="bottom"/>
          </w:tcPr>
          <w:p>
            <w:pPr>
              <w:ind w:left="140"/>
              <w:spacing w:after="0"/>
              <w:rPr>
                <w:sz w:val="20"/>
                <w:szCs w:val="20"/>
                <w:color w:val="auto"/>
              </w:rPr>
            </w:pPr>
            <w:r>
              <w:rPr>
                <w:rFonts w:ascii="Arial" w:cs="Arial" w:eastAsia="Arial" w:hAnsi="Arial"/>
                <w:sz w:val="18"/>
                <w:szCs w:val="18"/>
                <w:color w:val="auto"/>
              </w:rPr>
              <w:t>First Quarter</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0.89</w:t>
            </w:r>
          </w:p>
        </w:tc>
        <w:tc>
          <w:tcPr>
            <w:tcW w:w="1740" w:type="dxa"/>
            <w:vAlign w:val="bottom"/>
          </w:tcPr>
          <w:p>
            <w:pPr>
              <w:ind w:left="60"/>
              <w:spacing w:after="0"/>
              <w:rPr>
                <w:sz w:val="20"/>
                <w:szCs w:val="20"/>
                <w:color w:val="auto"/>
              </w:rPr>
            </w:pPr>
            <w:r>
              <w:rPr>
                <w:rFonts w:ascii="Arial" w:cs="Arial" w:eastAsia="Arial" w:hAnsi="Arial"/>
                <w:sz w:val="18"/>
                <w:szCs w:val="18"/>
                <w:color w:val="auto"/>
              </w:rPr>
              <w:t>November 30, 2022</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34,010</w:t>
            </w:r>
          </w:p>
        </w:tc>
        <w:tc>
          <w:tcPr>
            <w:tcW w:w="1980" w:type="dxa"/>
            <w:vAlign w:val="bottom"/>
          </w:tcPr>
          <w:p>
            <w:pPr>
              <w:ind w:left="40"/>
              <w:spacing w:after="0"/>
              <w:rPr>
                <w:sz w:val="20"/>
                <w:szCs w:val="20"/>
                <w:color w:val="auto"/>
              </w:rPr>
            </w:pPr>
            <w:r>
              <w:rPr>
                <w:rFonts w:ascii="Arial" w:cs="Arial" w:eastAsia="Arial" w:hAnsi="Arial"/>
                <w:sz w:val="18"/>
                <w:szCs w:val="18"/>
                <w:color w:val="auto"/>
              </w:rPr>
              <w:t>December 15, 2022</w:t>
            </w: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Second Quarter</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1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February 28, 2023</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34,099</w:t>
            </w:r>
          </w:p>
        </w:tc>
        <w:tc>
          <w:tcPr>
            <w:tcW w:w="1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16, 2023</w:t>
            </w:r>
          </w:p>
        </w:tc>
        <w:tc>
          <w:tcPr>
            <w:tcW w:w="0" w:type="dxa"/>
            <w:vAlign w:val="bottom"/>
          </w:tcPr>
          <w:p>
            <w:pPr>
              <w:spacing w:after="0"/>
              <w:rPr>
                <w:sz w:val="1"/>
                <w:szCs w:val="1"/>
                <w:color w:val="auto"/>
              </w:rPr>
            </w:pPr>
          </w:p>
        </w:tc>
      </w:tr>
      <w:tr>
        <w:trPr>
          <w:trHeight w:val="237"/>
        </w:trPr>
        <w:tc>
          <w:tcPr>
            <w:tcW w:w="27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Third Quarter</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0.98</w:t>
            </w:r>
          </w:p>
        </w:tc>
        <w:tc>
          <w:tcPr>
            <w:tcW w:w="17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May 31, 2023</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37,442</w:t>
            </w:r>
          </w:p>
        </w:tc>
        <w:tc>
          <w:tcPr>
            <w:tcW w:w="19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June 15, 2023</w:t>
            </w:r>
          </w:p>
        </w:tc>
        <w:tc>
          <w:tcPr>
            <w:tcW w:w="0" w:type="dxa"/>
            <w:vAlign w:val="bottom"/>
          </w:tcPr>
          <w:p>
            <w:pPr>
              <w:spacing w:after="0"/>
              <w:rPr>
                <w:sz w:val="1"/>
                <w:szCs w:val="1"/>
                <w:color w:val="auto"/>
              </w:rPr>
            </w:pPr>
          </w:p>
        </w:tc>
      </w:tr>
      <w:tr>
        <w:trPr>
          <w:trHeight w:val="229"/>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2022</w:t>
            </w:r>
          </w:p>
        </w:tc>
        <w:tc>
          <w:tcPr>
            <w:tcW w:w="16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60" w:type="dxa"/>
            <w:vAlign w:val="bottom"/>
          </w:tcPr>
          <w:p>
            <w:pPr>
              <w:ind w:left="140"/>
              <w:spacing w:after="0"/>
              <w:rPr>
                <w:sz w:val="20"/>
                <w:szCs w:val="20"/>
                <w:color w:val="auto"/>
              </w:rPr>
            </w:pPr>
            <w:r>
              <w:rPr>
                <w:rFonts w:ascii="Arial" w:cs="Arial" w:eastAsia="Arial" w:hAnsi="Arial"/>
                <w:sz w:val="18"/>
                <w:szCs w:val="18"/>
                <w:color w:val="auto"/>
              </w:rPr>
              <w:t>First Quarter</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0.82</w:t>
            </w:r>
          </w:p>
        </w:tc>
        <w:tc>
          <w:tcPr>
            <w:tcW w:w="1740" w:type="dxa"/>
            <w:vAlign w:val="bottom"/>
          </w:tcPr>
          <w:p>
            <w:pPr>
              <w:ind w:left="60"/>
              <w:spacing w:after="0"/>
              <w:rPr>
                <w:sz w:val="20"/>
                <w:szCs w:val="20"/>
                <w:color w:val="auto"/>
              </w:rPr>
            </w:pPr>
            <w:r>
              <w:rPr>
                <w:rFonts w:ascii="Arial" w:cs="Arial" w:eastAsia="Arial" w:hAnsi="Arial"/>
                <w:sz w:val="18"/>
                <w:szCs w:val="18"/>
                <w:color w:val="auto"/>
              </w:rPr>
              <w:t>November 30, 2021</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30,973</w:t>
            </w:r>
          </w:p>
        </w:tc>
        <w:tc>
          <w:tcPr>
            <w:tcW w:w="1980" w:type="dxa"/>
            <w:vAlign w:val="bottom"/>
          </w:tcPr>
          <w:p>
            <w:pPr>
              <w:ind w:left="40"/>
              <w:spacing w:after="0"/>
              <w:rPr>
                <w:sz w:val="20"/>
                <w:szCs w:val="20"/>
                <w:color w:val="auto"/>
              </w:rPr>
            </w:pPr>
            <w:r>
              <w:rPr>
                <w:rFonts w:ascii="Arial" w:cs="Arial" w:eastAsia="Arial" w:hAnsi="Arial"/>
                <w:sz w:val="18"/>
                <w:szCs w:val="18"/>
                <w:color w:val="auto"/>
              </w:rPr>
              <w:t>December 16, 2021</w:t>
            </w:r>
          </w:p>
        </w:tc>
        <w:tc>
          <w:tcPr>
            <w:tcW w:w="0" w:type="dxa"/>
            <w:vAlign w:val="bottom"/>
          </w:tcPr>
          <w:p>
            <w:pPr>
              <w:spacing w:after="0"/>
              <w:rPr>
                <w:sz w:val="1"/>
                <w:szCs w:val="1"/>
                <w:color w:val="auto"/>
              </w:rPr>
            </w:pPr>
          </w:p>
        </w:tc>
      </w:tr>
      <w:tr>
        <w:trPr>
          <w:trHeight w:val="243"/>
        </w:trPr>
        <w:tc>
          <w:tcPr>
            <w:tcW w:w="2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Second Quarter</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1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February 28, 2022</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31,065</w:t>
            </w:r>
          </w:p>
        </w:tc>
        <w:tc>
          <w:tcPr>
            <w:tcW w:w="1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17, 2022</w:t>
            </w:r>
          </w:p>
        </w:tc>
        <w:tc>
          <w:tcPr>
            <w:tcW w:w="0" w:type="dxa"/>
            <w:vAlign w:val="bottom"/>
          </w:tcPr>
          <w:p>
            <w:pPr>
              <w:spacing w:after="0"/>
              <w:rPr>
                <w:sz w:val="1"/>
                <w:szCs w:val="1"/>
                <w:color w:val="auto"/>
              </w:rPr>
            </w:pPr>
          </w:p>
        </w:tc>
      </w:tr>
      <w:tr>
        <w:trPr>
          <w:trHeight w:val="230"/>
        </w:trPr>
        <w:tc>
          <w:tcPr>
            <w:tcW w:w="2760" w:type="dxa"/>
            <w:vAlign w:val="bottom"/>
          </w:tcPr>
          <w:p>
            <w:pPr>
              <w:ind w:left="140"/>
              <w:spacing w:after="0"/>
              <w:rPr>
                <w:sz w:val="20"/>
                <w:szCs w:val="20"/>
                <w:color w:val="auto"/>
              </w:rPr>
            </w:pPr>
            <w:r>
              <w:rPr>
                <w:rFonts w:ascii="Arial" w:cs="Arial" w:eastAsia="Arial" w:hAnsi="Arial"/>
                <w:sz w:val="18"/>
                <w:szCs w:val="18"/>
                <w:color w:val="auto"/>
              </w:rPr>
              <w:t>Third Quarter</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0.89</w:t>
            </w:r>
          </w:p>
        </w:tc>
        <w:tc>
          <w:tcPr>
            <w:tcW w:w="1740" w:type="dxa"/>
            <w:vAlign w:val="bottom"/>
          </w:tcPr>
          <w:p>
            <w:pPr>
              <w:ind w:left="60"/>
              <w:spacing w:after="0"/>
              <w:rPr>
                <w:sz w:val="20"/>
                <w:szCs w:val="20"/>
                <w:color w:val="auto"/>
              </w:rPr>
            </w:pPr>
            <w:r>
              <w:rPr>
                <w:rFonts w:ascii="Arial" w:cs="Arial" w:eastAsia="Arial" w:hAnsi="Arial"/>
                <w:sz w:val="18"/>
                <w:szCs w:val="18"/>
                <w:color w:val="auto"/>
              </w:rPr>
              <w:t>May 31, 2022</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33,795</w:t>
            </w:r>
          </w:p>
        </w:tc>
        <w:tc>
          <w:tcPr>
            <w:tcW w:w="1980" w:type="dxa"/>
            <w:vAlign w:val="bottom"/>
          </w:tcPr>
          <w:p>
            <w:pPr>
              <w:ind w:left="40"/>
              <w:spacing w:after="0"/>
              <w:rPr>
                <w:sz w:val="20"/>
                <w:szCs w:val="20"/>
                <w:color w:val="auto"/>
              </w:rPr>
            </w:pPr>
            <w:r>
              <w:rPr>
                <w:rFonts w:ascii="Arial" w:cs="Arial" w:eastAsia="Arial" w:hAnsi="Arial"/>
                <w:sz w:val="18"/>
                <w:szCs w:val="18"/>
                <w:color w:val="auto"/>
              </w:rPr>
              <w:t>June 16, 2022</w:t>
            </w:r>
          </w:p>
        </w:tc>
        <w:tc>
          <w:tcPr>
            <w:tcW w:w="0" w:type="dxa"/>
            <w:vAlign w:val="bottom"/>
          </w:tcPr>
          <w:p>
            <w:pPr>
              <w:spacing w:after="0"/>
              <w:rPr>
                <w:sz w:val="1"/>
                <w:szCs w:val="1"/>
                <w:color w:val="auto"/>
              </w:rPr>
            </w:pPr>
          </w:p>
        </w:tc>
      </w:tr>
    </w:tbl>
    <w:p>
      <w:pPr>
        <w:spacing w:after="0" w:line="25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third quarter of fiscal 2023, our Board of Directors approved a 10% increase in the regular quarterly dividend from $0.89 to $0.98 per share. Future cash dividend payments will depend on our earnings, capital requirements, financial condition and other factors considered relevant by us and are subject to final determination by our Board of Directors.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r>
              <w:rPr>
                <w:rFonts w:ascii="Arial" w:cs="Arial" w:eastAsia="Arial" w:hAnsi="Arial"/>
                <w:sz w:val="18"/>
                <w:szCs w:val="18"/>
                <w:b w:val="1"/>
                <w:bCs w:val="1"/>
                <w:color w:val="auto"/>
              </w:rPr>
              <w:t>Accumulated Other Comprehensive Loss</w:t>
            </w:r>
          </w:p>
        </w:tc>
        <w:tc>
          <w:tcPr>
            <w:tcW w:w="2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05"/>
        </w:trPr>
        <w:tc>
          <w:tcPr>
            <w:tcW w:w="7440" w:type="dxa"/>
            <w:vAlign w:val="bottom"/>
          </w:tcPr>
          <w:p>
            <w:pPr>
              <w:spacing w:after="0"/>
              <w:rPr>
                <w:sz w:val="20"/>
                <w:szCs w:val="20"/>
                <w:color w:val="auto"/>
              </w:rPr>
            </w:pPr>
            <w:r>
              <w:rPr>
                <w:rFonts w:ascii="Arial" w:cs="Arial" w:eastAsia="Arial" w:hAnsi="Arial"/>
                <w:sz w:val="18"/>
                <w:szCs w:val="18"/>
                <w:color w:val="auto"/>
              </w:rPr>
              <w:t>The components of AOCL are as follows:</w:t>
            </w: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56"/>
        </w:trPr>
        <w:tc>
          <w:tcPr>
            <w:tcW w:w="74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May 31, 2023</w:t>
            </w:r>
          </w:p>
        </w:tc>
        <w:tc>
          <w:tcPr>
            <w:tcW w:w="2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August 31, 2022</w:t>
            </w:r>
          </w:p>
        </w:tc>
      </w:tr>
      <w:tr>
        <w:trPr>
          <w:trHeight w:val="22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unrealized gains (losses) on cash flow hedges, net of tax</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5,406</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w:t>
            </w:r>
          </w:p>
        </w:tc>
      </w:tr>
      <w:tr>
        <w:trPr>
          <w:trHeight w:val="243"/>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foreign currency translation adjustments</w:t>
            </w:r>
          </w:p>
        </w:tc>
        <w:tc>
          <w:tcPr>
            <w:tcW w:w="26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(94,750)</w:t>
            </w:r>
          </w:p>
        </w:tc>
        <w:tc>
          <w:tcPr>
            <w:tcW w:w="2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(111,532)</w:t>
            </w:r>
          </w:p>
        </w:tc>
      </w:tr>
      <w:tr>
        <w:trPr>
          <w:trHeight w:val="22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AOCL</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(89,344)</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(108,383)</w:t>
            </w: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14. EARNINGS PER SHARE</w:t>
      </w:r>
    </w:p>
    <w:p>
      <w:pPr>
        <w:spacing w:after="0" w:line="17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Basic earnings per share ("Basic EPS") is computed by dividing net income by the number of weighted average common shares outstanding during the period. Diluted earnings per share ("Diluted EPS") is computed using the treasury stock method, by dividing net income by the cumulative weighted average common shares that are outstanding or are issuable upon the exercise of outstanding stock-based compensation awards during the period. Stock-based compensation awards that are out-of-the-money and performance share units ("PSUs") in which the performance criteria have not been met as of the end of the respective reporting period are omitted from the calculation of Diluted EPS.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20" w:type="dxa"/>
            <w:vAlign w:val="bottom"/>
            <w:gridSpan w:val="7"/>
          </w:tcPr>
          <w:p>
            <w:pPr>
              <w:spacing w:after="0"/>
              <w:rPr>
                <w:sz w:val="20"/>
                <w:szCs w:val="20"/>
                <w:color w:val="auto"/>
              </w:rPr>
            </w:pPr>
            <w:r>
              <w:rPr>
                <w:rFonts w:ascii="Arial" w:cs="Arial" w:eastAsia="Arial" w:hAnsi="Arial"/>
                <w:sz w:val="18"/>
                <w:szCs w:val="18"/>
                <w:color w:val="auto"/>
                <w:w w:val="94"/>
              </w:rPr>
              <w:t>A reconciliation of the weighted average shares outstanding used in the Basic EPS and Diluted EPS computation is as follows:</w:t>
            </w:r>
          </w:p>
        </w:tc>
        <w:tc>
          <w:tcPr>
            <w:tcW w:w="5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Three Months Ended</w:t>
            </w:r>
          </w:p>
        </w:tc>
        <w:tc>
          <w:tcPr>
            <w:tcW w:w="1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0" w:type="dxa"/>
            <w:vAlign w:val="bottom"/>
            <w:gridSpan w:val="3"/>
          </w:tcPr>
          <w:p>
            <w:pPr>
              <w:jc w:val="right"/>
              <w:ind w:right="89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42"/>
        </w:trPr>
        <w:tc>
          <w:tcPr>
            <w:tcW w:w="4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20" w:type="dxa"/>
            <w:vAlign w:val="bottom"/>
            <w:gridSpan w:val="2"/>
          </w:tcPr>
          <w:p>
            <w:pPr>
              <w:jc w:val="right"/>
              <w:ind w:right="370"/>
              <w:spacing w:after="0"/>
              <w:rPr>
                <w:sz w:val="20"/>
                <w:szCs w:val="20"/>
                <w:color w:val="auto"/>
              </w:rPr>
            </w:pPr>
            <w:r>
              <w:rPr>
                <w:rFonts w:ascii="Arial" w:cs="Arial" w:eastAsia="Arial" w:hAnsi="Arial"/>
                <w:sz w:val="18"/>
                <w:szCs w:val="18"/>
                <w:color w:val="auto"/>
              </w:rPr>
              <w:t>May 31,</w:t>
            </w:r>
          </w:p>
        </w:tc>
        <w:tc>
          <w:tcPr>
            <w:tcW w:w="1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80" w:type="dxa"/>
            <w:vAlign w:val="bottom"/>
            <w:gridSpan w:val="2"/>
          </w:tcPr>
          <w:p>
            <w:pPr>
              <w:jc w:val="right"/>
              <w:ind w:right="90"/>
              <w:spacing w:after="0"/>
              <w:rPr>
                <w:sz w:val="20"/>
                <w:szCs w:val="20"/>
                <w:color w:val="auto"/>
              </w:rPr>
            </w:pPr>
            <w:r>
              <w:rPr>
                <w:rFonts w:ascii="Arial" w:cs="Arial" w:eastAsia="Arial" w:hAnsi="Arial"/>
                <w:sz w:val="18"/>
                <w:szCs w:val="18"/>
                <w:color w:val="auto"/>
              </w:rPr>
              <w:t>May 31,</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 except per share data)</w:t>
            </w: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2023</w:t>
            </w:r>
          </w:p>
        </w:tc>
        <w:tc>
          <w:tcPr>
            <w:tcW w:w="8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84"/>
              </w:rPr>
              <w:t>2022</w:t>
            </w:r>
          </w:p>
        </w:tc>
        <w:tc>
          <w:tcPr>
            <w:tcW w:w="4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2023</w:t>
            </w:r>
          </w:p>
        </w:tc>
        <w:tc>
          <w:tcPr>
            <w:tcW w:w="5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37"/>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4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80" w:type="dxa"/>
            <w:vAlign w:val="bottom"/>
          </w:tcPr>
          <w:p>
            <w:pPr>
              <w:ind w:left="20"/>
              <w:spacing w:after="0" w:line="176" w:lineRule="exact"/>
              <w:rPr>
                <w:sz w:val="20"/>
                <w:szCs w:val="20"/>
                <w:color w:val="auto"/>
              </w:rPr>
            </w:pPr>
            <w:r>
              <w:rPr>
                <w:rFonts w:ascii="Arial" w:cs="Arial" w:eastAsia="Arial" w:hAnsi="Arial"/>
                <w:sz w:val="18"/>
                <w:szCs w:val="18"/>
                <w:color w:val="auto"/>
                <w:w w:val="92"/>
              </w:rPr>
              <w:t>Net income used for calculating Basic EPS and Diluted</w:t>
            </w:r>
          </w:p>
        </w:tc>
        <w:tc>
          <w:tcPr>
            <w:tcW w:w="420" w:type="dxa"/>
            <w:vAlign w:val="bottom"/>
            <w:vMerge w:val="restart"/>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134,663</w:t>
            </w:r>
          </w:p>
        </w:tc>
        <w:tc>
          <w:tcPr>
            <w:tcW w:w="800" w:type="dxa"/>
            <w:vAlign w:val="bottom"/>
            <w:vMerge w:val="restart"/>
          </w:tcPr>
          <w:p>
            <w:pPr>
              <w:jc w:val="right"/>
              <w:ind w:right="57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74,910</w:t>
            </w:r>
          </w:p>
        </w:tc>
        <w:tc>
          <w:tcPr>
            <w:tcW w:w="420" w:type="dxa"/>
            <w:vAlign w:val="bottom"/>
            <w:vMerge w:val="restart"/>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403,054</w:t>
            </w:r>
          </w:p>
        </w:tc>
        <w:tc>
          <w:tcPr>
            <w:tcW w:w="500" w:type="dxa"/>
            <w:vAlign w:val="bottom"/>
            <w:vMerge w:val="restart"/>
          </w:tcPr>
          <w:p>
            <w:pPr>
              <w:jc w:val="right"/>
              <w:ind w:right="27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292,495</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EPS</w:t>
            </w:r>
          </w:p>
        </w:tc>
        <w:tc>
          <w:tcPr>
            <w:tcW w:w="420" w:type="dxa"/>
            <w:vAlign w:val="bottom"/>
            <w:tcBorders>
              <w:bottom w:val="single" w:sz="8" w:color="auto"/>
            </w:tcBorders>
            <w:vMerge w:val="continue"/>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42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50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80" w:type="dxa"/>
            <w:vAlign w:val="bottom"/>
          </w:tcPr>
          <w:p>
            <w:pPr>
              <w:ind w:left="20"/>
              <w:spacing w:after="0" w:line="176" w:lineRule="exact"/>
              <w:rPr>
                <w:sz w:val="20"/>
                <w:szCs w:val="20"/>
                <w:color w:val="auto"/>
              </w:rPr>
            </w:pPr>
            <w:r>
              <w:rPr>
                <w:rFonts w:ascii="Arial" w:cs="Arial" w:eastAsia="Arial" w:hAnsi="Arial"/>
                <w:sz w:val="18"/>
                <w:szCs w:val="18"/>
                <w:color w:val="auto"/>
              </w:rPr>
              <w:t>Weighted average common shares used in the</w:t>
            </w:r>
          </w:p>
        </w:tc>
        <w:tc>
          <w:tcPr>
            <w:tcW w:w="42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38,278</w:t>
            </w:r>
          </w:p>
        </w:tc>
        <w:tc>
          <w:tcPr>
            <w:tcW w:w="8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37,934</w:t>
            </w:r>
          </w:p>
        </w:tc>
        <w:tc>
          <w:tcPr>
            <w:tcW w:w="42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38,227</w:t>
            </w:r>
          </w:p>
        </w:tc>
        <w:tc>
          <w:tcPr>
            <w:tcW w:w="5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37,716</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calculation of Basic EPS</w:t>
            </w:r>
          </w:p>
        </w:tc>
        <w:tc>
          <w:tcPr>
            <w:tcW w:w="42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08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0"/>
              </w:rPr>
              <w:t>Common stock equivalents associated with stock-based</w:t>
            </w:r>
          </w:p>
        </w:tc>
        <w:tc>
          <w:tcPr>
            <w:tcW w:w="42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8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4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5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36"/>
        </w:trPr>
        <w:tc>
          <w:tcPr>
            <w:tcW w:w="4080" w:type="dxa"/>
            <w:vAlign w:val="bottom"/>
            <w:shd w:val="clear" w:color="auto" w:fill="CCEEFF"/>
          </w:tcPr>
          <w:p>
            <w:pPr>
              <w:ind w:left="20"/>
              <w:spacing w:after="0" w:line="235" w:lineRule="exact"/>
              <w:rPr>
                <w:sz w:val="20"/>
                <w:szCs w:val="20"/>
                <w:color w:val="auto"/>
              </w:rPr>
            </w:pPr>
            <w:r>
              <w:rPr>
                <w:rFonts w:ascii="Arial" w:cs="Arial" w:eastAsia="Arial" w:hAnsi="Arial"/>
                <w:sz w:val="18"/>
                <w:szCs w:val="18"/>
                <w:color w:val="auto"/>
              </w:rPr>
              <w:t>compensation plan</w:t>
            </w:r>
            <w:r>
              <w:rPr>
                <w:rFonts w:ascii="Arial" w:cs="Arial" w:eastAsia="Arial" w:hAnsi="Arial"/>
                <w:sz w:val="23"/>
                <w:szCs w:val="23"/>
                <w:i w:val="1"/>
                <w:iCs w:val="1"/>
                <w:color w:val="auto"/>
                <w:vertAlign w:val="superscript"/>
              </w:rPr>
              <w:t>(1)</w:t>
            </w:r>
          </w:p>
        </w:tc>
        <w:tc>
          <w:tcPr>
            <w:tcW w:w="4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Shares used in the calculation of Diluted EPS</w:t>
            </w: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38,912</w:t>
            </w:r>
          </w:p>
        </w:tc>
        <w:tc>
          <w:tcPr>
            <w:tcW w:w="8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38,720</w:t>
            </w: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38,936</w:t>
            </w:r>
          </w:p>
        </w:tc>
        <w:tc>
          <w:tcPr>
            <w:tcW w:w="5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38,607</w:t>
            </w:r>
          </w:p>
        </w:tc>
        <w:tc>
          <w:tcPr>
            <w:tcW w:w="0" w:type="dxa"/>
            <w:vAlign w:val="bottom"/>
          </w:tcPr>
          <w:p>
            <w:pPr>
              <w:spacing w:after="0"/>
              <w:rPr>
                <w:sz w:val="1"/>
                <w:szCs w:val="1"/>
                <w:color w:val="auto"/>
              </w:rPr>
            </w:pPr>
          </w:p>
        </w:tc>
      </w:tr>
      <w:tr>
        <w:trPr>
          <w:trHeight w:val="248"/>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EPS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80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5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80" w:type="dxa"/>
            <w:vAlign w:val="bottom"/>
          </w:tcPr>
          <w:p>
            <w:pPr>
              <w:ind w:left="20"/>
              <w:spacing w:after="0" w:line="203" w:lineRule="exact"/>
              <w:rPr>
                <w:sz w:val="20"/>
                <w:szCs w:val="20"/>
                <w:color w:val="auto"/>
              </w:rPr>
            </w:pPr>
            <w:r>
              <w:rPr>
                <w:rFonts w:ascii="Arial" w:cs="Arial" w:eastAsia="Arial" w:hAnsi="Arial"/>
                <w:sz w:val="18"/>
                <w:szCs w:val="18"/>
                <w:color w:val="auto"/>
              </w:rPr>
              <w:t>Diluted EPS</w:t>
            </w:r>
          </w:p>
        </w:tc>
        <w:tc>
          <w:tcPr>
            <w:tcW w:w="42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3.46</w:t>
            </w:r>
          </w:p>
        </w:tc>
        <w:tc>
          <w:tcPr>
            <w:tcW w:w="800" w:type="dxa"/>
            <w:vAlign w:val="bottom"/>
            <w:tcBorders>
              <w:bottom w:val="single" w:sz="8" w:color="auto"/>
            </w:tcBorders>
          </w:tcPr>
          <w:p>
            <w:pPr>
              <w:jc w:val="right"/>
              <w:ind w:right="570"/>
              <w:spacing w:after="0" w:line="203"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1.93</w:t>
            </w:r>
          </w:p>
        </w:tc>
        <w:tc>
          <w:tcPr>
            <w:tcW w:w="42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10.35</w:t>
            </w:r>
          </w:p>
        </w:tc>
        <w:tc>
          <w:tcPr>
            <w:tcW w:w="50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4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30</w:t>
            </w: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left="660" w:hanging="328"/>
        <w:spacing w:after="0" w:line="269" w:lineRule="auto"/>
        <w:tabs>
          <w:tab w:leader="none" w:pos="660" w:val="left"/>
        </w:tabs>
        <w:numPr>
          <w:ilvl w:val="1"/>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Dilutive potential common shares consist of stock options and unvested PSUs. As of May 31, 2023 and May 31, 2022, we excluded 583,377 and 291,716 common stock equivalents related to stock options from our calculation of Diluted EPS, respectively. As of May 31, 2023 and May 31, 2022, we excluded a respective 93,230 and 95,359 common stock equivalents related to PSUs from our calculation of Diluted EPS.</w:t>
      </w:r>
    </w:p>
    <w:p>
      <w:pPr>
        <w:spacing w:after="0" w:line="295" w:lineRule="exact"/>
        <w:rPr>
          <w:rFonts w:ascii="Arial" w:cs="Arial" w:eastAsia="Arial" w:hAnsi="Arial"/>
          <w:sz w:val="16"/>
          <w:szCs w:val="16"/>
          <w:i w:val="1"/>
          <w:iCs w:val="1"/>
          <w:color w:val="auto"/>
        </w:rPr>
      </w:pPr>
    </w:p>
    <w:p>
      <w:pPr>
        <w:ind w:left="340" w:hanging="332"/>
        <w:spacing w:after="0"/>
        <w:tabs>
          <w:tab w:leader="none" w:pos="34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STOCK-BASED COMPENSATION</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measure compensation expense based on the grant date fair value for all stock-based awards made to our employees and to our non-employee directors ("non-employees") using the Black-Scholes model or the lattice-binomial option-pricing model ("binomial model").</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utilize the Black-Scholes model for grants of non-employee stock options and non-employee restricted stock units ("RSUs"), and common stock acquired under the FactSet Research Systems Inc. Employee Stock Purchase Plan, as Amended and Restated ("ESPP"). We use the binomial model for grants of employee stock options and employee RSUs and PSUs. We refer to RSUs and PSUs, collectively, as "Restricted Stock Awards."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Both models involve certain estimates and assumptions such as:</w:t>
      </w:r>
    </w:p>
    <w:p>
      <w:pPr>
        <w:spacing w:after="0" w:line="185" w:lineRule="exact"/>
        <w:rPr>
          <w:sz w:val="20"/>
          <w:szCs w:val="20"/>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Risk-free interest rate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based on the U.S. Treasury yield curve in effect at the time of grant with maturities equal to the expected terms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stock-based awards granted.</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life </w:t>
      </w:r>
      <w:r>
        <w:rPr>
          <w:rFonts w:ascii="Arial" w:cs="Arial" w:eastAsia="Arial" w:hAnsi="Arial"/>
          <w:sz w:val="18"/>
          <w:szCs w:val="18"/>
          <w:color w:val="auto"/>
        </w:rPr>
        <w:t>- the weighted average period the stock-based awards are expected to remain outstanding.</w:t>
      </w:r>
    </w:p>
    <w:p>
      <w:pPr>
        <w:spacing w:after="0" w:line="9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volatility </w:t>
      </w:r>
      <w:r>
        <w:rPr>
          <w:rFonts w:ascii="Arial" w:cs="Arial" w:eastAsia="Arial" w:hAnsi="Arial"/>
          <w:sz w:val="18"/>
          <w:szCs w:val="18"/>
          <w:color w:val="auto"/>
        </w:rPr>
        <w:t>- based on a blend of historical volatility of the stock-based award's useful life and the weighted average implied volatility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call option contracts traded in the 90 days preceding the stock-based award's valuation date.</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Dividend yield </w:t>
      </w:r>
      <w:r>
        <w:rPr>
          <w:rFonts w:ascii="Arial" w:cs="Arial" w:eastAsia="Arial" w:hAnsi="Arial"/>
          <w:sz w:val="18"/>
          <w:szCs w:val="18"/>
          <w:color w:val="auto"/>
        </w:rPr>
        <w:t>- the expectation of dividend payouts based on our history.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Additionally, the binomial model incorporates market conditions, vesting restrictions and exercise patterns.</w:t>
      </w:r>
    </w:p>
    <w:p>
      <w:pPr>
        <w:spacing w:after="0" w:line="19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Restricted Stock Awards, the grant date fair value is measured by reducing the grant date price of our common stock by the present value of the dividends expected to be paid on the underlying stock during the requisite service period, discounted at the appropriate risk-free interest rate.</w:t>
      </w:r>
    </w:p>
    <w:p>
      <w:pPr>
        <w:spacing w:after="0" w:line="10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stock-based awards, we use the straight-line method to recognize compensation expense over the requisite service period. The amount of compensation expense that is recognized on any date is at least equal to the vested portion of the award on that date. Compensation expense for PSUs is recognized if the achievement of the performance condition is determined to be probable. We review the PSU performance conditions quarterly to ensure the compensation expense appropriately reflects the Company's expected achievement, as these awards are subject to upward or downward adjustment depending on whether the actual financial performance is above or below target levels, with the PSU payout ranging from 0% to 150% of the number of target shares. Compensation expense for stock-based awards is recorded net of estimated forfeitures, which are based on historical forfeiture rates and are revised if actual forfeitures differ from those estimates.</w:t>
      </w:r>
    </w:p>
    <w:p>
      <w:pPr>
        <w:spacing w:after="0" w:line="1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recognized total stock-based compensation expense of $16.9 million and $14.7 million during the three months ended May 31, 2023 and May 31, 2022, respectively. During the nine months ended May 31, 2023 and May 31, 2022, we recognized total stock-based compensation expense of $44.4 million and $40.6 million, respectively.</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May 31, 2023, $123.5 million of total unrecognized compensation expense related to non-vested awards is expected to be recognized over a weighted average period of 3.1 years. There was no stock-based compensation capitalized as of May 31, 2023 and May 31, 2022.</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May 31, 2023, we had 4.3 million employee stock-based awards available for grant under the FactSet Research Systems Inc. Stock Option and Award Plan, as Amended and Restated (the "LTIP"). As of May 31, 2023, we had 0.2 million non-employee stock-based awards available for grant under the FactSet Research Systems Inc. Non-Employee Directors’ Stock Option and Award Plan as Amended and Restated (the “Director Plan”).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Option Awards</w:t>
      </w:r>
    </w:p>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Under the LTIP, we granted the following stock options for the nine months ended May 31, 2023 and May 31, 2022, which are valued using the lattice-binomial option-pricing model. The majority of the stock options granted relate to the November 1, 2022 and November 1, 2021 annual employee grants.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w w:val="91"/>
              </w:rPr>
              <w:t>Nine Months Ended</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40" w:type="dxa"/>
            <w:vAlign w:val="bottom"/>
          </w:tcPr>
          <w:p>
            <w:pPr>
              <w:spacing w:after="0"/>
              <w:rPr>
                <w:sz w:val="21"/>
                <w:szCs w:val="21"/>
                <w:color w:val="auto"/>
              </w:rPr>
            </w:pPr>
          </w:p>
        </w:tc>
        <w:tc>
          <w:tcPr>
            <w:tcW w:w="3460" w:type="dxa"/>
            <w:vAlign w:val="bottom"/>
            <w:vMerge w:val="restart"/>
          </w:tcPr>
          <w:p>
            <w:pPr>
              <w:jc w:val="right"/>
              <w:spacing w:after="0"/>
              <w:rPr>
                <w:sz w:val="20"/>
                <w:szCs w:val="20"/>
                <w:color w:val="auto"/>
              </w:rPr>
            </w:pPr>
            <w:r>
              <w:rPr>
                <w:rFonts w:ascii="Arial" w:cs="Arial" w:eastAsia="Arial" w:hAnsi="Arial"/>
                <w:sz w:val="18"/>
                <w:szCs w:val="18"/>
                <w:color w:val="auto"/>
              </w:rPr>
              <w:t>2023</w:t>
            </w:r>
          </w:p>
        </w:tc>
        <w:tc>
          <w:tcPr>
            <w:tcW w:w="1480" w:type="dxa"/>
            <w:vAlign w:val="bottom"/>
            <w:gridSpan w:val="2"/>
          </w:tcPr>
          <w:p>
            <w:pPr>
              <w:jc w:val="right"/>
              <w:ind w:right="350"/>
              <w:spacing w:after="0"/>
              <w:rPr>
                <w:sz w:val="20"/>
                <w:szCs w:val="20"/>
                <w:color w:val="auto"/>
              </w:rPr>
            </w:pPr>
            <w:r>
              <w:rPr>
                <w:rFonts w:ascii="Arial" w:cs="Arial" w:eastAsia="Arial" w:hAnsi="Arial"/>
                <w:sz w:val="18"/>
                <w:szCs w:val="18"/>
                <w:color w:val="auto"/>
              </w:rPr>
              <w:t>May 31,</w:t>
            </w:r>
          </w:p>
        </w:tc>
        <w:tc>
          <w:tcPr>
            <w:tcW w:w="1160" w:type="dxa"/>
            <w:vAlign w:val="bottom"/>
            <w:vMerge w:val="restart"/>
          </w:tcPr>
          <w:p>
            <w:pPr>
              <w:jc w:val="right"/>
              <w:ind w:right="670"/>
              <w:spacing w:after="0"/>
              <w:rPr>
                <w:sz w:val="20"/>
                <w:szCs w:val="20"/>
                <w:color w:val="auto"/>
              </w:rPr>
            </w:pPr>
            <w:r>
              <w:rPr>
                <w:rFonts w:ascii="Arial" w:cs="Arial" w:eastAsia="Arial" w:hAnsi="Arial"/>
                <w:sz w:val="18"/>
                <w:szCs w:val="18"/>
                <w:color w:val="auto"/>
                <w:w w:val="94"/>
              </w:rPr>
              <w:t>2022</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auto"/>
            </w:tcBorders>
          </w:tcPr>
          <w:p>
            <w:pPr>
              <w:spacing w:after="0"/>
              <w:rPr>
                <w:sz w:val="19"/>
                <w:szCs w:val="19"/>
                <w:color w:val="auto"/>
              </w:rPr>
            </w:pPr>
          </w:p>
        </w:tc>
        <w:tc>
          <w:tcPr>
            <w:tcW w:w="3460" w:type="dxa"/>
            <w:vAlign w:val="bottom"/>
            <w:tcBorders>
              <w:bottom w:val="single" w:sz="8" w:color="auto"/>
            </w:tcBorders>
            <w:vMerge w:val="continue"/>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40" w:type="dxa"/>
            <w:vAlign w:val="bottom"/>
            <w:shd w:val="clear" w:color="auto" w:fill="CCEEFF"/>
          </w:tcPr>
          <w:p>
            <w:pPr>
              <w:ind w:left="20"/>
              <w:spacing w:after="0" w:line="236" w:lineRule="exact"/>
              <w:rPr>
                <w:sz w:val="20"/>
                <w:szCs w:val="20"/>
                <w:color w:val="auto"/>
              </w:rPr>
            </w:pPr>
            <w:r>
              <w:rPr>
                <w:rFonts w:ascii="Arial" w:cs="Arial" w:eastAsia="Arial" w:hAnsi="Arial"/>
                <w:sz w:val="18"/>
                <w:szCs w:val="18"/>
                <w:color w:val="auto"/>
              </w:rPr>
              <w:t>Stock options granted</w:t>
            </w:r>
            <w:r>
              <w:rPr>
                <w:rFonts w:ascii="Arial" w:cs="Arial" w:eastAsia="Arial" w:hAnsi="Arial"/>
                <w:sz w:val="23"/>
                <w:szCs w:val="23"/>
                <w:i w:val="1"/>
                <w:iCs w:val="1"/>
                <w:color w:val="auto"/>
                <w:vertAlign w:val="superscript"/>
              </w:rPr>
              <w:t>(1)</w:t>
            </w:r>
          </w:p>
        </w:tc>
        <w:tc>
          <w:tcPr>
            <w:tcW w:w="34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268,185</w:t>
            </w:r>
          </w:p>
        </w:tc>
        <w:tc>
          <w:tcPr>
            <w:tcW w:w="7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302,952</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Weighted average exercise price</w:t>
            </w:r>
          </w:p>
        </w:tc>
        <w:tc>
          <w:tcPr>
            <w:tcW w:w="346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426.22</w:t>
            </w: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434.64</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grant date fair value</w:t>
            </w:r>
          </w:p>
        </w:tc>
        <w:tc>
          <w:tcPr>
            <w:tcW w:w="34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125.57</w:t>
            </w: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102.46</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60" w:hanging="252"/>
        <w:spacing w:after="0" w:line="293" w:lineRule="auto"/>
        <w:tabs>
          <w:tab w:leader="none" w:pos="247"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Includes the annual employee grant on November 1, 2022 and November 1, 2021 of 266,051 and 292,377 stock options, respectively. These annual employee grants both vest 20% annually on the anniversary date of the grant and are fully vested after five years, expiring ten years from the date of grant.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As part of the November 1, 2022 annual employee grant, the estimated grant date fair value leveraged the following assumptions:</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1, 2022 Annual Employee Grant Details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5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 - 4.51%</w:t>
            </w:r>
          </w:p>
        </w:tc>
      </w:tr>
      <w:tr>
        <w:trPr>
          <w:trHeight w:val="237"/>
        </w:trPr>
        <w:tc>
          <w:tcPr>
            <w:tcW w:w="5860" w:type="dxa"/>
            <w:vAlign w:val="bottom"/>
          </w:tcPr>
          <w:p>
            <w:pPr>
              <w:ind w:left="20"/>
              <w:spacing w:after="0"/>
              <w:rPr>
                <w:sz w:val="20"/>
                <w:szCs w:val="20"/>
                <w:color w:val="auto"/>
              </w:rPr>
            </w:pPr>
            <w:r>
              <w:rPr>
                <w:rFonts w:ascii="Arial" w:cs="Arial" w:eastAsia="Arial" w:hAnsi="Arial"/>
                <w:sz w:val="18"/>
                <w:szCs w:val="18"/>
                <w:color w:val="auto"/>
              </w:rPr>
              <w:t>Expected life (years)</w:t>
            </w:r>
          </w:p>
        </w:tc>
        <w:tc>
          <w:tcPr>
            <w:tcW w:w="5380" w:type="dxa"/>
            <w:vAlign w:val="bottom"/>
          </w:tcPr>
          <w:p>
            <w:pPr>
              <w:jc w:val="right"/>
              <w:spacing w:after="0"/>
              <w:rPr>
                <w:sz w:val="20"/>
                <w:szCs w:val="20"/>
                <w:color w:val="auto"/>
              </w:rPr>
            </w:pPr>
            <w:r>
              <w:rPr>
                <w:rFonts w:ascii="Arial" w:cs="Arial" w:eastAsia="Arial" w:hAnsi="Arial"/>
                <w:sz w:val="18"/>
                <w:szCs w:val="18"/>
                <w:color w:val="auto"/>
              </w:rPr>
              <w:t>6.62</w:t>
            </w:r>
          </w:p>
        </w:tc>
      </w:tr>
      <w:tr>
        <w:trPr>
          <w:trHeight w:val="23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5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5380" w:type="dxa"/>
            <w:vAlign w:val="bottom"/>
          </w:tcPr>
          <w:p>
            <w:pPr>
              <w:jc w:val="right"/>
              <w:spacing w:after="0"/>
              <w:rPr>
                <w:sz w:val="20"/>
                <w:szCs w:val="20"/>
                <w:color w:val="auto"/>
              </w:rPr>
            </w:pPr>
            <w:r>
              <w:rPr>
                <w:rFonts w:ascii="Arial" w:cs="Arial" w:eastAsia="Arial" w:hAnsi="Arial"/>
                <w:sz w:val="18"/>
                <w:szCs w:val="18"/>
                <w:color w:val="auto"/>
              </w:rPr>
              <w:t>0.83%</w:t>
            </w:r>
          </w:p>
        </w:tc>
      </w:tr>
      <w:tr>
        <w:trPr>
          <w:trHeight w:val="243"/>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Estimated fair value</w:t>
            </w:r>
          </w:p>
        </w:tc>
        <w:tc>
          <w:tcPr>
            <w:tcW w:w="5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$125.62</w:t>
            </w: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Exercise price</w:t>
            </w:r>
          </w:p>
        </w:tc>
        <w:tc>
          <w:tcPr>
            <w:tcW w:w="5380" w:type="dxa"/>
            <w:vAlign w:val="bottom"/>
          </w:tcPr>
          <w:p>
            <w:pPr>
              <w:jc w:val="right"/>
              <w:spacing w:after="0"/>
              <w:rPr>
                <w:sz w:val="20"/>
                <w:szCs w:val="20"/>
                <w:color w:val="auto"/>
              </w:rPr>
            </w:pPr>
            <w:r>
              <w:rPr>
                <w:rFonts w:ascii="Arial" w:cs="Arial" w:eastAsia="Arial" w:hAnsi="Arial"/>
                <w:sz w:val="18"/>
                <w:szCs w:val="18"/>
                <w:color w:val="auto"/>
              </w:rPr>
              <w:t>$426.25</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Stock Option Grant</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17, 2023, we granted 5,462 stock options under the Director Plan to our non-employee directors, which vest 100% on the first anniversary of the grant date and expire seven years from the date the options were granted. The estimated grant date fair value was determined using the Black-Scholes option-pricing model and leveraged the following assumptions:</w:t>
      </w:r>
    </w:p>
    <w:p>
      <w:pPr>
        <w:spacing w:after="0" w:line="3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January 17, 2023 Non-Employee Director Grant Details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5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3.49 %</w:t>
            </w:r>
          </w:p>
        </w:tc>
      </w:tr>
      <w:tr>
        <w:trPr>
          <w:trHeight w:val="237"/>
        </w:trPr>
        <w:tc>
          <w:tcPr>
            <w:tcW w:w="6120" w:type="dxa"/>
            <w:vAlign w:val="bottom"/>
          </w:tcPr>
          <w:p>
            <w:pPr>
              <w:ind w:left="20"/>
              <w:spacing w:after="0"/>
              <w:rPr>
                <w:sz w:val="20"/>
                <w:szCs w:val="20"/>
                <w:color w:val="auto"/>
              </w:rPr>
            </w:pPr>
            <w:r>
              <w:rPr>
                <w:rFonts w:ascii="Arial" w:cs="Arial" w:eastAsia="Arial" w:hAnsi="Arial"/>
                <w:sz w:val="18"/>
                <w:szCs w:val="18"/>
                <w:color w:val="auto"/>
              </w:rPr>
              <w:t>Expected life (years)</w:t>
            </w:r>
          </w:p>
        </w:tc>
        <w:tc>
          <w:tcPr>
            <w:tcW w:w="51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36"/>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5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27.3 %</w:t>
            </w:r>
          </w:p>
        </w:tc>
      </w:tr>
      <w:tr>
        <w:trPr>
          <w:trHeight w:val="230"/>
        </w:trPr>
        <w:tc>
          <w:tcPr>
            <w:tcW w:w="612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5120" w:type="dxa"/>
            <w:vAlign w:val="bottom"/>
          </w:tcPr>
          <w:p>
            <w:pPr>
              <w:jc w:val="right"/>
              <w:spacing w:after="0"/>
              <w:rPr>
                <w:sz w:val="20"/>
                <w:szCs w:val="20"/>
                <w:color w:val="auto"/>
              </w:rPr>
            </w:pPr>
            <w:r>
              <w:rPr>
                <w:rFonts w:ascii="Arial" w:cs="Arial" w:eastAsia="Arial" w:hAnsi="Arial"/>
                <w:sz w:val="18"/>
                <w:szCs w:val="18"/>
                <w:color w:val="auto"/>
              </w:rPr>
              <w:t>0.84 %</w:t>
            </w:r>
          </w:p>
        </w:tc>
      </w:tr>
      <w:tr>
        <w:trPr>
          <w:trHeight w:val="243"/>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Estimated fair value</w:t>
            </w:r>
          </w:p>
        </w:tc>
        <w:tc>
          <w:tcPr>
            <w:tcW w:w="5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$128.84</w:t>
            </w:r>
          </w:p>
        </w:tc>
      </w:tr>
      <w:tr>
        <w:trPr>
          <w:trHeight w:val="230"/>
        </w:trPr>
        <w:tc>
          <w:tcPr>
            <w:tcW w:w="6120" w:type="dxa"/>
            <w:vAlign w:val="bottom"/>
          </w:tcPr>
          <w:p>
            <w:pPr>
              <w:ind w:left="20"/>
              <w:spacing w:after="0"/>
              <w:rPr>
                <w:sz w:val="20"/>
                <w:szCs w:val="20"/>
                <w:color w:val="auto"/>
              </w:rPr>
            </w:pPr>
            <w:r>
              <w:rPr>
                <w:rFonts w:ascii="Arial" w:cs="Arial" w:eastAsia="Arial" w:hAnsi="Arial"/>
                <w:sz w:val="18"/>
                <w:szCs w:val="18"/>
                <w:color w:val="auto"/>
              </w:rPr>
              <w:t>Exercise price</w:t>
            </w:r>
          </w:p>
        </w:tc>
        <w:tc>
          <w:tcPr>
            <w:tcW w:w="5120" w:type="dxa"/>
            <w:vAlign w:val="bottom"/>
          </w:tcPr>
          <w:p>
            <w:pPr>
              <w:jc w:val="right"/>
              <w:spacing w:after="0"/>
              <w:rPr>
                <w:sz w:val="20"/>
                <w:szCs w:val="20"/>
                <w:color w:val="auto"/>
              </w:rPr>
            </w:pPr>
            <w:r>
              <w:rPr>
                <w:rFonts w:ascii="Arial" w:cs="Arial" w:eastAsia="Arial" w:hAnsi="Arial"/>
                <w:sz w:val="18"/>
                <w:szCs w:val="18"/>
                <w:color w:val="auto"/>
              </w:rPr>
              <w:t>$428.70</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Restricted Stock Awards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Restricted Stock Awards granted to employees, under the LTIP, entitle the holders to shares of common stock as the Restricted Stock Awards vest over time, but not to dividends declared on the underlying shares, while the stock subject to the Restricted Stock Awards is unvested. The Restricted Stock Awards are subject to continued employment over a specified period. Vesting of the shares underlying the PSUs are also subject to achieving certain specified performance levels during the measurement period subsequent to the date of grant.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color w:val="auto"/>
        </w:rPr>
        <w:t>Under the LTIP, we granted the following Restricted Stock Awards with the associated weighted average grant date fair value, assuming a target payout for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PSUs, for the nine months ended May 31, 2023 and May 31, 2022:</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89"/>
              </w:rPr>
              <w:t>Nine months ended</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2023</w:t>
            </w: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93"/>
              </w:rPr>
              <w:t>May 31,</w:t>
            </w:r>
          </w:p>
        </w:tc>
        <w:tc>
          <w:tcPr>
            <w:tcW w:w="1160" w:type="dxa"/>
            <w:vAlign w:val="bottom"/>
            <w:vMerge w:val="restart"/>
          </w:tcPr>
          <w:p>
            <w:pPr>
              <w:jc w:val="right"/>
              <w:ind w:right="670"/>
              <w:spacing w:after="0"/>
              <w:rPr>
                <w:sz w:val="20"/>
                <w:szCs w:val="20"/>
                <w:color w:val="auto"/>
              </w:rPr>
            </w:pPr>
            <w:r>
              <w:rPr>
                <w:rFonts w:ascii="Arial" w:cs="Arial" w:eastAsia="Arial" w:hAnsi="Arial"/>
                <w:sz w:val="18"/>
                <w:szCs w:val="18"/>
                <w:color w:val="auto"/>
                <w:w w:val="94"/>
              </w:rPr>
              <w:t>2022</w:t>
            </w:r>
          </w:p>
        </w:tc>
        <w:tc>
          <w:tcPr>
            <w:tcW w:w="0" w:type="dxa"/>
            <w:vAlign w:val="bottom"/>
          </w:tcPr>
          <w:p>
            <w:pPr>
              <w:spacing w:after="0"/>
              <w:rPr>
                <w:sz w:val="1"/>
                <w:szCs w:val="1"/>
                <w:color w:val="auto"/>
              </w:rPr>
            </w:pPr>
          </w:p>
        </w:tc>
      </w:tr>
      <w:tr>
        <w:trPr>
          <w:trHeight w:val="237"/>
        </w:trPr>
        <w:tc>
          <w:tcPr>
            <w:tcW w:w="74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RSUs Granted</w:t>
            </w:r>
            <w:r>
              <w:rPr>
                <w:rFonts w:ascii="Arial" w:cs="Arial" w:eastAsia="Arial" w:hAnsi="Arial"/>
                <w:sz w:val="23"/>
                <w:szCs w:val="23"/>
                <w:color w:val="auto"/>
                <w:vertAlign w:val="superscript"/>
              </w:rPr>
              <w:t>(1)</w:t>
            </w:r>
          </w:p>
        </w:tc>
        <w:tc>
          <w:tcPr>
            <w:tcW w:w="1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47,474</w:t>
            </w:r>
          </w:p>
        </w:tc>
        <w:tc>
          <w:tcPr>
            <w:tcW w:w="7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71,933</w:t>
            </w: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line="230" w:lineRule="exact"/>
              <w:rPr>
                <w:sz w:val="20"/>
                <w:szCs w:val="20"/>
                <w:color w:val="auto"/>
              </w:rPr>
            </w:pPr>
            <w:r>
              <w:rPr>
                <w:rFonts w:ascii="Arial" w:cs="Arial" w:eastAsia="Arial" w:hAnsi="Arial"/>
                <w:sz w:val="18"/>
                <w:szCs w:val="18"/>
                <w:color w:val="auto"/>
              </w:rPr>
              <w:t>PSUs Granted</w:t>
            </w:r>
            <w:r>
              <w:rPr>
                <w:rFonts w:ascii="Arial" w:cs="Arial" w:eastAsia="Arial" w:hAnsi="Arial"/>
                <w:sz w:val="23"/>
                <w:szCs w:val="23"/>
                <w:color w:val="auto"/>
                <w:vertAlign w:val="superscript"/>
              </w:rPr>
              <w:t>(2)</w:t>
            </w:r>
          </w:p>
        </w:tc>
        <w:tc>
          <w:tcPr>
            <w:tcW w:w="1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34,482</w:t>
            </w:r>
          </w:p>
        </w:tc>
        <w:tc>
          <w:tcPr>
            <w:tcW w:w="7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30,704</w:t>
            </w:r>
          </w:p>
        </w:tc>
        <w:tc>
          <w:tcPr>
            <w:tcW w:w="0" w:type="dxa"/>
            <w:vAlign w:val="bottom"/>
          </w:tcPr>
          <w:p>
            <w:pPr>
              <w:spacing w:after="0"/>
              <w:rPr>
                <w:sz w:val="1"/>
                <w:szCs w:val="1"/>
                <w:color w:val="auto"/>
              </w:rPr>
            </w:pPr>
          </w:p>
        </w:tc>
      </w:tr>
      <w:tr>
        <w:trPr>
          <w:trHeight w:val="237"/>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Restricted Stock Awards</w:t>
            </w:r>
          </w:p>
        </w:tc>
        <w:tc>
          <w:tcPr>
            <w:tcW w:w="1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81,956</w:t>
            </w:r>
          </w:p>
        </w:tc>
        <w:tc>
          <w:tcPr>
            <w:tcW w:w="7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102,637</w:t>
            </w: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Restricted Stock Awards weighted average grant date fair value</w:t>
            </w:r>
          </w:p>
        </w:tc>
        <w:tc>
          <w:tcPr>
            <w:tcW w:w="1160" w:type="dxa"/>
            <w:vAlign w:val="bottom"/>
          </w:tcPr>
          <w:p>
            <w:pPr>
              <w:jc w:val="right"/>
              <w:ind w:right="9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415.31</w:t>
            </w: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418.16</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260" w:hanging="252"/>
        <w:spacing w:after="0" w:line="275" w:lineRule="auto"/>
        <w:tabs>
          <w:tab w:leader="none" w:pos="248"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The majority of the RSUs granted relate to the November 1, 2022 and November 1, 2021 annual employee grants that both vest 20% annually on the anniversary date of the grant and are fully vested after five years.</w:t>
      </w:r>
    </w:p>
    <w:p>
      <w:pPr>
        <w:spacing w:after="0" w:line="64" w:lineRule="exact"/>
        <w:rPr>
          <w:rFonts w:ascii="Arial" w:cs="Arial" w:eastAsia="Arial" w:hAnsi="Arial"/>
          <w:sz w:val="16"/>
          <w:szCs w:val="16"/>
          <w:i w:val="1"/>
          <w:iCs w:val="1"/>
          <w:color w:val="auto"/>
        </w:rPr>
      </w:pPr>
    </w:p>
    <w:p>
      <w:pPr>
        <w:jc w:val="both"/>
        <w:ind w:left="260" w:hanging="252"/>
        <w:spacing w:after="0" w:line="295" w:lineRule="auto"/>
        <w:tabs>
          <w:tab w:leader="none" w:pos="248" w:val="left"/>
        </w:tabs>
        <w:numPr>
          <w:ilvl w:val="0"/>
          <w:numId w:val="14"/>
        </w:numPr>
        <w:rPr>
          <w:rFonts w:ascii="Arial" w:cs="Arial" w:eastAsia="Arial" w:hAnsi="Arial"/>
          <w:sz w:val="15"/>
          <w:szCs w:val="15"/>
          <w:i w:val="1"/>
          <w:iCs w:val="1"/>
          <w:color w:val="auto"/>
        </w:rPr>
      </w:pPr>
      <w:r>
        <w:rPr>
          <w:rFonts w:ascii="Arial" w:cs="Arial" w:eastAsia="Arial" w:hAnsi="Arial"/>
          <w:sz w:val="15"/>
          <w:szCs w:val="15"/>
          <w:i w:val="1"/>
          <w:iCs w:val="1"/>
          <w:color w:val="auto"/>
        </w:rPr>
        <w:t>The majority of the PSUs granted relate to the November 1, 2022 and November 1, 2021 annual employee grants that both cliff vest on the third anniversary of the grant date, subject to the achievement of certain performance metrics. The ultimate number of common shares that may be earned pursuant to these PSU awards range from 0% to 150% of the number of target shares, depending on the level of the Company's achievement of stated financial performance objectives.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Restricted Stock Units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Director Plan provides for the grant of stock-based awards, including RSUs, to non-employee directors of FactSet. On January 17, 2023, we granted 1,653 RSUs to our directors that vest 100% on the first anniversary of the grant date. The RSUs granted to our directors on January 17, 2023 had a grant date fair value of $425.06.</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Shares of FactSet common stock may be purchased by eligible employees under our ESPP in three-month intervals. The purchase price is equal to 85% of the lesser of the fair market value of our common stock on the first day or the last day of each three-month offering period. Employee purchases may not exceed 10% of their gross compensation, and there is a $25,000 contribution limit per employee for each calendar year. Shares purchased through our ESPP cannot be sold or otherwise transferred for 18 months after purchase. Dividends paid on shares held in our ESPP are used to purchase additional ESPP shares at the market price on the dividend payment date.</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Stock-based compensation expense related to our ESPP was $0.7 million for the three months ended May 31, 2023 and $0.6 million for the three months ended May 31, 2022. Stock-based compensation expense related to our ESPP was $2.0 million for the nine months ended May 31, 2023 and $1.7 million for the nine months ended May 31, 2022. As of May 31, 2023, our ESPP had 73,348 shares reserved for future issuance.</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16. SEGMENT INFORMATION</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segments are defined as components of an enterprise that have the following characteristics: (i) they engage in business activities from which they may earn revenue and incur expense, (ii) their operating results are regularly reviewed by the chief operating decision maker ("CODM") for resource allocation decisions and performance assessment, and (iii) their discrete financial information is available. Our Chief Executive Officer functions as our CODM.</w:t>
      </w:r>
    </w:p>
    <w:p>
      <w:pPr>
        <w:spacing w:after="0" w:line="14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operating segments are consistent with our reportable segments and how we, including our CODM, manage our business and the geographic markets in which we serve. Our internal financial reporting structure is based on three segments: the Americas; EMEA; and Asia Pacific.</w:t>
      </w:r>
    </w:p>
    <w:p>
      <w:pPr>
        <w:spacing w:after="0" w:line="1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Americas segment serves our clients throughout North, Central, and South America. The EMEA segment serves our clients in Europe, the Middle East, and Africa. The Asia Pacific segment serves our clients in Asia and Australia. Segment revenues reflect sales to our clients based on their respective geographic locations.</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segment records expenses related to its individual operations with the exception of expenditures associated with our data centers, third-party data costs and corporate headquarters charges, which are recorded by the Americas segment and are not allocated to the other segments. The content collection centers, located in India, the Philippines and Latvia, benefit all our segments, and the expenses incurred at these locations are allocated to each segment based on a percentage of revenues.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Table of Contents</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945"/>
        </w:trPr>
        <w:tc>
          <w:tcPr>
            <w:tcW w:w="5940" w:type="dxa"/>
            <w:vAlign w:val="bottom"/>
          </w:tcPr>
          <w:p>
            <w:pPr>
              <w:spacing w:after="0"/>
              <w:rPr>
                <w:sz w:val="20"/>
                <w:szCs w:val="20"/>
                <w:color w:val="auto"/>
              </w:rPr>
            </w:pPr>
            <w:r>
              <w:rPr>
                <w:rFonts w:ascii="Arial" w:cs="Arial" w:eastAsia="Arial" w:hAnsi="Arial"/>
                <w:sz w:val="18"/>
                <w:szCs w:val="18"/>
                <w:color w:val="auto"/>
              </w:rPr>
              <w:t>The following tables reflect the results of operations of our segments:</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45"/>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Americas</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EMEA</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8"/>
              </w:rPr>
              <w:t>Asia Pacific</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Total</w:t>
            </w:r>
          </w:p>
        </w:tc>
      </w:tr>
      <w:tr>
        <w:trPr>
          <w:trHeight w:val="22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the three months ended May 31, 2023</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940" w:type="dxa"/>
            <w:vAlign w:val="bottom"/>
          </w:tcPr>
          <w:p>
            <w:pPr>
              <w:ind w:left="140"/>
              <w:spacing w:after="0"/>
              <w:rPr>
                <w:sz w:val="20"/>
                <w:szCs w:val="20"/>
                <w:color w:val="auto"/>
              </w:rPr>
            </w:pPr>
            <w:r>
              <w:rPr>
                <w:rFonts w:ascii="Arial" w:cs="Arial" w:eastAsia="Arial" w:hAnsi="Arial"/>
                <w:sz w:val="18"/>
                <w:szCs w:val="18"/>
                <w:color w:val="auto"/>
              </w:rPr>
              <w:t>Revenues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337,691</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137,973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54,147</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529,811</w:t>
            </w:r>
          </w:p>
        </w:tc>
      </w:tr>
      <w:tr>
        <w:trPr>
          <w:trHeight w:val="230"/>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79,005</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34,347</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171,959</w:t>
            </w:r>
          </w:p>
        </w:tc>
      </w:tr>
      <w:tr>
        <w:trPr>
          <w:trHeight w:val="312"/>
        </w:trPr>
        <w:tc>
          <w:tcPr>
            <w:tcW w:w="5940" w:type="dxa"/>
            <w:vAlign w:val="bottom"/>
          </w:tcPr>
          <w:p>
            <w:pPr>
              <w:ind w:left="140"/>
              <w:spacing w:after="0"/>
              <w:rPr>
                <w:sz w:val="20"/>
                <w:szCs w:val="20"/>
                <w:color w:val="auto"/>
              </w:rPr>
            </w:pPr>
            <w:r>
              <w:rPr>
                <w:rFonts w:ascii="Arial" w:cs="Arial" w:eastAsia="Arial" w:hAnsi="Arial"/>
                <w:sz w:val="18"/>
                <w:szCs w:val="18"/>
                <w:color w:val="auto"/>
              </w:rPr>
              <w:t>Capital expenditures</w:t>
            </w:r>
            <w:r>
              <w:rPr>
                <w:rFonts w:ascii="Arial" w:cs="Arial" w:eastAsia="Arial" w:hAnsi="Arial"/>
                <w:sz w:val="23"/>
                <w:szCs w:val="23"/>
                <w:i w:val="1"/>
                <w:iCs w:val="1"/>
                <w:color w:val="auto"/>
                <w:vertAlign w:val="superscript"/>
              </w:rPr>
              <w:t>(1)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24,956</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710</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26,005</w:t>
            </w:r>
          </w:p>
        </w:tc>
      </w:tr>
      <w:tr>
        <w:trPr>
          <w:trHeight w:val="431"/>
        </w:trPr>
        <w:tc>
          <w:tcPr>
            <w:tcW w:w="594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Americas</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EMEA</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8"/>
              </w:rPr>
              <w:t>Asia Pacific</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Total</w:t>
            </w:r>
          </w:p>
        </w:tc>
      </w:tr>
      <w:tr>
        <w:trPr>
          <w:trHeight w:val="22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the three months ended May 31, 2022</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940" w:type="dxa"/>
            <w:vAlign w:val="bottom"/>
          </w:tcPr>
          <w:p>
            <w:pPr>
              <w:ind w:left="140"/>
              <w:spacing w:after="0"/>
              <w:rPr>
                <w:sz w:val="20"/>
                <w:szCs w:val="20"/>
                <w:color w:val="auto"/>
              </w:rPr>
            </w:pPr>
            <w:r>
              <w:rPr>
                <w:rFonts w:ascii="Arial" w:cs="Arial" w:eastAsia="Arial" w:hAnsi="Arial"/>
                <w:sz w:val="18"/>
                <w:szCs w:val="18"/>
                <w:color w:val="auto"/>
              </w:rPr>
              <w:t>Revenues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309,740</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128,326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50,685</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488,751</w:t>
            </w:r>
          </w:p>
        </w:tc>
      </w:tr>
      <w:tr>
        <w:trPr>
          <w:trHeight w:val="243"/>
        </w:trPr>
        <w:tc>
          <w:tcPr>
            <w:tcW w:w="5940" w:type="dxa"/>
            <w:vAlign w:val="bottom"/>
            <w:shd w:val="clear" w:color="auto" w:fill="CCEEFF"/>
          </w:tcPr>
          <w:p>
            <w:pPr>
              <w:ind w:left="140"/>
              <w:spacing w:after="0" w:line="243" w:lineRule="exact"/>
              <w:rPr>
                <w:sz w:val="20"/>
                <w:szCs w:val="20"/>
                <w:color w:val="auto"/>
              </w:rPr>
            </w:pPr>
            <w:r>
              <w:rPr>
                <w:rFonts w:ascii="Arial" w:cs="Arial" w:eastAsia="Arial" w:hAnsi="Arial"/>
                <w:sz w:val="18"/>
                <w:szCs w:val="18"/>
                <w:color w:val="auto"/>
              </w:rPr>
              <w:t>Operating income</w:t>
            </w:r>
            <w:r>
              <w:rPr>
                <w:rFonts w:ascii="Arial" w:cs="Arial" w:eastAsia="Arial" w:hAnsi="Arial"/>
                <w:sz w:val="23"/>
                <w:szCs w:val="23"/>
                <w:i w:val="1"/>
                <w:iCs w:val="1"/>
                <w:color w:val="auto"/>
                <w:vertAlign w:val="superscript"/>
              </w:rPr>
              <w:t>(2)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11,212</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53,228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32,814</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97,254</w:t>
            </w:r>
          </w:p>
        </w:tc>
      </w:tr>
      <w:tr>
        <w:trPr>
          <w:trHeight w:val="304"/>
        </w:trPr>
        <w:tc>
          <w:tcPr>
            <w:tcW w:w="5940" w:type="dxa"/>
            <w:vAlign w:val="bottom"/>
          </w:tcPr>
          <w:p>
            <w:pPr>
              <w:ind w:left="140"/>
              <w:spacing w:after="0"/>
              <w:rPr>
                <w:sz w:val="20"/>
                <w:szCs w:val="20"/>
                <w:color w:val="auto"/>
              </w:rPr>
            </w:pPr>
            <w:r>
              <w:rPr>
                <w:rFonts w:ascii="Arial" w:cs="Arial" w:eastAsia="Arial" w:hAnsi="Arial"/>
                <w:sz w:val="18"/>
                <w:szCs w:val="18"/>
                <w:color w:val="auto"/>
              </w:rPr>
              <w:t>Capital expenditures</w:t>
            </w:r>
            <w:r>
              <w:rPr>
                <w:rFonts w:ascii="Arial" w:cs="Arial" w:eastAsia="Arial" w:hAnsi="Arial"/>
                <w:sz w:val="23"/>
                <w:szCs w:val="23"/>
                <w:i w:val="1"/>
                <w:iCs w:val="1"/>
                <w:color w:val="auto"/>
                <w:vertAlign w:val="superscript"/>
              </w:rPr>
              <w:t>(1)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12,362</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466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2,576</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15,404</w:t>
            </w:r>
          </w:p>
        </w:tc>
      </w:tr>
      <w:tr>
        <w:trPr>
          <w:trHeight w:val="425"/>
        </w:trPr>
        <w:tc>
          <w:tcPr>
            <w:tcW w:w="594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4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the nine months ended May 31, 2023</w:t>
            </w:r>
          </w:p>
        </w:tc>
        <w:tc>
          <w:tcPr>
            <w:tcW w:w="2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Americas</w:t>
            </w: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EMEA</w:t>
            </w: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8"/>
              </w:rPr>
              <w:t>Asia Pacific</w:t>
            </w: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Total</w:t>
            </w:r>
          </w:p>
        </w:tc>
      </w:tr>
      <w:tr>
        <w:trPr>
          <w:trHeight w:val="223"/>
        </w:trPr>
        <w:tc>
          <w:tcPr>
            <w:tcW w:w="5940" w:type="dxa"/>
            <w:vAlign w:val="bottom"/>
          </w:tcPr>
          <w:p>
            <w:pPr>
              <w:ind w:left="140"/>
              <w:spacing w:after="0"/>
              <w:rPr>
                <w:sz w:val="20"/>
                <w:szCs w:val="20"/>
                <w:color w:val="auto"/>
              </w:rPr>
            </w:pPr>
            <w:r>
              <w:rPr>
                <w:rFonts w:ascii="Arial" w:cs="Arial" w:eastAsia="Arial" w:hAnsi="Arial"/>
                <w:sz w:val="18"/>
                <w:szCs w:val="18"/>
                <w:color w:val="auto"/>
              </w:rPr>
              <w:t>Revenues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992,179</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401,219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156,313</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1,549,711</w:t>
            </w:r>
          </w:p>
        </w:tc>
      </w:tr>
      <w:tr>
        <w:trPr>
          <w:trHeight w:val="230"/>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207,717</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194,870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110,517</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513,104</w:t>
            </w:r>
          </w:p>
        </w:tc>
      </w:tr>
      <w:tr>
        <w:trPr>
          <w:trHeight w:val="312"/>
        </w:trPr>
        <w:tc>
          <w:tcPr>
            <w:tcW w:w="5940" w:type="dxa"/>
            <w:vAlign w:val="bottom"/>
          </w:tcPr>
          <w:p>
            <w:pPr>
              <w:ind w:left="140"/>
              <w:spacing w:after="0"/>
              <w:rPr>
                <w:sz w:val="20"/>
                <w:szCs w:val="20"/>
                <w:color w:val="auto"/>
              </w:rPr>
            </w:pPr>
            <w:r>
              <w:rPr>
                <w:rFonts w:ascii="Arial" w:cs="Arial" w:eastAsia="Arial" w:hAnsi="Arial"/>
                <w:sz w:val="18"/>
                <w:szCs w:val="18"/>
                <w:color w:val="auto"/>
              </w:rPr>
              <w:t>Capital expenditures</w:t>
            </w:r>
            <w:r>
              <w:rPr>
                <w:rFonts w:ascii="Arial" w:cs="Arial" w:eastAsia="Arial" w:hAnsi="Arial"/>
                <w:sz w:val="23"/>
                <w:szCs w:val="23"/>
                <w:i w:val="1"/>
                <w:iCs w:val="1"/>
                <w:color w:val="auto"/>
                <w:vertAlign w:val="superscript"/>
              </w:rPr>
              <w:t>(1)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56,299</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1,651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3,471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61,421</w:t>
            </w:r>
          </w:p>
        </w:tc>
      </w:tr>
      <w:tr>
        <w:trPr>
          <w:trHeight w:val="431"/>
        </w:trPr>
        <w:tc>
          <w:tcPr>
            <w:tcW w:w="594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9"/>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 the nine months ended May 31, 2022</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Americas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EMEA</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8"/>
              </w:rPr>
              <w:t>Asia Pacific</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Total</w:t>
            </w:r>
          </w:p>
        </w:tc>
      </w:tr>
      <w:tr>
        <w:trPr>
          <w:trHeight w:val="230"/>
        </w:trPr>
        <w:tc>
          <w:tcPr>
            <w:tcW w:w="5940" w:type="dxa"/>
            <w:vAlign w:val="bottom"/>
          </w:tcPr>
          <w:p>
            <w:pPr>
              <w:ind w:left="140"/>
              <w:spacing w:after="0"/>
              <w:rPr>
                <w:sz w:val="20"/>
                <w:szCs w:val="20"/>
                <w:color w:val="auto"/>
              </w:rPr>
            </w:pPr>
            <w:r>
              <w:rPr>
                <w:rFonts w:ascii="Arial" w:cs="Arial" w:eastAsia="Arial" w:hAnsi="Arial"/>
                <w:sz w:val="18"/>
                <w:szCs w:val="18"/>
                <w:color w:val="auto"/>
              </w:rPr>
              <w:t>Revenues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850,312</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357,920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136,363</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1,344,595</w:t>
            </w:r>
          </w:p>
        </w:tc>
      </w:tr>
      <w:tr>
        <w:trPr>
          <w:trHeight w:val="236"/>
        </w:trPr>
        <w:tc>
          <w:tcPr>
            <w:tcW w:w="5940" w:type="dxa"/>
            <w:vAlign w:val="bottom"/>
            <w:shd w:val="clear" w:color="auto" w:fill="CCEEFF"/>
          </w:tcPr>
          <w:p>
            <w:pPr>
              <w:ind w:left="140"/>
              <w:spacing w:after="0" w:line="236" w:lineRule="exact"/>
              <w:rPr>
                <w:sz w:val="20"/>
                <w:szCs w:val="20"/>
                <w:color w:val="auto"/>
              </w:rPr>
            </w:pPr>
            <w:r>
              <w:rPr>
                <w:rFonts w:ascii="Arial" w:cs="Arial" w:eastAsia="Arial" w:hAnsi="Arial"/>
                <w:sz w:val="18"/>
                <w:szCs w:val="18"/>
                <w:color w:val="auto"/>
              </w:rPr>
              <w:t>Operating income</w:t>
            </w:r>
            <w:r>
              <w:rPr>
                <w:rFonts w:ascii="Arial" w:cs="Arial" w:eastAsia="Arial" w:hAnsi="Arial"/>
                <w:sz w:val="23"/>
                <w:szCs w:val="23"/>
                <w:i w:val="1"/>
                <w:iCs w:val="1"/>
                <w:color w:val="auto"/>
                <w:vertAlign w:val="superscript"/>
              </w:rPr>
              <w:t>(2)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115,613</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139,826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87,824</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343,263</w:t>
            </w:r>
          </w:p>
        </w:tc>
      </w:tr>
      <w:tr>
        <w:trPr>
          <w:trHeight w:val="304"/>
        </w:trPr>
        <w:tc>
          <w:tcPr>
            <w:tcW w:w="5940" w:type="dxa"/>
            <w:vAlign w:val="bottom"/>
          </w:tcPr>
          <w:p>
            <w:pPr>
              <w:ind w:left="140"/>
              <w:spacing w:after="0"/>
              <w:rPr>
                <w:sz w:val="20"/>
                <w:szCs w:val="20"/>
                <w:color w:val="auto"/>
              </w:rPr>
            </w:pPr>
            <w:r>
              <w:rPr>
                <w:rFonts w:ascii="Arial" w:cs="Arial" w:eastAsia="Arial" w:hAnsi="Arial"/>
                <w:sz w:val="18"/>
                <w:szCs w:val="18"/>
                <w:color w:val="auto"/>
              </w:rPr>
              <w:t>Capital expenditures</w:t>
            </w:r>
            <w:r>
              <w:rPr>
                <w:rFonts w:ascii="Arial" w:cs="Arial" w:eastAsia="Arial" w:hAnsi="Arial"/>
                <w:sz w:val="23"/>
                <w:szCs w:val="23"/>
                <w:i w:val="1"/>
                <w:iCs w:val="1"/>
                <w:color w:val="auto"/>
                <w:vertAlign w:val="superscript"/>
              </w:rPr>
              <w:t>(1)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29,911</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828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5,211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35,950</w:t>
            </w:r>
          </w:p>
        </w:tc>
      </w:tr>
    </w:tbl>
    <w:p>
      <w:pPr>
        <w:spacing w:after="0" w:line="158" w:lineRule="exact"/>
        <w:rPr>
          <w:sz w:val="20"/>
          <w:szCs w:val="20"/>
          <w:color w:val="auto"/>
        </w:rPr>
      </w:pPr>
    </w:p>
    <w:p>
      <w:pPr>
        <w:ind w:left="900" w:hanging="568"/>
        <w:spacing w:after="0"/>
        <w:tabs>
          <w:tab w:leader="none" w:pos="900" w:val="left"/>
        </w:tabs>
        <w:numPr>
          <w:ilvl w:val="0"/>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Capital expenditures includes purchases of PPE and capitalized internal-use software.</w:t>
      </w:r>
    </w:p>
    <w:p>
      <w:pPr>
        <w:spacing w:after="0" w:line="113" w:lineRule="exact"/>
        <w:rPr>
          <w:rFonts w:ascii="Arial" w:cs="Arial" w:eastAsia="Arial" w:hAnsi="Arial"/>
          <w:sz w:val="16"/>
          <w:szCs w:val="16"/>
          <w:i w:val="1"/>
          <w:iCs w:val="1"/>
          <w:color w:val="auto"/>
        </w:rPr>
      </w:pPr>
    </w:p>
    <w:p>
      <w:pPr>
        <w:jc w:val="both"/>
        <w:ind w:left="900" w:hanging="568"/>
        <w:spacing w:after="0" w:line="262" w:lineRule="auto"/>
        <w:tabs>
          <w:tab w:leader="none" w:pos="900" w:val="left"/>
        </w:tabs>
        <w:numPr>
          <w:ilvl w:val="0"/>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Asset impairments incurred during the three and nine months ended May 31, 2022 were $49.0 million ($44.6 million in the Americas, $4.1 in EMEA and $0.3 in Asia Pacific) and $63.0 million ($58.5 million in the Americas, $4.2 in EMEA and $0.3 in Asia Pacific), respectively. This impairment primarily related to vacating certain leased office space resulting in an impairment to our lease ROU assets and associated PPE. Refer to Note 4, Fair Value Measures and Note 10, Leases for more information on the impairment.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220" w:type="dxa"/>
            <w:vAlign w:val="bottom"/>
          </w:tcPr>
          <w:p>
            <w:pPr>
              <w:spacing w:after="0"/>
              <w:rPr>
                <w:sz w:val="20"/>
                <w:szCs w:val="20"/>
                <w:color w:val="auto"/>
              </w:rPr>
            </w:pPr>
            <w:r>
              <w:rPr>
                <w:rFonts w:ascii="Arial" w:cs="Arial" w:eastAsia="Arial" w:hAnsi="Arial"/>
                <w:sz w:val="16"/>
                <w:szCs w:val="16"/>
                <w:b w:val="1"/>
                <w:bCs w:val="1"/>
                <w:i w:val="1"/>
                <w:iCs w:val="1"/>
                <w:color w:val="auto"/>
              </w:rPr>
              <w:t>Segment Total Assets</w:t>
            </w: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398"/>
        </w:trPr>
        <w:tc>
          <w:tcPr>
            <w:tcW w:w="7220" w:type="dxa"/>
            <w:vAlign w:val="bottom"/>
          </w:tcPr>
          <w:p>
            <w:pPr>
              <w:spacing w:after="0"/>
              <w:rPr>
                <w:sz w:val="20"/>
                <w:szCs w:val="20"/>
                <w:color w:val="auto"/>
              </w:rPr>
            </w:pPr>
            <w:r>
              <w:rPr>
                <w:rFonts w:ascii="Arial" w:cs="Arial" w:eastAsia="Arial" w:hAnsi="Arial"/>
                <w:sz w:val="18"/>
                <w:szCs w:val="18"/>
                <w:color w:val="auto"/>
              </w:rPr>
              <w:t>The following table reflects the total assets for our segments:</w:t>
            </w: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56"/>
        </w:trPr>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May 31, 2023</w:t>
            </w:r>
          </w:p>
        </w:tc>
        <w:tc>
          <w:tcPr>
            <w:tcW w:w="30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August 31, 2022</w:t>
            </w:r>
          </w:p>
        </w:tc>
      </w:tr>
      <w:tr>
        <w:trPr>
          <w:trHeight w:val="223"/>
        </w:trPr>
        <w:tc>
          <w:tcPr>
            <w:tcW w:w="7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Assets</w:t>
            </w: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7"/>
        </w:trPr>
        <w:tc>
          <w:tcPr>
            <w:tcW w:w="7220" w:type="dxa"/>
            <w:vAlign w:val="bottom"/>
          </w:tcPr>
          <w:p>
            <w:pPr>
              <w:ind w:left="40"/>
              <w:spacing w:after="0"/>
              <w:rPr>
                <w:sz w:val="20"/>
                <w:szCs w:val="20"/>
                <w:color w:val="auto"/>
              </w:rPr>
            </w:pPr>
            <w:r>
              <w:rPr>
                <w:rFonts w:ascii="Arial" w:cs="Arial" w:eastAsia="Arial" w:hAnsi="Arial"/>
                <w:sz w:val="18"/>
                <w:szCs w:val="18"/>
                <w:color w:val="auto"/>
              </w:rPr>
              <w:t>Americas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3,112,136</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3,191,313</w:t>
            </w:r>
          </w:p>
        </w:tc>
      </w:tr>
      <w:tr>
        <w:trPr>
          <w:trHeight w:val="236"/>
        </w:trPr>
        <w:tc>
          <w:tcPr>
            <w:tcW w:w="7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EMEA</w:t>
            </w:r>
          </w:p>
        </w:tc>
        <w:tc>
          <w:tcPr>
            <w:tcW w:w="30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628,617</w:t>
            </w:r>
          </w:p>
        </w:tc>
        <w:tc>
          <w:tcPr>
            <w:tcW w:w="30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580,450</w:t>
            </w:r>
          </w:p>
        </w:tc>
      </w:tr>
      <w:tr>
        <w:trPr>
          <w:trHeight w:val="229"/>
        </w:trPr>
        <w:tc>
          <w:tcPr>
            <w:tcW w:w="7220" w:type="dxa"/>
            <w:vAlign w:val="bottom"/>
          </w:tcPr>
          <w:p>
            <w:pPr>
              <w:ind w:left="40"/>
              <w:spacing w:after="0"/>
              <w:rPr>
                <w:sz w:val="20"/>
                <w:szCs w:val="20"/>
                <w:color w:val="auto"/>
              </w:rPr>
            </w:pPr>
            <w:r>
              <w:rPr>
                <w:rFonts w:ascii="Arial" w:cs="Arial" w:eastAsia="Arial" w:hAnsi="Arial"/>
                <w:sz w:val="18"/>
                <w:szCs w:val="18"/>
                <w:color w:val="auto"/>
              </w:rPr>
              <w:t>Asia Pacific</w:t>
            </w: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257,157</w:t>
            </w: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242,542</w:t>
            </w:r>
          </w:p>
        </w:tc>
      </w:tr>
      <w:tr>
        <w:trPr>
          <w:trHeight w:val="237"/>
        </w:trPr>
        <w:tc>
          <w:tcPr>
            <w:tcW w:w="72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assets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3,997,910</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4,014,305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600"/>
        <w:spacing w:after="0" w:line="282" w:lineRule="auto"/>
        <w:rPr>
          <w:sz w:val="20"/>
          <w:szCs w:val="20"/>
          <w:color w:val="auto"/>
        </w:rPr>
      </w:pPr>
      <w:r>
        <w:rPr>
          <w:rFonts w:ascii="Arial" w:cs="Arial" w:eastAsia="Arial" w:hAnsi="Arial"/>
          <w:sz w:val="25"/>
          <w:szCs w:val="25"/>
          <w:b w:val="1"/>
          <w:bCs w:val="1"/>
          <w:color w:val="auto"/>
        </w:rPr>
        <w:t>ITEM 2. MANAGEMENT’S DISCUSSION AND ANALYSIS OF FINANCIAL CONDITION AND RESULTS OF OPERATIONS</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This Management’s Discussion and Analysis of Financial Condition and Results of Operations ("MD&amp;A") should be read in conjunction with the Consolidated Financial Statements and related Notes included in this Quarterly Report on Form 10-Q, our Annual Report on Form 10-K for the fiscal year ended August 31, 2022, our Current Reports on Form 8-K and our other filings with the Securities and Exchange Commission. This discussion contains forward-looking statements that involve risks and uncertainties. Our actual results could differ materially from those discussed below. Factors that could cause such differences include, but are not limited to, those identified below and those discussed in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Annual Report on Form 10-K for the year ended August 31, 2022.</w:t>
      </w:r>
    </w:p>
    <w:p>
      <w:pPr>
        <w:spacing w:after="0" w:line="1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MD&amp;A is designed to provide a reader of our financial statements with a narrative from the perspective of our management on our financial condition, results of operations, liquidity and certain other factors that may affect our future results. Our MD&amp;A is presented in the following sections:</w:t>
      </w:r>
    </w:p>
    <w:p>
      <w:pPr>
        <w:spacing w:after="0" w:line="119" w:lineRule="exact"/>
        <w:rPr>
          <w:sz w:val="20"/>
          <w:szCs w:val="20"/>
          <w:color w:val="auto"/>
        </w:rPr>
      </w:pPr>
    </w:p>
    <w:p>
      <w:pPr>
        <w:ind w:left="1620" w:hanging="316"/>
        <w:spacing w:after="0"/>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Executive Overview</w:t>
      </w:r>
    </w:p>
    <w:p>
      <w:pPr>
        <w:spacing w:after="0" w:line="23" w:lineRule="exact"/>
        <w:rPr>
          <w:rFonts w:ascii="Arial" w:cs="Arial" w:eastAsia="Arial" w:hAnsi="Arial"/>
          <w:sz w:val="18"/>
          <w:szCs w:val="18"/>
          <w:color w:val="auto"/>
        </w:rPr>
      </w:pPr>
    </w:p>
    <w:p>
      <w:pPr>
        <w:ind w:left="1620" w:hanging="316"/>
        <w:spacing w:after="0"/>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Annual Subscription Value ("ASV")</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Client and User Additions</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Employee Headcount</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Non-GAAP Financial Measures</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Foreign Currency Exposure</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Critical Accounting Estimates</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New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Overview</w:t>
      </w:r>
    </w:p>
    <w:p>
      <w:pPr>
        <w:spacing w:after="0" w:line="1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FactSet Research Systems Inc. and its wholly-owned subsidiaries (collectively, "we," "our," "us," the "Company" or "FactSet") is a global financial digital platform and enterprise solutions provider with open and flexible solutions that drive the investment community to see more, think bigger and do its best work. Our strategy is to build the leading open content and analytics platform that delivers a differentiated advantage for our clients’ success.</w:t>
      </w:r>
    </w:p>
    <w:p>
      <w:pPr>
        <w:spacing w:after="0" w:line="89"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Fiscal 2023 marks the 45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year our platform has delivered expansive data, sophisticated analytics, and flexible technology used by global financial professionals to power their critical investment workflows. As of May 31, 2023, we had 7,770 clients comprised of 187,845 investment professionals, including asset managers, bankers, wealth managers, asset owners, partners, hedge funds, corporate users, and private equity and venture capital professionals. Our on- and off-platform solutions span the investment lifecycle including investment research, portfolio construction and analysis, trade execution, performance measurement, risk management and reporting. Our revenues are primarily derived from subscriptions to our multi-asset class data and solutions powered by our connected content, referred to as our "content refinery." Our products and services include workstations, portfolio analytics and enterprise solutions.</w:t>
      </w:r>
    </w:p>
    <w:p>
      <w:pPr>
        <w:spacing w:after="0" w:line="16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provide financial data and market intelligence on securities, companies, industries and people to enable our clients to research investment ideas, as well as to analyze, monitor and manage their portfolios. We combine dedicated client service with open and flexible technology offerings, including a configurable desktop and mobile platform, comprehensive data feeds, cloud-based digital solutions and application programming interfaces ("APIs"). Our CUSIP Global Services ("CGS") business supports security master files relied on by the investment industry for critical front, middle and back office functions.</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drive our business based on our detailed understanding of our clients’ workflows, which helps us to solve their most complex challenges. We provide them with an open digital platform, connected and reliable data, next-generation workflow solutions and highly committed service specialists.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We operate our business through three segments: the Americas, EMEA and Asia Pacific. Refer to Note 16, </w:t>
      </w:r>
      <w:r>
        <w:rPr>
          <w:rFonts w:ascii="Arial" w:cs="Arial" w:eastAsia="Arial" w:hAnsi="Arial"/>
          <w:sz w:val="17"/>
          <w:szCs w:val="17"/>
          <w:i w:val="1"/>
          <w:iCs w:val="1"/>
          <w:color w:val="auto"/>
        </w:rPr>
        <w:t>Segment Information,</w:t>
      </w:r>
      <w:r>
        <w:rPr>
          <w:rFonts w:ascii="Arial" w:cs="Arial" w:eastAsia="Arial" w:hAnsi="Arial"/>
          <w:sz w:val="17"/>
          <w:szCs w:val="17"/>
          <w:color w:val="auto"/>
        </w:rPr>
        <w:t xml:space="preserve"> in the Notes of this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Quarterly Report on Form 10-Q for further discussion. For each of our segments, we execute our strategy through our three workflow solutions: Research</w:t>
      </w:r>
    </w:p>
    <w:p>
      <w:pPr>
        <w:spacing w:after="0" w:line="32" w:lineRule="exact"/>
        <w:rPr>
          <w:sz w:val="20"/>
          <w:szCs w:val="20"/>
          <w:color w:val="auto"/>
        </w:rPr>
      </w:pPr>
    </w:p>
    <w:p>
      <w:pPr>
        <w:ind w:left="5540" w:right="5360" w:hanging="5532"/>
        <w:spacing w:after="0" w:line="642" w:lineRule="auto"/>
        <w:tabs>
          <w:tab w:leader="none" w:pos="189"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Advisory; Analytics &amp; Trading; and Content &amp; Technology Solutions ("CTS").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368935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0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As the needs of our clients evolve, they seek personalized and connected data, tools for multi-asset class investing and increased efficiencies. Clients are also seeking cloud-based solutions, open and flexible systems and increased efficiencies to support their digital transformations.</w:t>
      </w:r>
    </w:p>
    <w:p>
      <w:pPr>
        <w:spacing w:after="0" w:line="10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strategy is to build the leading open content and analytics platform to deliver differentiated advantages for our clients’ success. To execute this strategy, we plan on:</w:t>
      </w:r>
    </w:p>
    <w:p>
      <w:pPr>
        <w:spacing w:after="0" w:line="126" w:lineRule="exact"/>
        <w:rPr>
          <w:sz w:val="20"/>
          <w:szCs w:val="20"/>
          <w:color w:val="auto"/>
        </w:rPr>
      </w:pPr>
    </w:p>
    <w:p>
      <w:pPr>
        <w:jc w:val="both"/>
        <w:ind w:left="660" w:hanging="328"/>
        <w:spacing w:after="0" w:line="274"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b w:val="1"/>
          <w:bCs w:val="1"/>
          <w:color w:val="auto"/>
        </w:rPr>
        <w:t>Growing our digital platform</w:t>
      </w:r>
      <w:r>
        <w:rPr>
          <w:rFonts w:ascii="Arial" w:cs="Arial" w:eastAsia="Arial" w:hAnsi="Arial"/>
          <w:sz w:val="17"/>
          <w:szCs w:val="17"/>
          <w:color w:val="auto"/>
        </w:rPr>
        <w:t>: We are scaling up our content refinery to offer a comprehensive and connected inventory of industry, proprietary</w:t>
      </w:r>
      <w:r>
        <w:rPr>
          <w:rFonts w:ascii="Arial" w:cs="Arial" w:eastAsia="Arial" w:hAnsi="Arial"/>
          <w:sz w:val="17"/>
          <w:szCs w:val="17"/>
          <w:b w:val="1"/>
          <w:bCs w:val="1"/>
          <w:color w:val="auto"/>
        </w:rPr>
        <w:t xml:space="preserve"> </w:t>
      </w:r>
      <w:r>
        <w:rPr>
          <w:rFonts w:ascii="Arial" w:cs="Arial" w:eastAsia="Arial" w:hAnsi="Arial"/>
          <w:sz w:val="17"/>
          <w:szCs w:val="17"/>
          <w:color w:val="auto"/>
        </w:rPr>
        <w:t>and third-party data for the financial community. This includes granular data for key industry verticals, private companies, wealth management, real-time data and sustainable finance. We are driving personalized workflow solutions for financial professionals, including asset managers, bankers, wealth managers, asset owners, partners, hedge funds, corporate users, and private equity and venture capital professionals. Our goal is to offer an open ecosystem of cloud-based data and analytics, providing solutions and content that is accessible and flexible through many delivery methods, enabling our clients to more efficiently manage their workflows.</w:t>
      </w:r>
    </w:p>
    <w:p>
      <w:pPr>
        <w:spacing w:after="0" w:line="146" w:lineRule="exact"/>
        <w:rPr>
          <w:rFonts w:ascii="Arial" w:cs="Arial" w:eastAsia="Arial" w:hAnsi="Arial"/>
          <w:sz w:val="17"/>
          <w:szCs w:val="17"/>
          <w:color w:val="auto"/>
        </w:rPr>
      </w:pPr>
    </w:p>
    <w:p>
      <w:pPr>
        <w:jc w:val="both"/>
        <w:ind w:left="660" w:hanging="328"/>
        <w:spacing w:after="0" w:line="255"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Delivering execution excellence</w:t>
      </w:r>
      <w:r>
        <w:rPr>
          <w:rFonts w:ascii="Arial" w:cs="Arial" w:eastAsia="Arial" w:hAnsi="Arial"/>
          <w:sz w:val="18"/>
          <w:szCs w:val="18"/>
          <w:color w:val="auto"/>
        </w:rPr>
        <w:t>: We strive to be innovative and collaborative across our organization to remain responsive, flexible and agile.</w:t>
      </w:r>
      <w:r>
        <w:rPr>
          <w:rFonts w:ascii="Arial" w:cs="Arial" w:eastAsia="Arial" w:hAnsi="Arial"/>
          <w:sz w:val="18"/>
          <w:szCs w:val="18"/>
          <w:b w:val="1"/>
          <w:bCs w:val="1"/>
          <w:color w:val="auto"/>
        </w:rPr>
        <w:t xml:space="preserve"> </w:t>
      </w:r>
      <w:r>
        <w:rPr>
          <w:rFonts w:ascii="Arial" w:cs="Arial" w:eastAsia="Arial" w:hAnsi="Arial"/>
          <w:sz w:val="18"/>
          <w:szCs w:val="18"/>
          <w:color w:val="auto"/>
        </w:rPr>
        <w:t>Our open ecosystem provides a digital foundation that powers client personalization and efficiency, firm-type product development and core process automation. We employ technology to accelerate content collection for industry and proprietary data and the concordance of third-party data. Additionally, our sales force is improving price realization by focusing on productivity, efficiency and improved client outcomes. We are also optimizing our operations and managing our expenses to improve returns on our investments in people and product. Finally, we are committed to promoting a modern work environment that preserves the benefit of flexibility while retaining talent, fostering creativity, innovation, and collaboration, and enabling mentorship.</w:t>
      </w:r>
    </w:p>
    <w:p>
      <w:pPr>
        <w:spacing w:after="0" w:line="148" w:lineRule="exact"/>
        <w:rPr>
          <w:rFonts w:ascii="Arial" w:cs="Arial" w:eastAsia="Arial" w:hAnsi="Arial"/>
          <w:sz w:val="18"/>
          <w:szCs w:val="18"/>
          <w:color w:val="auto"/>
        </w:rPr>
      </w:pPr>
    </w:p>
    <w:p>
      <w:pPr>
        <w:jc w:val="both"/>
        <w:ind w:left="660" w:hanging="328"/>
        <w:spacing w:after="0" w:line="289"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b w:val="1"/>
          <w:bCs w:val="1"/>
          <w:color w:val="auto"/>
        </w:rPr>
        <w:t>Driving a growth mindset</w:t>
      </w:r>
      <w:r>
        <w:rPr>
          <w:rFonts w:ascii="Arial" w:cs="Arial" w:eastAsia="Arial" w:hAnsi="Arial"/>
          <w:sz w:val="17"/>
          <w:szCs w:val="17"/>
          <w:color w:val="auto"/>
        </w:rPr>
        <w:t>: To drive sustainable growth, we are recruiting, training and empowering a diverse and operationally efficient</w:t>
      </w:r>
      <w:r>
        <w:rPr>
          <w:rFonts w:ascii="Arial" w:cs="Arial" w:eastAsia="Arial" w:hAnsi="Arial"/>
          <w:sz w:val="17"/>
          <w:szCs w:val="17"/>
          <w:b w:val="1"/>
          <w:bCs w:val="1"/>
          <w:color w:val="auto"/>
        </w:rPr>
        <w:t xml:space="preserve"> </w:t>
      </w:r>
      <w:r>
        <w:rPr>
          <w:rFonts w:ascii="Arial" w:cs="Arial" w:eastAsia="Arial" w:hAnsi="Arial"/>
          <w:sz w:val="17"/>
          <w:szCs w:val="17"/>
          <w:color w:val="auto"/>
        </w:rPr>
        <w:t>workforce. As a performance-based culture, we are committed to investing for growth and cultivating talent that can create leading technological solutions and efficiently execute our strategy. We use partnerships and acquisitions to accelerate our growth in strategic areas.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strategy centers on a relentless focus on our clients and their FactSet experience. We aim to be a trusted partner and service provider, offering personalized digital products powered by cognitive computing to research ideas and uncover relevant insights. Additionally, we continually evaluate business opportunities such as partnerships and acquisitions to increase our capabilities and competitive differentiation.</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focused on growing our global business through three segments: the Americas, EMEA and Asia Pacific. We believe this geographic strategic alignment helps us better manage our resources, target our solutions and interact with our clients. We further execute on our growth strategy by offering data, products and analytical applications within our three workflow solutions: Research &amp; Advisory; Analytics &amp; Trading; and CTS.</w:t>
      </w:r>
    </w:p>
    <w:p>
      <w:pPr>
        <w:spacing w:after="0" w:line="1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 long-term view of our business and are committed to investing for growth and becoming a more efficient organization. As part of this approach, starting September 1, 2023, the beginning of our fiscal 2024 year, we are reorganizing our workflow solutions to better align our operations with those of our clients:</w:t>
      </w:r>
    </w:p>
    <w:p>
      <w:pPr>
        <w:spacing w:after="0" w:line="143" w:lineRule="exact"/>
        <w:rPr>
          <w:sz w:val="20"/>
          <w:szCs w:val="20"/>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Analytics &amp; Trading will become our Institutional Buy-Side organization, focusing on asset managers, asset owners, and hedge fund workflows; and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Research &amp; Advisory will become:</w:t>
      </w:r>
    </w:p>
    <w:p>
      <w:pPr>
        <w:spacing w:after="0" w:line="184" w:lineRule="exact"/>
        <w:rPr>
          <w:rFonts w:ascii="Arial" w:cs="Arial" w:eastAsia="Arial" w:hAnsi="Arial"/>
          <w:sz w:val="18"/>
          <w:szCs w:val="18"/>
          <w:color w:val="auto"/>
        </w:rPr>
      </w:pPr>
    </w:p>
    <w:p>
      <w:pPr>
        <w:ind w:left="1300" w:hanging="320"/>
        <w:spacing w:after="0"/>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Dealmakers, focusing on banking and sell-side research, corporate, and private equity and venture capital workflows; and</w:t>
      </w:r>
    </w:p>
    <w:p>
      <w:pPr>
        <w:spacing w:after="0" w:line="184" w:lineRule="exact"/>
        <w:rPr>
          <w:rFonts w:ascii="Arial" w:cs="Arial" w:eastAsia="Arial" w:hAnsi="Arial"/>
          <w:sz w:val="18"/>
          <w:szCs w:val="18"/>
          <w:color w:val="auto"/>
        </w:rPr>
      </w:pPr>
    </w:p>
    <w:p>
      <w:pPr>
        <w:ind w:left="1300" w:hanging="320"/>
        <w:spacing w:after="0"/>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Wealth, focusing on wealth management workflows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during the third quarter of fiscal 2023, we combined our Content and CTS groups to create one Data Solutions organization. This will create end-to-end management of our data, from collection and acquisition, to client delivery. CGS operates as part of our CTS workflow solution which is included within the newly formed Data Solutions organization.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This realignment is not expected to impact our segment reporting for the fiscal 2024 year.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2023 Third Quarter in Review</w:t>
      </w:r>
    </w:p>
    <w:p>
      <w:pPr>
        <w:spacing w:after="0" w:line="18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Revenues in the third quarter of fiscal 2023 were $529.8 million, an increase of 8.4% from the prior year comparable period. Revenues increased in all our segments, primarily in the Americas and, to a lesser extent, EMEA and Asia Pacific. The increased revenues were supported by higher sales in all three of our workflow solutions, Analytics &amp; Trading, CTS and Research &amp; Advisory, when compared with the prior year. Organic revenues contributed to 8.5% of our growth during the third quarter of fiscal 2023, compared with the prior year period. Refer to Part I, Item 2. </w:t>
      </w:r>
      <w:r>
        <w:rPr>
          <w:rFonts w:ascii="Arial" w:cs="Arial" w:eastAsia="Arial" w:hAnsi="Arial"/>
          <w:sz w:val="17"/>
          <w:szCs w:val="17"/>
          <w:i w:val="1"/>
          <w:iCs w:val="1"/>
          <w:color w:val="auto"/>
        </w:rPr>
        <w:t>Non-GAAP Financial Measures</w:t>
      </w:r>
      <w:r>
        <w:rPr>
          <w:rFonts w:ascii="Arial" w:cs="Arial" w:eastAsia="Arial" w:hAnsi="Arial"/>
          <w:sz w:val="17"/>
          <w:szCs w:val="17"/>
          <w:color w:val="auto"/>
        </w:rPr>
        <w:t xml:space="preserve"> in the MD&amp;A of this Quarterly Report on Form 10-Q for a reconciliation between revenues and organic revenues.</w:t>
      </w:r>
    </w:p>
    <w:p>
      <w:pPr>
        <w:spacing w:after="0" w:line="1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As of May 31, 2023, organic annual subscription value ("Organic ASV") plus Professional Services totaled $2.1 billion, an increase of 8.0% over May 31, 2022. Organic ASV increased in all our segments, with the majority of the increase related to the Americas and, to a lesser extent, EMEA and Asia Pacific, supported by increases in our workflow solutions, primarily in Analytics &amp; Trading, followed by Research &amp; Advisory and CTS. Refer to Part I, Item 2 </w:t>
      </w:r>
      <w:r>
        <w:rPr>
          <w:rFonts w:ascii="Arial" w:cs="Arial" w:eastAsia="Arial" w:hAnsi="Arial"/>
          <w:sz w:val="18"/>
          <w:szCs w:val="18"/>
          <w:i w:val="1"/>
          <w:iCs w:val="1"/>
          <w:color w:val="auto"/>
        </w:rPr>
        <w:t xml:space="preserve">Annual Subscription Value </w:t>
      </w:r>
      <w:r>
        <w:rPr>
          <w:rFonts w:ascii="Arial" w:cs="Arial" w:eastAsia="Arial" w:hAnsi="Arial"/>
          <w:sz w:val="18"/>
          <w:szCs w:val="18"/>
          <w:color w:val="auto"/>
        </w:rPr>
        <w:t>in the MD&amp;A of this Quarterly Report on Form 10-Q for the definitions of Organic ASV and Organic ASV plus Professional</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w:t>
      </w:r>
    </w:p>
    <w:p>
      <w:pPr>
        <w:spacing w:after="0" w:line="16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Operating margin increased to 32.5% during the three months ended May 31, 2023, compared with 19.9% in the prior year period. This increase was mainly due to growth in revenues and, when expressed as a percentage of revenue, asset impairment charges incurred during the prior year period and decreases in professional fees and data costs, partially offset by higher computer-related expenses, bad debt expense and employee compensation costs. Diluted earnings per share ("EPS") for the three months ended May 31, 2023 was $3.46, an increase of 79.3%, compared with the prior year period.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Global Services Acquisition</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December 24, 2021, we entered into a definitive agreement to acquire CGS for $1.932 billion in cash, inclusive of working capital adjustments. The acquisition was completed on March 1, 2022. We believe that the CGS acquisition will significantly expand our critical role in the global capital markets. Revenues from CGS are recognized based on geographic business activities in accordance with how our operating segments are currently aligned. CGS operates as part of our CTS workflow solution which is included within the newly formed Data Solutions organization.</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purchase price for the CGS acquisition was financed from the net proceeds of the issuance of the Senior Notes and borrowings under the 2022 Credit Facilities. Refer to Note 6,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and Note 11, </w:t>
      </w:r>
      <w:r>
        <w:rPr>
          <w:rFonts w:ascii="Arial" w:cs="Arial" w:eastAsia="Arial" w:hAnsi="Arial"/>
          <w:sz w:val="18"/>
          <w:szCs w:val="18"/>
          <w:i w:val="1"/>
          <w:iCs w:val="1"/>
          <w:color w:val="auto"/>
        </w:rPr>
        <w:t>Debt</w:t>
      </w:r>
      <w:r>
        <w:rPr>
          <w:rFonts w:ascii="Arial" w:cs="Arial" w:eastAsia="Arial" w:hAnsi="Arial"/>
          <w:sz w:val="18"/>
          <w:szCs w:val="18"/>
          <w:color w:val="auto"/>
        </w:rPr>
        <w:t xml:space="preserve"> in the Notes of this Quarterly Report on Form 10-Q for more information on our acquisition of CGS, and our defined terms of Senior Notes and the 2022 Credit Facilities,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18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response to the COVID-19 pandemic, we implemented a business continuity plan to respond quickly and provide ongoing guidance so that we could continue offering our clients uninterrupted products, services and support while also protecting our employees. We believe these actions have been successful and that the pandemic, and our responses, have not significantly affected our financial results for the three and nine months ended May 31, 2023.</w:t>
      </w:r>
    </w:p>
    <w:p>
      <w:pPr>
        <w:spacing w:after="0" w:line="12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Refer to Part I, Item 1. </w:t>
      </w:r>
      <w:r>
        <w:rPr>
          <w:rFonts w:ascii="Arial" w:cs="Arial" w:eastAsia="Arial" w:hAnsi="Arial"/>
          <w:sz w:val="17"/>
          <w:szCs w:val="17"/>
          <w:i w:val="1"/>
          <w:iCs w:val="1"/>
          <w:color w:val="auto"/>
        </w:rPr>
        <w:t>Business, Human Capital Management, How We Work</w:t>
      </w:r>
      <w:r>
        <w:rPr>
          <w:rFonts w:ascii="Arial" w:cs="Arial" w:eastAsia="Arial" w:hAnsi="Arial"/>
          <w:sz w:val="17"/>
          <w:szCs w:val="17"/>
          <w:color w:val="auto"/>
        </w:rPr>
        <w:t xml:space="preserve"> and Item 1A. </w:t>
      </w:r>
      <w:r>
        <w:rPr>
          <w:rFonts w:ascii="Arial" w:cs="Arial" w:eastAsia="Arial" w:hAnsi="Arial"/>
          <w:sz w:val="17"/>
          <w:szCs w:val="17"/>
          <w:i w:val="1"/>
          <w:iCs w:val="1"/>
          <w:color w:val="auto"/>
        </w:rPr>
        <w:t>Risk Factors, Operational Risks</w:t>
      </w:r>
      <w:r>
        <w:rPr>
          <w:rFonts w:ascii="Arial" w:cs="Arial" w:eastAsia="Arial" w:hAnsi="Arial"/>
          <w:sz w:val="17"/>
          <w:szCs w:val="17"/>
          <w:color w:val="auto"/>
        </w:rPr>
        <w:t xml:space="preserve"> of our Annual Report on Form 10-K for the fiscal year ended August 31, 2022 for further discussion of the potential impact of the COVID-19 pandemic on our business.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Ukraine/Russia Conflict</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the military conflict between Russia and Ukraine is ongoing, we continue to monitor the potential impact on our business, our people and our clients. We have taken all necessary steps to ensure compliance with all applicable regulatory restrictions on international trade and financial transactions. In Russia, we have discontinued all commercial operations and delivery of products and services to clients; have terminated all contracts with vendors; and have suspended all new business, trials and prospecting activities. Total revenues associated with clients in Russia were not material to our consolidated financial results, and termination of Russian vendors has not had a material impact on our business or client relationships. We continue to monitor the regional and global ramifications of the events in this area.</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Annual Subscription Value ("ASV")</w:t>
      </w:r>
    </w:p>
    <w:p>
      <w:pPr>
        <w:spacing w:after="0" w:line="26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believe ASV reflects our ability to grow recurring revenues and generate positive cash flow, and is a key indicator of the successful execution of our business strategy.</w:t>
      </w:r>
    </w:p>
    <w:p>
      <w:pPr>
        <w:spacing w:after="0" w:line="197" w:lineRule="exact"/>
        <w:rPr>
          <w:sz w:val="20"/>
          <w:szCs w:val="20"/>
          <w:color w:val="auto"/>
        </w:rPr>
      </w:pPr>
    </w:p>
    <w:p>
      <w:pPr>
        <w:ind w:left="660" w:hanging="324"/>
        <w:spacing w:after="0" w:line="258" w:lineRule="auto"/>
        <w:rPr>
          <w:sz w:val="20"/>
          <w:szCs w:val="20"/>
          <w:color w:val="auto"/>
        </w:rPr>
      </w:pPr>
      <w:r>
        <w:rPr>
          <w:rFonts w:ascii="Arial" w:cs="Arial" w:eastAsia="Arial" w:hAnsi="Arial"/>
          <w:sz w:val="18"/>
          <w:szCs w:val="18"/>
          <w:color w:val="auto"/>
        </w:rPr>
        <w:t>– "ASV" at any point in time represents our forward-looking revenues for the next 12 months from all subscription services currently being supplied to clients, excluding revenues from Professional Services.</w:t>
      </w:r>
    </w:p>
    <w:p>
      <w:pPr>
        <w:spacing w:after="0" w:line="1" w:lineRule="exact"/>
        <w:rPr>
          <w:sz w:val="20"/>
          <w:szCs w:val="20"/>
          <w:color w:val="auto"/>
        </w:rPr>
      </w:pPr>
    </w:p>
    <w:p>
      <w:pPr>
        <w:ind w:left="660" w:hanging="324"/>
        <w:spacing w:after="0" w:line="250" w:lineRule="auto"/>
        <w:rPr>
          <w:sz w:val="20"/>
          <w:szCs w:val="20"/>
          <w:color w:val="auto"/>
        </w:rPr>
      </w:pPr>
      <w:r>
        <w:rPr>
          <w:rFonts w:ascii="Arial" w:cs="Arial" w:eastAsia="Arial" w:hAnsi="Arial"/>
          <w:sz w:val="18"/>
          <w:szCs w:val="18"/>
          <w:color w:val="auto"/>
        </w:rPr>
        <w:t>– "Organic ASV" at any point in time equals our ASV excluding ASV from acquisitions and dispositions completed within the last 12 months and the effects of foreign currency movements.</w:t>
      </w:r>
    </w:p>
    <w:p>
      <w:pPr>
        <w:ind w:left="340"/>
        <w:spacing w:after="0"/>
        <w:rPr>
          <w:sz w:val="20"/>
          <w:szCs w:val="20"/>
          <w:color w:val="auto"/>
        </w:rPr>
      </w:pPr>
      <w:r>
        <w:rPr>
          <w:rFonts w:ascii="Arial" w:cs="Arial" w:eastAsia="Arial" w:hAnsi="Arial"/>
          <w:sz w:val="18"/>
          <w:szCs w:val="18"/>
          <w:color w:val="auto"/>
        </w:rPr>
        <w:t>–   "Professional Services" are revenues derived from project-based consulting and implementation, annualized over the past 12 months.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"Organic ASV plus Professional Services" at any point in time equals the sum of Organic ASV and Professional Services.</w:t>
      </w:r>
    </w:p>
    <w:p>
      <w:pPr>
        <w:spacing w:after="0" w:line="170" w:lineRule="exact"/>
        <w:rPr>
          <w:sz w:val="20"/>
          <w:szCs w:val="20"/>
          <w:color w:val="auto"/>
        </w:rPr>
      </w:pPr>
    </w:p>
    <w:p>
      <w:pPr>
        <w:ind w:right="2080"/>
        <w:spacing w:after="0" w:line="481" w:lineRule="auto"/>
        <w:rPr>
          <w:sz w:val="20"/>
          <w:szCs w:val="20"/>
          <w:color w:val="auto"/>
        </w:rPr>
      </w:pPr>
      <w:r>
        <w:rPr>
          <w:rFonts w:ascii="Arial" w:cs="Arial" w:eastAsia="Arial" w:hAnsi="Arial"/>
          <w:sz w:val="18"/>
          <w:szCs w:val="18"/>
          <w:color w:val="auto"/>
        </w:rPr>
        <w:t xml:space="preserve">Beginning in the third quarter of fiscal 2023, all prior year ASV now reflects additional CGS revenues not previously included. </w:t>
      </w:r>
      <w:r>
        <w:rPr>
          <w:rFonts w:ascii="Arial" w:cs="Arial" w:eastAsia="Arial" w:hAnsi="Arial"/>
          <w:sz w:val="18"/>
          <w:szCs w:val="18"/>
          <w:b w:val="1"/>
          <w:bCs w:val="1"/>
          <w:color w:val="auto"/>
        </w:rPr>
        <w:t>Organic ASV plus Professional Services</w:t>
      </w:r>
    </w:p>
    <w:p>
      <w:pPr>
        <w:spacing w:after="0" w:line="34" w:lineRule="exact"/>
        <w:rPr>
          <w:sz w:val="20"/>
          <w:szCs w:val="20"/>
          <w:color w:val="auto"/>
        </w:rPr>
      </w:pPr>
    </w:p>
    <w:p>
      <w:pPr>
        <w:spacing w:after="0" w:line="297" w:lineRule="auto"/>
        <w:rPr>
          <w:sz w:val="20"/>
          <w:szCs w:val="20"/>
          <w:color w:val="auto"/>
        </w:rPr>
      </w:pPr>
      <w:r>
        <w:rPr>
          <w:rFonts w:ascii="Arial" w:cs="Arial" w:eastAsia="Arial" w:hAnsi="Arial"/>
          <w:sz w:val="18"/>
          <w:szCs w:val="18"/>
          <w:color w:val="auto"/>
        </w:rPr>
        <w:t>The following table presents the calculation of Organic ASV plus Professional Services as of May 31, 2023. With proper notice provided as contractually required, our clients can add to, delete portions of, or terminate service, subject to certain limitations.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 amounts in millions)</w:t>
            </w:r>
          </w:p>
        </w:tc>
        <w:tc>
          <w:tcPr>
            <w:tcW w:w="3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As of May 31, 2023</w:t>
            </w:r>
          </w:p>
        </w:tc>
      </w:tr>
      <w:tr>
        <w:trPr>
          <w:trHeight w:val="223"/>
        </w:trPr>
        <w:tc>
          <w:tcPr>
            <w:tcW w:w="88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As reported ASV plus Professional Services</w:t>
            </w:r>
            <w:r>
              <w:rPr>
                <w:rFonts w:ascii="Arial" w:cs="Arial" w:eastAsia="Arial" w:hAnsi="Arial"/>
                <w:sz w:val="23"/>
                <w:szCs w:val="23"/>
                <w:i w:val="1"/>
                <w:iCs w:val="1"/>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2,120.1</w:t>
            </w:r>
          </w:p>
        </w:tc>
      </w:tr>
      <w:tr>
        <w:trPr>
          <w:trHeight w:val="243"/>
        </w:trPr>
        <w:tc>
          <w:tcPr>
            <w:tcW w:w="8800" w:type="dxa"/>
            <w:vAlign w:val="bottom"/>
          </w:tcPr>
          <w:p>
            <w:pPr>
              <w:ind w:left="140"/>
              <w:spacing w:after="0" w:line="243" w:lineRule="exact"/>
              <w:rPr>
                <w:sz w:val="20"/>
                <w:szCs w:val="20"/>
                <w:color w:val="auto"/>
              </w:rPr>
            </w:pPr>
            <w:r>
              <w:rPr>
                <w:rFonts w:ascii="Arial" w:cs="Arial" w:eastAsia="Arial" w:hAnsi="Arial"/>
                <w:sz w:val="18"/>
                <w:szCs w:val="18"/>
                <w:color w:val="auto"/>
              </w:rPr>
              <w:t>Currency impact</w:t>
            </w:r>
            <w:r>
              <w:rPr>
                <w:rFonts w:ascii="Arial" w:cs="Arial" w:eastAsia="Arial" w:hAnsi="Arial"/>
                <w:sz w:val="23"/>
                <w:szCs w:val="23"/>
                <w:i w:val="1"/>
                <w:iCs w:val="1"/>
                <w:color w:val="auto"/>
                <w:vertAlign w:val="superscript"/>
              </w:rPr>
              <w:t>(2)</w:t>
            </w:r>
          </w:p>
        </w:tc>
        <w:tc>
          <w:tcPr>
            <w:tcW w:w="320" w:type="dxa"/>
            <w:vAlign w:val="bottom"/>
          </w:tcPr>
          <w:p>
            <w:pPr>
              <w:spacing w:after="0"/>
              <w:rPr>
                <w:sz w:val="21"/>
                <w:szCs w:val="21"/>
                <w:color w:val="auto"/>
              </w:rPr>
            </w:pPr>
          </w:p>
        </w:tc>
        <w:tc>
          <w:tcPr>
            <w:tcW w:w="2120" w:type="dxa"/>
            <w:vAlign w:val="bottom"/>
          </w:tcPr>
          <w:p>
            <w:pPr>
              <w:jc w:val="right"/>
              <w:ind w:right="130"/>
              <w:spacing w:after="0"/>
              <w:rPr>
                <w:sz w:val="20"/>
                <w:szCs w:val="20"/>
                <w:color w:val="auto"/>
              </w:rPr>
            </w:pPr>
            <w:r>
              <w:rPr>
                <w:rFonts w:ascii="Arial" w:cs="Arial" w:eastAsia="Arial" w:hAnsi="Arial"/>
                <w:sz w:val="18"/>
                <w:szCs w:val="18"/>
                <w:color w:val="auto"/>
              </w:rPr>
              <w:t>0.1</w:t>
            </w:r>
          </w:p>
        </w:tc>
      </w:tr>
      <w:tr>
        <w:trPr>
          <w:trHeight w:val="229"/>
        </w:trPr>
        <w:tc>
          <w:tcPr>
            <w:tcW w:w="88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Acquisition ASV</w:t>
            </w:r>
            <w:r>
              <w:rPr>
                <w:rFonts w:ascii="Arial" w:cs="Arial" w:eastAsia="Arial" w:hAnsi="Arial"/>
                <w:sz w:val="23"/>
                <w:szCs w:val="23"/>
                <w:i w:val="1"/>
                <w:iCs w:val="1"/>
                <w:color w:val="auto"/>
                <w:vertAlign w:val="superscript"/>
              </w:rPr>
              <w:t>(3)</w:t>
            </w:r>
          </w:p>
        </w:tc>
        <w:tc>
          <w:tcPr>
            <w:tcW w:w="32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23"/>
        </w:trPr>
        <w:tc>
          <w:tcPr>
            <w:tcW w:w="8800" w:type="dxa"/>
            <w:vAlign w:val="bottom"/>
          </w:tcPr>
          <w:p>
            <w:pPr>
              <w:ind w:left="20"/>
              <w:spacing w:after="0"/>
              <w:rPr>
                <w:sz w:val="20"/>
                <w:szCs w:val="20"/>
                <w:color w:val="auto"/>
              </w:rPr>
            </w:pPr>
            <w:r>
              <w:rPr>
                <w:rFonts w:ascii="Arial" w:cs="Arial" w:eastAsia="Arial" w:hAnsi="Arial"/>
                <w:sz w:val="18"/>
                <w:szCs w:val="18"/>
                <w:color w:val="auto"/>
              </w:rPr>
              <w:t>Organic ASV plus Professional Services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ind w:right="130"/>
              <w:spacing w:after="0"/>
              <w:rPr>
                <w:sz w:val="20"/>
                <w:szCs w:val="20"/>
                <w:color w:val="auto"/>
              </w:rPr>
            </w:pPr>
            <w:r>
              <w:rPr>
                <w:rFonts w:ascii="Arial" w:cs="Arial" w:eastAsia="Arial" w:hAnsi="Arial"/>
                <w:sz w:val="18"/>
                <w:szCs w:val="18"/>
                <w:color w:val="auto"/>
              </w:rPr>
              <w:t>2,120.2</w:t>
            </w:r>
          </w:p>
        </w:tc>
      </w:tr>
      <w:tr>
        <w:trPr>
          <w:trHeight w:val="243"/>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Organic ASV plus Professional Services growth rate</w:t>
            </w:r>
          </w:p>
        </w:tc>
        <w:tc>
          <w:tcPr>
            <w:tcW w:w="320" w:type="dxa"/>
            <w:vAlign w:val="bottom"/>
            <w:shd w:val="clear" w:color="auto" w:fill="CCEEFF"/>
          </w:tcPr>
          <w:p>
            <w:pPr>
              <w:spacing w:after="0"/>
              <w:rPr>
                <w:sz w:val="21"/>
                <w:szCs w:val="21"/>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8.0 %</w:t>
            </w:r>
          </w:p>
        </w:tc>
      </w:tr>
    </w:tbl>
    <w:p>
      <w:pPr>
        <w:spacing w:after="0" w:line="179"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6"/>
          <w:szCs w:val="16"/>
          <w:i w:val="1"/>
          <w:iCs w:val="1"/>
          <w:color w:val="auto"/>
        </w:rPr>
      </w:pPr>
      <w:r>
        <w:rPr>
          <w:rFonts w:ascii="Arial" w:cs="Arial" w:eastAsia="Arial" w:hAnsi="Arial"/>
          <w:sz w:val="16"/>
          <w:szCs w:val="16"/>
          <w:i w:val="1"/>
          <w:iCs w:val="1"/>
          <w:color w:val="auto"/>
        </w:rPr>
        <w:t>Includes $24.3 million in Professional Services.</w:t>
      </w:r>
    </w:p>
    <w:p>
      <w:pPr>
        <w:spacing w:after="0" w:line="126" w:lineRule="exact"/>
        <w:rPr>
          <w:rFonts w:ascii="Arial" w:cs="Arial" w:eastAsia="Arial" w:hAnsi="Arial"/>
          <w:sz w:val="16"/>
          <w:szCs w:val="16"/>
          <w:i w:val="1"/>
          <w:iCs w:val="1"/>
          <w:color w:val="auto"/>
        </w:rPr>
      </w:pPr>
    </w:p>
    <w:p>
      <w:pPr>
        <w:ind w:left="340" w:hanging="332"/>
        <w:spacing w:after="0"/>
        <w:tabs>
          <w:tab w:leader="none" w:pos="340" w:val="left"/>
        </w:tabs>
        <w:numPr>
          <w:ilvl w:val="0"/>
          <w:numId w:val="21"/>
        </w:numPr>
        <w:rPr>
          <w:rFonts w:ascii="Arial" w:cs="Arial" w:eastAsia="Arial" w:hAnsi="Arial"/>
          <w:sz w:val="16"/>
          <w:szCs w:val="16"/>
          <w:i w:val="1"/>
          <w:iCs w:val="1"/>
          <w:color w:val="auto"/>
        </w:rPr>
      </w:pPr>
      <w:r>
        <w:rPr>
          <w:rFonts w:ascii="Arial" w:cs="Arial" w:eastAsia="Arial" w:hAnsi="Arial"/>
          <w:sz w:val="16"/>
          <w:szCs w:val="16"/>
          <w:i w:val="1"/>
          <w:iCs w:val="1"/>
          <w:color w:val="auto"/>
        </w:rPr>
        <w:t>The impact from foreign currency movements.</w:t>
      </w:r>
    </w:p>
    <w:p>
      <w:pPr>
        <w:spacing w:after="0" w:line="113" w:lineRule="exact"/>
        <w:rPr>
          <w:rFonts w:ascii="Arial" w:cs="Arial" w:eastAsia="Arial" w:hAnsi="Arial"/>
          <w:sz w:val="16"/>
          <w:szCs w:val="16"/>
          <w:i w:val="1"/>
          <w:iCs w:val="1"/>
          <w:color w:val="auto"/>
        </w:rPr>
      </w:pPr>
    </w:p>
    <w:p>
      <w:pPr>
        <w:ind w:left="340" w:hanging="332"/>
        <w:spacing w:after="0"/>
        <w:tabs>
          <w:tab w:leader="none" w:pos="340" w:val="left"/>
        </w:tabs>
        <w:numPr>
          <w:ilvl w:val="0"/>
          <w:numId w:val="21"/>
        </w:numPr>
        <w:rPr>
          <w:rFonts w:ascii="Arial" w:cs="Arial" w:eastAsia="Arial" w:hAnsi="Arial"/>
          <w:sz w:val="16"/>
          <w:szCs w:val="16"/>
          <w:i w:val="1"/>
          <w:iCs w:val="1"/>
          <w:color w:val="auto"/>
        </w:rPr>
      </w:pPr>
      <w:r>
        <w:rPr>
          <w:rFonts w:ascii="Arial" w:cs="Arial" w:eastAsia="Arial" w:hAnsi="Arial"/>
          <w:sz w:val="16"/>
          <w:szCs w:val="16"/>
          <w:i w:val="1"/>
          <w:iCs w:val="1"/>
          <w:color w:val="auto"/>
        </w:rPr>
        <w:t>ASV from acquisitions completed within the last 12 months.</w:t>
      </w:r>
    </w:p>
    <w:p>
      <w:pPr>
        <w:spacing w:after="0" w:line="3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May 31, 2023, Organic ASV plus Professional Services was $2.1 billion, an increase of 8.0% compared with May 31, 2022. The increase in Organic ASV was primarily driven by higher sales to existing clients and, to a lesser extent, price increases to existing clients and new client sales, partially offset by existing client cancellations.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Organic ASV increased in all our segments, with the majority of the increase related to the Americas, followed by EMEA and Asia Pacific. This increase was driven by additional sales in our workflow solutions, primarily in Analytics &amp; Trading, followed by Research &amp; Advisory and CTS. Sales increased in Analytics &amp; Trading mainly from our performance &amp; reporting products, portfolio analytics solutions and portfolio &amp; benchmark services. Sales increased in Research &amp; Advisory mainly due to higher demand for our workstations. CTS sales increased mainly from our data management solutions and real time and company data.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ASV</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May 31, 2023, ASV from the Americas represented 64% of total ASV and was $1,344.7 million, an increase from $1,245.2 million as of May 31, 2022. Americas Organic ASV was $1,344.7 million as of May 31, 2023, an 8.0% increase from the prior year period. The Organic ASV increase in the Americas was primarily driven by increased sales from Analytics &amp; Trading, followed by sales from Research &amp; Advisory.</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May 31, 2023, ASV from EMEA represented 26% of total ASV and was $541.3 million, an increase from $504.0 million as of May 31, 2022. EMEA Organic ASV was $540.7 million as of May 31, 2023, a 7.4% increase from the prior year period. The EMEA Organic ASV increase was mainly driven by higher sales from Analytics &amp; Trading and CTS.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May 31, 2023, ASV from Asia Pacific represented 10% of total ASV and was $209.8 million, an increase from $192.0 million as of May 31, 2022. Asia Pacific Organic ASV was $210.5 million as of May 31, 2023, a 10.5% increase from the prior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year period. The Asia Pacific Organic ASV increase was primarily due to increased sales from Research &amp; Advisory and Analytics &amp; Trading.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Buy-side and Sell-side Organic ASV Growth</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buy-side and sell-side Organic ASV growth rates at May 31, 2023, compared with May 31, 2022, were 7.3% and 12.3%, respectively. Buy-side clients account for approximately 82% of our Organic ASV, consistent with the prior year period, and primarily include asset managers, wealth managers, asset owners, partners, hedge funds and corporate firms. The remainder of our Organic ASV is derived from sell-side firms and primarily include broker-dealers, banking and advisory, private equity and venture capital firms.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Client and User Additions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The table below presents our total clients and users:</w:t>
            </w:r>
          </w:p>
        </w:tc>
        <w:tc>
          <w:tcPr>
            <w:tcW w:w="31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7"/>
        </w:trPr>
        <w:tc>
          <w:tcPr>
            <w:tcW w:w="4700" w:type="dxa"/>
            <w:vAlign w:val="bottom"/>
            <w:tcBorders>
              <w:bottom w:val="single" w:sz="8" w:color="auto"/>
            </w:tcBorders>
          </w:tcPr>
          <w:p>
            <w:pPr>
              <w:spacing w:after="0"/>
              <w:rPr>
                <w:sz w:val="22"/>
                <w:szCs w:val="22"/>
                <w:color w:val="auto"/>
              </w:rPr>
            </w:pPr>
          </w:p>
        </w:tc>
        <w:tc>
          <w:tcPr>
            <w:tcW w:w="31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As of May 31, 2023</w:t>
            </w:r>
          </w:p>
        </w:tc>
        <w:tc>
          <w:tcPr>
            <w:tcW w:w="23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As of May 31, 2022</w:t>
            </w: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Change</w:t>
            </w:r>
          </w:p>
        </w:tc>
      </w:tr>
      <w:tr>
        <w:trPr>
          <w:trHeight w:val="223"/>
        </w:trPr>
        <w:tc>
          <w:tcPr>
            <w:tcW w:w="47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Clients</w:t>
            </w:r>
            <w:r>
              <w:rPr>
                <w:rFonts w:ascii="Arial" w:cs="Arial" w:eastAsia="Arial" w:hAnsi="Arial"/>
                <w:sz w:val="23"/>
                <w:szCs w:val="23"/>
                <w:i w:val="1"/>
                <w:iCs w:val="1"/>
                <w:color w:val="auto"/>
                <w:vertAlign w:val="superscript"/>
              </w:rPr>
              <w:t>(1)</w:t>
            </w:r>
          </w:p>
        </w:tc>
        <w:tc>
          <w:tcPr>
            <w:tcW w:w="31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7,770</w:t>
            </w:r>
          </w:p>
        </w:tc>
        <w:tc>
          <w:tcPr>
            <w:tcW w:w="2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7,319</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6.2 %</w:t>
            </w: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Users</w:t>
            </w:r>
          </w:p>
        </w:tc>
        <w:tc>
          <w:tcPr>
            <w:tcW w:w="3100" w:type="dxa"/>
            <w:vAlign w:val="bottom"/>
          </w:tcPr>
          <w:p>
            <w:pPr>
              <w:jc w:val="right"/>
              <w:ind w:right="190"/>
              <w:spacing w:after="0"/>
              <w:rPr>
                <w:sz w:val="20"/>
                <w:szCs w:val="20"/>
                <w:color w:val="auto"/>
              </w:rPr>
            </w:pPr>
            <w:r>
              <w:rPr>
                <w:rFonts w:ascii="Arial" w:cs="Arial" w:eastAsia="Arial" w:hAnsi="Arial"/>
                <w:sz w:val="18"/>
                <w:szCs w:val="18"/>
                <w:color w:val="auto"/>
              </w:rPr>
              <w:t>187,845</w:t>
            </w:r>
          </w:p>
        </w:tc>
        <w:tc>
          <w:tcPr>
            <w:tcW w:w="2320" w:type="dxa"/>
            <w:vAlign w:val="bottom"/>
          </w:tcPr>
          <w:p>
            <w:pPr>
              <w:jc w:val="right"/>
              <w:ind w:right="130"/>
              <w:spacing w:after="0"/>
              <w:rPr>
                <w:sz w:val="20"/>
                <w:szCs w:val="20"/>
                <w:color w:val="auto"/>
              </w:rPr>
            </w:pPr>
            <w:r>
              <w:rPr>
                <w:rFonts w:ascii="Arial" w:cs="Arial" w:eastAsia="Arial" w:hAnsi="Arial"/>
                <w:sz w:val="18"/>
                <w:szCs w:val="18"/>
                <w:color w:val="auto"/>
              </w:rPr>
              <w:t>173,698</w:t>
            </w:r>
          </w:p>
        </w:tc>
        <w:tc>
          <w:tcPr>
            <w:tcW w:w="1120" w:type="dxa"/>
            <w:vAlign w:val="bottom"/>
          </w:tcPr>
          <w:p>
            <w:pPr>
              <w:jc w:val="right"/>
              <w:spacing w:after="0"/>
              <w:rPr>
                <w:sz w:val="20"/>
                <w:szCs w:val="20"/>
                <w:color w:val="auto"/>
              </w:rPr>
            </w:pPr>
            <w:r>
              <w:rPr>
                <w:rFonts w:ascii="Arial" w:cs="Arial" w:eastAsia="Arial" w:hAnsi="Arial"/>
                <w:sz w:val="18"/>
                <w:szCs w:val="18"/>
                <w:color w:val="auto"/>
              </w:rPr>
              <w:t>8.1 %</w:t>
            </w:r>
          </w:p>
        </w:tc>
      </w:tr>
    </w:tbl>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(1) The client count includes clients with ASV of $10,000 and above.</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total client count was 7,770 as of May 31, 2023, a net increase of 6.2% or 451 clients in the last 12 months, mainly due to an increase in corporate clients and, to a lesser extent, wealth management clients and partners.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May 31, 2023, there were 187,845 professionals using FactSet, representing a net increase of 8.1% or 14,147 users in the last 12 months, primarily driven by an increase from wealth management firms.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Annual ASV retention was greater than 95% of ASV and approximately 92% when expressed as a percentage of clients for the period ended May 31, 2023, with both percentages consistent with the prior year period.</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 Headcount</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May 31, 2023, our employee headcount was 12,072, an increase of 12.9% compared with 10,691 employees as of May 31, 2022. This growth in headcount was primarily due to an increase of 14.6% in Asia Pacific, 11.2% in the Americas and 7.3% in EMEA. As of May 31, 2023, the number of employees located in Asia Pacific was 8,083, in the Americas was 2,543 and in EMEA was 1,446.</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an understanding of the significant factors that influenced our performance for the three and nine months ended May 31, 2023 and May 31, 2022, the following discussion should be read in conjunction with the Consolidated Financial Statements and related Notes presented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operations for the periods described: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gridSpan w:val="3"/>
          </w:tcPr>
          <w:p>
            <w:pPr>
              <w:jc w:val="right"/>
              <w:ind w:right="250"/>
              <w:spacing w:after="0"/>
              <w:rPr>
                <w:sz w:val="20"/>
                <w:szCs w:val="20"/>
                <w:color w:val="auto"/>
              </w:rPr>
            </w:pPr>
            <w:r>
              <w:rPr>
                <w:rFonts w:ascii="Arial" w:cs="Arial" w:eastAsia="Arial" w:hAnsi="Arial"/>
                <w:sz w:val="18"/>
                <w:szCs w:val="18"/>
                <w:color w:val="auto"/>
                <w:w w:val="95"/>
              </w:rPr>
              <w:t>Three Months Ended</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gridSpan w:val="3"/>
          </w:tcPr>
          <w:p>
            <w:pPr>
              <w:jc w:val="right"/>
              <w:ind w:right="250"/>
              <w:spacing w:after="0"/>
              <w:rPr>
                <w:sz w:val="20"/>
                <w:szCs w:val="20"/>
                <w:color w:val="auto"/>
              </w:rPr>
            </w:pPr>
            <w:r>
              <w:rPr>
                <w:rFonts w:ascii="Arial" w:cs="Arial" w:eastAsia="Arial" w:hAnsi="Arial"/>
                <w:sz w:val="18"/>
                <w:szCs w:val="18"/>
                <w:color w:val="auto"/>
                <w:w w:val="99"/>
              </w:rPr>
              <w:t>Nine Months Ended</w:t>
            </w:r>
          </w:p>
        </w:tc>
        <w:tc>
          <w:tcPr>
            <w:tcW w:w="1160" w:type="dxa"/>
            <w:vAlign w:val="bottom"/>
          </w:tcPr>
          <w:p>
            <w:pPr>
              <w:spacing w:after="0"/>
              <w:rPr>
                <w:sz w:val="20"/>
                <w:szCs w:val="20"/>
                <w:color w:val="auto"/>
              </w:rPr>
            </w:pPr>
          </w:p>
        </w:tc>
      </w:tr>
      <w:tr>
        <w:trPr>
          <w:trHeight w:val="270"/>
        </w:trPr>
        <w:tc>
          <w:tcPr>
            <w:tcW w:w="4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May 31,</w:t>
            </w:r>
          </w:p>
        </w:tc>
        <w:tc>
          <w:tcPr>
            <w:tcW w:w="7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40" w:type="dxa"/>
            <w:vAlign w:val="bottom"/>
            <w:gridSpan w:val="3"/>
          </w:tcPr>
          <w:p>
            <w:pPr>
              <w:jc w:val="right"/>
              <w:ind w:right="690"/>
              <w:spacing w:after="0"/>
              <w:rPr>
                <w:sz w:val="20"/>
                <w:szCs w:val="20"/>
                <w:color w:val="auto"/>
              </w:rPr>
            </w:pPr>
            <w:r>
              <w:rPr>
                <w:rFonts w:ascii="Arial" w:cs="Arial" w:eastAsia="Arial" w:hAnsi="Arial"/>
                <w:sz w:val="18"/>
                <w:szCs w:val="18"/>
                <w:color w:val="auto"/>
              </w:rPr>
              <w:t>May 31,</w:t>
            </w:r>
          </w:p>
        </w:tc>
        <w:tc>
          <w:tcPr>
            <w:tcW w:w="1160" w:type="dxa"/>
            <w:vAlign w:val="bottom"/>
          </w:tcPr>
          <w:p>
            <w:pPr>
              <w:spacing w:after="0"/>
              <w:rPr>
                <w:sz w:val="23"/>
                <w:szCs w:val="23"/>
                <w:color w:val="auto"/>
              </w:rPr>
            </w:pPr>
          </w:p>
        </w:tc>
      </w:tr>
      <w:tr>
        <w:trPr>
          <w:trHeight w:val="364"/>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 amounts in thousands, except per share data)</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2023</w:t>
            </w: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9"/>
              </w:rPr>
              <w:t>2022</w:t>
            </w: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 Change</w:t>
            </w: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2023</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11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 Change</w:t>
            </w:r>
          </w:p>
        </w:tc>
      </w:tr>
      <w:tr>
        <w:trPr>
          <w:trHeight w:val="237"/>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529,811</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488,751</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8.4 % $</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1,549,711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1,344,595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15.3 %</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Cost of services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241,689</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222,618</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8.6 % $</w:t>
            </w:r>
          </w:p>
        </w:tc>
        <w:tc>
          <w:tcPr>
            <w:tcW w:w="860" w:type="dxa"/>
            <w:vAlign w:val="bottom"/>
          </w:tcPr>
          <w:p>
            <w:pPr>
              <w:jc w:val="right"/>
              <w:spacing w:after="0"/>
              <w:rPr>
                <w:sz w:val="20"/>
                <w:szCs w:val="20"/>
                <w:color w:val="auto"/>
              </w:rPr>
            </w:pPr>
            <w:r>
              <w:rPr>
                <w:rFonts w:ascii="Arial" w:cs="Arial" w:eastAsia="Arial" w:hAnsi="Arial"/>
                <w:sz w:val="18"/>
                <w:szCs w:val="18"/>
                <w:color w:val="auto"/>
              </w:rPr>
              <w:t>709,537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629,162</w:t>
            </w:r>
          </w:p>
        </w:tc>
        <w:tc>
          <w:tcPr>
            <w:tcW w:w="1160" w:type="dxa"/>
            <w:vAlign w:val="bottom"/>
          </w:tcPr>
          <w:p>
            <w:pPr>
              <w:jc w:val="right"/>
              <w:spacing w:after="0"/>
              <w:rPr>
                <w:sz w:val="20"/>
                <w:szCs w:val="20"/>
                <w:color w:val="auto"/>
              </w:rPr>
            </w:pPr>
            <w:r>
              <w:rPr>
                <w:rFonts w:ascii="Arial" w:cs="Arial" w:eastAsia="Arial" w:hAnsi="Arial"/>
                <w:sz w:val="18"/>
                <w:szCs w:val="18"/>
                <w:color w:val="auto"/>
              </w:rPr>
              <w:t>12.8 %</w:t>
            </w: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115,725</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119,881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325,903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309,185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r>
      <w:tr>
        <w:trPr>
          <w:trHeight w:val="243"/>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Asset impairments</w:t>
            </w: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3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48,998</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(99.1)%</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62,985</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(98.1)%</w:t>
            </w: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171,959</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97,254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76.8 %</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513,104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343,263</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49.5 %</w:t>
            </w:r>
          </w:p>
        </w:tc>
      </w:tr>
      <w:tr>
        <w:trPr>
          <w:trHeight w:val="203"/>
        </w:trPr>
        <w:tc>
          <w:tcPr>
            <w:tcW w:w="4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6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4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134,663</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74,910</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79.8 % $</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403,054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292,495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37.8 %</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r>
        <w:trPr>
          <w:trHeight w:val="203"/>
        </w:trPr>
        <w:tc>
          <w:tcPr>
            <w:tcW w:w="4580" w:type="dxa"/>
            <w:vAlign w:val="bottom"/>
          </w:tcPr>
          <w:p>
            <w:pPr>
              <w:ind w:left="20"/>
              <w:spacing w:after="0" w:line="203" w:lineRule="exact"/>
              <w:rPr>
                <w:sz w:val="20"/>
                <w:szCs w:val="20"/>
                <w:color w:val="auto"/>
              </w:rPr>
            </w:pPr>
            <w:r>
              <w:rPr>
                <w:rFonts w:ascii="Arial" w:cs="Arial" w:eastAsia="Arial" w:hAnsi="Arial"/>
                <w:sz w:val="18"/>
                <w:szCs w:val="18"/>
                <w:color w:val="auto"/>
              </w:rPr>
              <w:t>Diluted weighted average common shares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38,912</w:t>
            </w: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38,720</w:t>
            </w:r>
          </w:p>
        </w:tc>
        <w:tc>
          <w:tcPr>
            <w:tcW w:w="1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38,936</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38,607</w:t>
            </w:r>
          </w:p>
        </w:tc>
        <w:tc>
          <w:tcPr>
            <w:tcW w:w="1160" w:type="dxa"/>
            <w:vAlign w:val="bottom"/>
          </w:tcPr>
          <w:p>
            <w:pPr>
              <w:spacing w:after="0"/>
              <w:rPr>
                <w:sz w:val="17"/>
                <w:szCs w:val="17"/>
                <w:color w:val="auto"/>
              </w:rPr>
            </w:pPr>
          </w:p>
        </w:tc>
      </w:tr>
      <w:tr>
        <w:trPr>
          <w:trHeight w:val="237"/>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79.3 % $</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36.5 %</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May 31, 2023 compared with three months ended May 31, 2022</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Revenues for the three months ended May 31, 2023 were $529.8 million, an increase of 8.4%. The increase in revenues was primarily driven by increased sales to existing clients and, to a lesser extent, price increases to existing clients and new client sales, partially offset by existing client cancellations. Revenues increased in all our segments, primarily from the Americas and, to a lesser extent, EMEA and Asia Pacific. The increased revenues were supported by higher sales in all three of our workflow solutions, Analytics &amp; Trading, CTS and Research &amp; Advisory. Organic revenues increased to $530.3 million for the three months ended May 31, 2023, an 8.5% increase over the prior year period. Refer to Part I, Item 2. </w:t>
      </w:r>
      <w:r>
        <w:rPr>
          <w:rFonts w:ascii="Arial" w:cs="Arial" w:eastAsia="Arial" w:hAnsi="Arial"/>
          <w:sz w:val="17"/>
          <w:szCs w:val="17"/>
          <w:i w:val="1"/>
          <w:iCs w:val="1"/>
          <w:color w:val="auto"/>
        </w:rPr>
        <w:t>Non-GAAP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Measures </w:t>
      </w:r>
      <w:r>
        <w:rPr>
          <w:rFonts w:ascii="Arial" w:cs="Arial" w:eastAsia="Arial" w:hAnsi="Arial"/>
          <w:sz w:val="17"/>
          <w:szCs w:val="17"/>
          <w:color w:val="auto"/>
        </w:rPr>
        <w:t>in the MD&amp;A of this Quarterly Report on Form 10-Q for further discussion on organic revenues.</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growth in revenues of 8.4% was reflective of organic revenues growth of 8.5%, partially offset by a 0.1% decrease from foreign currency exchange rate fluctuations.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May 31, 2023 compared with nine months ended May 31, 2022</w:t>
      </w:r>
    </w:p>
    <w:p>
      <w:pPr>
        <w:spacing w:after="0" w:line="2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for the nine months ended May 31, 2023 was $1,549.7 million, an increase of 15.3%. The increase in revenues was mainly due to increased sales to existing clients and, to a lesser extent, price increases to existing clients and new client sales, partially offset by existing client cancellations. Revenues increased in all our geographic segments, primarily from the Americas and, to a lesser extent, EMEA and Asia Pacific. The increased revenues were supported by higher sales in each of our workflow solutions, primarily in CTS (driven by inorganic revenues from CGS), followed by Research &amp; Advisory and Analytics &amp; Trading. Organic revenues increased to $1,459.7 million for the nine months ended May 31, 2023, an 8.6% increase over the prior year period.</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growth in revenues of 15.3% was reflective of organic revenue growth of 8.6% and a 7.1% increase primarily related to acquisition-related revenues, partially offset by a 0.4% decrease from foreign currency exchange rate fluctuations.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Table of Contents</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945"/>
        </w:trPr>
        <w:tc>
          <w:tcPr>
            <w:tcW w:w="3120" w:type="dxa"/>
            <w:vAlign w:val="bottom"/>
          </w:tcPr>
          <w:p>
            <w:pPr>
              <w:spacing w:after="0"/>
              <w:rPr>
                <w:sz w:val="20"/>
                <w:szCs w:val="20"/>
                <w:color w:val="auto"/>
              </w:rPr>
            </w:pPr>
            <w:r>
              <w:rPr>
                <w:rFonts w:ascii="Arial" w:cs="Arial" w:eastAsia="Arial" w:hAnsi="Arial"/>
                <w:sz w:val="18"/>
                <w:szCs w:val="18"/>
                <w:b w:val="1"/>
                <w:bCs w:val="1"/>
                <w:color w:val="auto"/>
              </w:rPr>
              <w:t>Revenues by Segment</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05"/>
        </w:trPr>
        <w:tc>
          <w:tcPr>
            <w:tcW w:w="6060" w:type="dxa"/>
            <w:vAlign w:val="bottom"/>
            <w:gridSpan w:val="5"/>
          </w:tcPr>
          <w:p>
            <w:pPr>
              <w:spacing w:after="0"/>
              <w:rPr>
                <w:sz w:val="20"/>
                <w:szCs w:val="20"/>
                <w:color w:val="auto"/>
              </w:rPr>
            </w:pPr>
            <w:r>
              <w:rPr>
                <w:rFonts w:ascii="Arial" w:cs="Arial" w:eastAsia="Arial" w:hAnsi="Arial"/>
                <w:sz w:val="18"/>
                <w:szCs w:val="18"/>
                <w:color w:val="auto"/>
                <w:w w:val="90"/>
              </w:rPr>
              <w:t>The following table summarizes our revenues by segment for the periods described:</w:t>
            </w: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32"/>
        </w:trPr>
        <w:tc>
          <w:tcPr>
            <w:tcW w:w="3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20" w:type="dxa"/>
            <w:vAlign w:val="bottom"/>
            <w:gridSpan w:val="3"/>
          </w:tcPr>
          <w:p>
            <w:pPr>
              <w:jc w:val="right"/>
              <w:ind w:right="630"/>
              <w:spacing w:after="0"/>
              <w:rPr>
                <w:sz w:val="20"/>
                <w:szCs w:val="20"/>
                <w:color w:val="auto"/>
              </w:rPr>
            </w:pPr>
            <w:r>
              <w:rPr>
                <w:rFonts w:ascii="Arial" w:cs="Arial" w:eastAsia="Arial" w:hAnsi="Arial"/>
                <w:sz w:val="18"/>
                <w:szCs w:val="18"/>
                <w:color w:val="auto"/>
              </w:rPr>
              <w:t>Three Months Ended</w:t>
            </w: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40" w:type="dxa"/>
            <w:vAlign w:val="bottom"/>
            <w:gridSpan w:val="3"/>
          </w:tcPr>
          <w:p>
            <w:pPr>
              <w:jc w:val="right"/>
              <w:ind w:right="670"/>
              <w:spacing w:after="0"/>
              <w:rPr>
                <w:sz w:val="20"/>
                <w:szCs w:val="20"/>
                <w:color w:val="auto"/>
              </w:rPr>
            </w:pPr>
            <w:r>
              <w:rPr>
                <w:rFonts w:ascii="Arial" w:cs="Arial" w:eastAsia="Arial" w:hAnsi="Arial"/>
                <w:sz w:val="18"/>
                <w:szCs w:val="18"/>
                <w:color w:val="auto"/>
              </w:rPr>
              <w:t>Nine Months Ended</w:t>
            </w:r>
          </w:p>
        </w:tc>
        <w:tc>
          <w:tcPr>
            <w:tcW w:w="1100" w:type="dxa"/>
            <w:vAlign w:val="bottom"/>
          </w:tcPr>
          <w:p>
            <w:pPr>
              <w:spacing w:after="0"/>
              <w:rPr>
                <w:sz w:val="24"/>
                <w:szCs w:val="24"/>
                <w:color w:val="auto"/>
              </w:rPr>
            </w:pPr>
          </w:p>
        </w:tc>
      </w:tr>
      <w:tr>
        <w:trPr>
          <w:trHeight w:val="270"/>
        </w:trPr>
        <w:tc>
          <w:tcPr>
            <w:tcW w:w="3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80" w:type="dxa"/>
            <w:vAlign w:val="bottom"/>
            <w:gridSpan w:val="2"/>
          </w:tcPr>
          <w:p>
            <w:pPr>
              <w:jc w:val="right"/>
              <w:ind w:right="50"/>
              <w:spacing w:after="0"/>
              <w:rPr>
                <w:sz w:val="20"/>
                <w:szCs w:val="20"/>
                <w:color w:val="auto"/>
              </w:rPr>
            </w:pPr>
            <w:r>
              <w:rPr>
                <w:rFonts w:ascii="Arial" w:cs="Arial" w:eastAsia="Arial" w:hAnsi="Arial"/>
                <w:sz w:val="18"/>
                <w:szCs w:val="18"/>
                <w:color w:val="auto"/>
              </w:rPr>
              <w:t>May 31,</w:t>
            </w:r>
          </w:p>
        </w:tc>
        <w:tc>
          <w:tcPr>
            <w:tcW w:w="10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80" w:type="dxa"/>
            <w:vAlign w:val="bottom"/>
            <w:gridSpan w:val="2"/>
          </w:tcPr>
          <w:p>
            <w:pPr>
              <w:jc w:val="right"/>
              <w:ind w:right="30"/>
              <w:spacing w:after="0"/>
              <w:rPr>
                <w:sz w:val="20"/>
                <w:szCs w:val="20"/>
                <w:color w:val="auto"/>
              </w:rPr>
            </w:pPr>
            <w:r>
              <w:rPr>
                <w:rFonts w:ascii="Arial" w:cs="Arial" w:eastAsia="Arial" w:hAnsi="Arial"/>
                <w:sz w:val="18"/>
                <w:szCs w:val="18"/>
                <w:color w:val="auto"/>
              </w:rPr>
              <w:t>May 31,</w:t>
            </w:r>
          </w:p>
        </w:tc>
        <w:tc>
          <w:tcPr>
            <w:tcW w:w="10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63"/>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 amounts in thousands)</w:t>
            </w: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2023</w:t>
            </w: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144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8"/>
                <w:szCs w:val="18"/>
                <w:color w:val="auto"/>
              </w:rPr>
              <w:t>% Change</w:t>
            </w: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2023</w:t>
            </w: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 Change</w:t>
            </w: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337,691</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309,740</w:t>
            </w:r>
          </w:p>
        </w:tc>
        <w:tc>
          <w:tcPr>
            <w:tcW w:w="1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9.0 % $</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992,179</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850,312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16.7 %</w:t>
            </w:r>
          </w:p>
        </w:tc>
      </w:tr>
      <w:tr>
        <w:trPr>
          <w:trHeight w:val="230"/>
        </w:trPr>
        <w:tc>
          <w:tcPr>
            <w:tcW w:w="3120" w:type="dxa"/>
            <w:vAlign w:val="bottom"/>
          </w:tcPr>
          <w:p>
            <w:pPr>
              <w:ind w:left="680"/>
              <w:spacing w:after="0"/>
              <w:rPr>
                <w:sz w:val="20"/>
                <w:szCs w:val="20"/>
                <w:color w:val="auto"/>
              </w:rPr>
            </w:pPr>
            <w:r>
              <w:rPr>
                <w:rFonts w:ascii="Arial" w:cs="Arial" w:eastAsia="Arial" w:hAnsi="Arial"/>
                <w:sz w:val="18"/>
                <w:szCs w:val="18"/>
                <w:i w:val="1"/>
                <w:iCs w:val="1"/>
                <w:color w:val="auto"/>
              </w:rPr>
              <w:t>% of revenues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63.8 %</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63.4 %</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64.0 %</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63.2 %</w:t>
            </w:r>
          </w:p>
        </w:tc>
        <w:tc>
          <w:tcPr>
            <w:tcW w:w="1100" w:type="dxa"/>
            <w:vAlign w:val="bottom"/>
          </w:tcPr>
          <w:p>
            <w:pPr>
              <w:spacing w:after="0"/>
              <w:rPr>
                <w:sz w:val="19"/>
                <w:szCs w:val="19"/>
                <w:color w:val="auto"/>
              </w:rPr>
            </w:pPr>
          </w:p>
        </w:tc>
      </w:tr>
      <w:tr>
        <w:trPr>
          <w:trHeight w:val="24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EMEA</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137,973</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128,326</w:t>
            </w:r>
          </w:p>
        </w:tc>
        <w:tc>
          <w:tcPr>
            <w:tcW w:w="1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7.5 % $</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401,219</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357,920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12.1 %</w:t>
            </w:r>
          </w:p>
        </w:tc>
      </w:tr>
      <w:tr>
        <w:trPr>
          <w:trHeight w:val="229"/>
        </w:trPr>
        <w:tc>
          <w:tcPr>
            <w:tcW w:w="3120" w:type="dxa"/>
            <w:vAlign w:val="bottom"/>
          </w:tcPr>
          <w:p>
            <w:pPr>
              <w:ind w:left="680"/>
              <w:spacing w:after="0"/>
              <w:rPr>
                <w:sz w:val="20"/>
                <w:szCs w:val="20"/>
                <w:color w:val="auto"/>
              </w:rPr>
            </w:pPr>
            <w:r>
              <w:rPr>
                <w:rFonts w:ascii="Arial" w:cs="Arial" w:eastAsia="Arial" w:hAnsi="Arial"/>
                <w:sz w:val="18"/>
                <w:szCs w:val="18"/>
                <w:i w:val="1"/>
                <w:iCs w:val="1"/>
                <w:color w:val="auto"/>
              </w:rPr>
              <w:t>% of revenues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26.0 %</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26.3 %</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25.9 %</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26.6 %</w:t>
            </w:r>
          </w:p>
        </w:tc>
        <w:tc>
          <w:tcPr>
            <w:tcW w:w="1100" w:type="dxa"/>
            <w:vAlign w:val="bottom"/>
          </w:tcPr>
          <w:p>
            <w:pPr>
              <w:spacing w:after="0"/>
              <w:rPr>
                <w:sz w:val="19"/>
                <w:szCs w:val="19"/>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54,147</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50,685</w:t>
            </w:r>
          </w:p>
        </w:tc>
        <w:tc>
          <w:tcPr>
            <w:tcW w:w="1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6.8 % $</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156,313</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136,363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14.6 %</w:t>
            </w:r>
          </w:p>
        </w:tc>
      </w:tr>
      <w:tr>
        <w:trPr>
          <w:trHeight w:val="243"/>
        </w:trPr>
        <w:tc>
          <w:tcPr>
            <w:tcW w:w="3120" w:type="dxa"/>
            <w:vAlign w:val="bottom"/>
            <w:tcBorders>
              <w:bottom w:val="single" w:sz="8" w:color="CCEEFF"/>
            </w:tcBorders>
          </w:tcPr>
          <w:p>
            <w:pPr>
              <w:ind w:left="680"/>
              <w:spacing w:after="0"/>
              <w:rPr>
                <w:sz w:val="20"/>
                <w:szCs w:val="20"/>
                <w:color w:val="auto"/>
              </w:rPr>
            </w:pPr>
            <w:r>
              <w:rPr>
                <w:rFonts w:ascii="Arial" w:cs="Arial" w:eastAsia="Arial" w:hAnsi="Arial"/>
                <w:sz w:val="18"/>
                <w:szCs w:val="18"/>
                <w:i w:val="1"/>
                <w:iCs w:val="1"/>
                <w:color w:val="auto"/>
              </w:rPr>
              <w:t>% of revenues</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10.2 %</w:t>
            </w:r>
          </w:p>
        </w:tc>
        <w:tc>
          <w:tcPr>
            <w:tcW w:w="4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10.3 %</w:t>
            </w:r>
          </w:p>
        </w:tc>
        <w:tc>
          <w:tcPr>
            <w:tcW w:w="1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10.1 %</w:t>
            </w: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10.2 %</w:t>
            </w:r>
          </w:p>
        </w:tc>
        <w:tc>
          <w:tcPr>
            <w:tcW w:w="1100" w:type="dxa"/>
            <w:vAlign w:val="bottom"/>
            <w:tcBorders>
              <w:bottom w:val="single" w:sz="8" w:color="CCEEFF"/>
            </w:tcBorders>
          </w:tcPr>
          <w:p>
            <w:pPr>
              <w:spacing w:after="0"/>
              <w:rPr>
                <w:sz w:val="21"/>
                <w:szCs w:val="21"/>
                <w:color w:val="auto"/>
              </w:rPr>
            </w:pPr>
          </w:p>
        </w:tc>
      </w:tr>
      <w:tr>
        <w:trPr>
          <w:trHeight w:val="22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529,811</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488,751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1,549,711</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1,344,595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15.3 %</w:t>
            </w:r>
          </w:p>
        </w:tc>
      </w:tr>
    </w:tbl>
    <w:p>
      <w:pPr>
        <w:spacing w:after="0" w:line="256" w:lineRule="exact"/>
        <w:rPr>
          <w:sz w:val="20"/>
          <w:szCs w:val="20"/>
          <w:color w:val="auto"/>
        </w:rPr>
      </w:pPr>
    </w:p>
    <w:p>
      <w:pPr>
        <w:ind w:right="5140"/>
        <w:spacing w:after="0" w:line="461" w:lineRule="auto"/>
        <w:rPr>
          <w:sz w:val="20"/>
          <w:szCs w:val="20"/>
          <w:color w:val="auto"/>
        </w:rPr>
      </w:pPr>
      <w:r>
        <w:rPr>
          <w:rFonts w:ascii="Arial" w:cs="Arial" w:eastAsia="Arial" w:hAnsi="Arial"/>
          <w:sz w:val="18"/>
          <w:szCs w:val="18"/>
          <w:i w:val="1"/>
          <w:iCs w:val="1"/>
          <w:color w:val="auto"/>
        </w:rPr>
        <w:t>Three months ended May 31, 2023 compared with three months ended May 31, 2022 Americas</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Americas revenues increased 9.0% to $337.7 million during the three months ended May 31, 2023, compared with $309.7 million from the same period a year ago. The increased revenues were driven by higher sales in all of our workflow solutions, primarily in Analytics &amp; Trading and Research &amp; Advisory. The growth in revenues of 9.0% was reflective of organic growth.</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EMEA</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EMEA revenues increased 7.5% to $138.0 million during the three months ended May 31, 2023, compared with $128.3 million from the same period a year ago. The increased revenues were driven by higher sales in all three of our workflow solutions, CTS, Analytics &amp; Trading and Research &amp; Advisory. The growth in revenues of 7.5% was reflective of organic growth.</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Asia Pacific</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Asia Pacific revenues increased 6.8% to $54.1 million during the three months ended May 31, 2023, compared with $50.7 million from the same period a year ago. The increased revenues were driven by higher sales in all three of our workflow solutions, Research &amp; Advisory, Analytics &amp; Trading and CTS. The growth in revenues of 6.8% was reflective of a 7.9% increase in organic revenues, partially offset by a 1.1% decrease driven by the effects of foreign currency exchange rate fluctuations.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May 31, 2023 compared with nine months ended May 31, 2022</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Revenues from the Americas increased 16.7% to $992.2 million during the nine months ended May 31, 2023, compared with $850.3 million from the same period a year ago. The increased revenues were driven by higher sales in all of our workflow solutions, primarily in CTS (driven by inorganic revenues from CGS). The growth in revenues of 16.7% was reflective of an 8.3% increase in organic revenue growth and an 8.4% increase primarily due to the impact of acquisition-related revenues.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EMEA</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Revenues from EMEA increased 12.1% to $401.2 million during the nine months ended May 31, 2023, compared with $357.9 million from the same period a year ago. The increased revenues were driven by higher sales in all of our workflow solutions, primarily in CTS (driven by inorganic revenues from CGS). The growth in revenues of 12.1% was reflective of a 7.6% increase in organic revenue and a 5.2% increase primarily due to the impact of acquisition-related revenues, partially offset by a 0.7% decrease due to the effects of foreign currency exchange rate fluctuations.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Asia Pacific</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Revenues from Asia Pacific increased 14.6% to $156.3 million during the nine months ended May 31, 2023, compared with $136.4 million from the same period a year ago. The increased revenues were driven by higher sales in all of our workflow solutions, primarily in CTS (driven by inorganic revenues from CGS). The growth in revenues of 14.6% was reflective of a 12.4% increase in organic revenues and a 4.5% increase from acquisition-related revenues, partially offset by a 2.3% decrease due to the effects of foreign currency exchange rate fluctuations.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by Workflow Solution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May 31, 2023 compared with three months ended May 31, 2022</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growth in revenues of 8.4% for the three months ended May 31, 2023, compared with the same period a year ago, was due to higher revenues from each of our segments supported by increased revenues in all three of our workflow solutions, Analytics &amp; Trading, CTS and Research &amp; Advisory. The increase in revenues from Analytics &amp; Trading was primarily due to increased demand for our portfolio analytics solutions, performance &amp; reporting products, and portfolio &amp; benchmark services. The increase in CTS revenues was mainly driven by increased sales of company data, including CGS related data licensing. The increase in Research &amp; Advisory revenues was driven mainly by higher demand for our workstations.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May 31, 2023 compared with nine months ended May 31, 2022</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growth in revenues of 15.3% for the nine months ended May 31, 2023, compared with the same period a year ago, was due to higher revenues from each of our segments supported by increased revenues from our workflow solutions, primarily from CTS and, to a lesser extent, Research &amp; Advisory and Analytics &amp; Trading. The increase in CTS revenues was driven mainly by CGS related data licensing and issuance revenues. The increase in Research &amp; Advisory revenues was mainly due to higher demand for our workstations. The increase in revenues from Analytics &amp; Trading was primarily due to increased demand for our performance &amp; reporting products, portfolio analytics solutions and portfolio &amp; benchmark services.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Principal Operating Expenses</w:t>
      </w:r>
    </w:p>
    <w:p>
      <w:pPr>
        <w:spacing w:after="0" w:line="17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Cost of services </w:t>
      </w:r>
      <w:r>
        <w:rPr>
          <w:rFonts w:ascii="Arial" w:cs="Arial" w:eastAsia="Arial" w:hAnsi="Arial"/>
          <w:sz w:val="18"/>
          <w:szCs w:val="18"/>
          <w:color w:val="auto"/>
        </w:rPr>
        <w:t>is mainly comprised of employee compensation costs and also includes expenses related to data costs, computer-related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amortization of identifiable intangible assets, royalty fees, client-related communication costs and computer depreciation.</w:t>
      </w:r>
    </w:p>
    <w:p>
      <w:pPr>
        <w:spacing w:after="0" w:line="13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Selling, general and administrative ("SG&amp;A") </w:t>
      </w:r>
      <w:r>
        <w:rPr>
          <w:rFonts w:ascii="Arial" w:cs="Arial" w:eastAsia="Arial" w:hAnsi="Arial"/>
          <w:sz w:val="18"/>
          <w:szCs w:val="18"/>
          <w:color w:val="auto"/>
        </w:rPr>
        <w:t>consists primarily of employee compensation costs and also includes expenses related to occupancy</w:t>
      </w:r>
      <w:r>
        <w:rPr>
          <w:rFonts w:ascii="Arial" w:cs="Arial" w:eastAsia="Arial" w:hAnsi="Arial"/>
          <w:sz w:val="18"/>
          <w:szCs w:val="18"/>
          <w:b w:val="1"/>
          <w:bCs w:val="1"/>
          <w:color w:val="auto"/>
        </w:rPr>
        <w:t xml:space="preserve"> </w:t>
      </w:r>
      <w:r>
        <w:rPr>
          <w:rFonts w:ascii="Arial" w:cs="Arial" w:eastAsia="Arial" w:hAnsi="Arial"/>
          <w:sz w:val="18"/>
          <w:szCs w:val="18"/>
          <w:color w:val="auto"/>
        </w:rPr>
        <w:t>costs, professional fees, depreciation of furniture and fixtures, amortization of leasehold improvements, travel and entertainment expenses, marketing costs, non-compensatory employee expenses, internal communication costs and bad debt expense.</w:t>
      </w:r>
    </w:p>
    <w:p>
      <w:pPr>
        <w:spacing w:after="0" w:line="13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Employee compensation costs are a major component of both our cost of services and SG&amp;A. These expenses primarily include costs related to salaries, incentive compensation and sales commissions, stock-based compensation, benefits, employment taxes, and any applicable restructuring costs.</w:t>
      </w:r>
    </w:p>
    <w:p>
      <w:pPr>
        <w:spacing w:after="0" w:line="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assign employee compensation costs between cost of services and SG&amp;A based on the roles and activities associated with each employee. We categorize employees within the content collection, consulting, product development, software and systems engineering groups as cost of services personnel. Employees included in our sales department and those that serve in various other support departments, including marketing, finance, legal, human resources and administrative services, are classified as SG&amp;A.</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Asset impairments </w:t>
      </w:r>
      <w:r>
        <w:rPr>
          <w:rFonts w:ascii="Arial" w:cs="Arial" w:eastAsia="Arial" w:hAnsi="Arial"/>
          <w:sz w:val="18"/>
          <w:szCs w:val="18"/>
          <w:color w:val="auto"/>
        </w:rPr>
        <w:t>consist primarily of expenses recognized when the carrying amount of an asset exceeds its fair value.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components of our total operating expenses and operating margin for the periods presented: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60" w:type="dxa"/>
            <w:vAlign w:val="bottom"/>
            <w:gridSpan w:val="3"/>
          </w:tcPr>
          <w:p>
            <w:pPr>
              <w:jc w:val="right"/>
              <w:ind w:right="530"/>
              <w:spacing w:after="0"/>
              <w:rPr>
                <w:sz w:val="20"/>
                <w:szCs w:val="20"/>
                <w:color w:val="auto"/>
              </w:rPr>
            </w:pPr>
            <w:r>
              <w:rPr>
                <w:rFonts w:ascii="Arial" w:cs="Arial" w:eastAsia="Arial" w:hAnsi="Arial"/>
                <w:sz w:val="18"/>
                <w:szCs w:val="18"/>
                <w:color w:val="auto"/>
              </w:rPr>
              <w:t>Three Months Ended</w:t>
            </w: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00" w:type="dxa"/>
            <w:vAlign w:val="bottom"/>
            <w:gridSpan w:val="3"/>
          </w:tcPr>
          <w:p>
            <w:pPr>
              <w:jc w:val="right"/>
              <w:ind w:right="590"/>
              <w:spacing w:after="0"/>
              <w:rPr>
                <w:sz w:val="20"/>
                <w:szCs w:val="20"/>
                <w:color w:val="auto"/>
              </w:rPr>
            </w:pPr>
            <w:r>
              <w:rPr>
                <w:rFonts w:ascii="Arial" w:cs="Arial" w:eastAsia="Arial" w:hAnsi="Arial"/>
                <w:sz w:val="18"/>
                <w:szCs w:val="18"/>
                <w:color w:val="auto"/>
              </w:rPr>
              <w:t>Nine Months Ended</w:t>
            </w:r>
          </w:p>
        </w:tc>
        <w:tc>
          <w:tcPr>
            <w:tcW w:w="1100" w:type="dxa"/>
            <w:vAlign w:val="bottom"/>
          </w:tcPr>
          <w:p>
            <w:pPr>
              <w:spacing w:after="0"/>
              <w:rPr>
                <w:sz w:val="20"/>
                <w:szCs w:val="20"/>
                <w:color w:val="auto"/>
              </w:rPr>
            </w:pPr>
          </w:p>
        </w:tc>
      </w:tr>
      <w:tr>
        <w:trPr>
          <w:trHeight w:val="270"/>
        </w:trPr>
        <w:tc>
          <w:tcPr>
            <w:tcW w:w="3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80" w:type="dxa"/>
            <w:vAlign w:val="bottom"/>
            <w:gridSpan w:val="2"/>
          </w:tcPr>
          <w:p>
            <w:pPr>
              <w:jc w:val="right"/>
              <w:ind w:right="10"/>
              <w:spacing w:after="0"/>
              <w:rPr>
                <w:sz w:val="20"/>
                <w:szCs w:val="20"/>
                <w:color w:val="auto"/>
              </w:rPr>
            </w:pPr>
            <w:r>
              <w:rPr>
                <w:rFonts w:ascii="Arial" w:cs="Arial" w:eastAsia="Arial" w:hAnsi="Arial"/>
                <w:sz w:val="18"/>
                <w:szCs w:val="18"/>
                <w:color w:val="auto"/>
              </w:rPr>
              <w:t>May 31,</w:t>
            </w:r>
          </w:p>
        </w:tc>
        <w:tc>
          <w:tcPr>
            <w:tcW w:w="9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May 31,</w:t>
            </w:r>
          </w:p>
        </w:tc>
        <w:tc>
          <w:tcPr>
            <w:tcW w:w="102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0"/>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 amounts in thousands)</w:t>
            </w: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c>
          <w:tcPr>
            <w:tcW w:w="4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 Change</w:t>
            </w:r>
          </w:p>
        </w:tc>
        <w:tc>
          <w:tcPr>
            <w:tcW w:w="3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2023</w:t>
            </w:r>
          </w:p>
        </w:tc>
        <w:tc>
          <w:tcPr>
            <w:tcW w:w="3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2022</w:t>
            </w: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 Change</w:t>
            </w:r>
          </w:p>
        </w:tc>
      </w:tr>
      <w:tr>
        <w:trPr>
          <w:trHeight w:val="223"/>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241,689</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222,618</w:t>
            </w:r>
          </w:p>
        </w:tc>
        <w:tc>
          <w:tcPr>
            <w:tcW w:w="1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8.6 % $</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709,537</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629,162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12.8 %</w:t>
            </w:r>
          </w:p>
        </w:tc>
      </w:tr>
      <w:tr>
        <w:trPr>
          <w:trHeight w:val="237"/>
        </w:trPr>
        <w:tc>
          <w:tcPr>
            <w:tcW w:w="3480" w:type="dxa"/>
            <w:vAlign w:val="bottom"/>
          </w:tcPr>
          <w:p>
            <w:pPr>
              <w:ind w:left="20"/>
              <w:spacing w:after="0"/>
              <w:rPr>
                <w:sz w:val="20"/>
                <w:szCs w:val="20"/>
                <w:color w:val="auto"/>
              </w:rPr>
            </w:pPr>
            <w:r>
              <w:rPr>
                <w:rFonts w:ascii="Arial" w:cs="Arial" w:eastAsia="Arial" w:hAnsi="Arial"/>
                <w:sz w:val="18"/>
                <w:szCs w:val="18"/>
                <w:color w:val="auto"/>
              </w:rPr>
              <w:t>SG&amp;A</w:t>
            </w:r>
          </w:p>
        </w:tc>
        <w:tc>
          <w:tcPr>
            <w:tcW w:w="30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115,725</w:t>
            </w:r>
          </w:p>
        </w:tc>
        <w:tc>
          <w:tcPr>
            <w:tcW w:w="400" w:type="dxa"/>
            <w:vAlign w:val="bottom"/>
          </w:tcPr>
          <w:p>
            <w:pPr>
              <w:spacing w:after="0"/>
              <w:rPr>
                <w:sz w:val="20"/>
                <w:szCs w:val="20"/>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119,881</w:t>
            </w:r>
          </w:p>
        </w:tc>
        <w:tc>
          <w:tcPr>
            <w:tcW w:w="1100" w:type="dxa"/>
            <w:vAlign w:val="bottom"/>
          </w:tcPr>
          <w:p>
            <w:pPr>
              <w:jc w:val="right"/>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20"/>
                <w:szCs w:val="20"/>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325,903</w:t>
            </w:r>
          </w:p>
        </w:tc>
        <w:tc>
          <w:tcPr>
            <w:tcW w:w="38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309,185</w:t>
            </w:r>
          </w:p>
        </w:tc>
        <w:tc>
          <w:tcPr>
            <w:tcW w:w="1100" w:type="dxa"/>
            <w:vAlign w:val="bottom"/>
          </w:tcPr>
          <w:p>
            <w:pPr>
              <w:jc w:val="right"/>
              <w:spacing w:after="0"/>
              <w:rPr>
                <w:sz w:val="20"/>
                <w:szCs w:val="20"/>
                <w:color w:val="auto"/>
              </w:rPr>
            </w:pPr>
            <w:r>
              <w:rPr>
                <w:rFonts w:ascii="Arial" w:cs="Arial" w:eastAsia="Arial" w:hAnsi="Arial"/>
                <w:sz w:val="18"/>
                <w:szCs w:val="18"/>
                <w:color w:val="auto"/>
              </w:rPr>
              <w:t>5.4 %</w:t>
            </w:r>
          </w:p>
        </w:tc>
      </w:tr>
      <w:tr>
        <w:trPr>
          <w:trHeight w:val="236"/>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 impairments</w:t>
            </w: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438</w:t>
            </w:r>
          </w:p>
        </w:tc>
        <w:tc>
          <w:tcPr>
            <w:tcW w:w="4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48,998</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3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1,167</w:t>
            </w:r>
          </w:p>
        </w:tc>
        <w:tc>
          <w:tcPr>
            <w:tcW w:w="3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62,985</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w:t>
            </w:r>
          </w:p>
        </w:tc>
      </w:tr>
      <w:tr>
        <w:trPr>
          <w:trHeight w:val="223"/>
        </w:trPr>
        <w:tc>
          <w:tcPr>
            <w:tcW w:w="348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357,852</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391,497</w:t>
            </w:r>
          </w:p>
        </w:tc>
        <w:tc>
          <w:tcPr>
            <w:tcW w:w="1100" w:type="dxa"/>
            <w:vAlign w:val="bottom"/>
          </w:tcPr>
          <w:p>
            <w:pPr>
              <w:jc w:val="right"/>
              <w:spacing w:after="0"/>
              <w:rPr>
                <w:sz w:val="20"/>
                <w:szCs w:val="20"/>
                <w:color w:val="auto"/>
              </w:rPr>
            </w:pPr>
            <w:r>
              <w:rPr>
                <w:rFonts w:ascii="Arial" w:cs="Arial" w:eastAsia="Arial" w:hAnsi="Arial"/>
                <w:sz w:val="18"/>
                <w:szCs w:val="18"/>
                <w:color w:val="auto"/>
              </w:rPr>
              <w:t>(8.6)%</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1,036,607</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w w:val="97"/>
              </w:rPr>
              <w:t>1,001,332</w:t>
            </w:r>
          </w:p>
        </w:tc>
        <w:tc>
          <w:tcPr>
            <w:tcW w:w="1100" w:type="dxa"/>
            <w:vAlign w:val="bottom"/>
          </w:tcPr>
          <w:p>
            <w:pPr>
              <w:jc w:val="right"/>
              <w:spacing w:after="0"/>
              <w:rPr>
                <w:sz w:val="20"/>
                <w:szCs w:val="20"/>
                <w:color w:val="auto"/>
              </w:rPr>
            </w:pPr>
            <w:r>
              <w:rPr>
                <w:rFonts w:ascii="Arial" w:cs="Arial" w:eastAsia="Arial" w:hAnsi="Arial"/>
                <w:sz w:val="18"/>
                <w:szCs w:val="18"/>
                <w:color w:val="auto"/>
              </w:rPr>
              <w:t>3.5 %</w:t>
            </w:r>
          </w:p>
        </w:tc>
      </w:tr>
      <w:tr>
        <w:trPr>
          <w:trHeight w:val="270"/>
        </w:trPr>
        <w:tc>
          <w:tcPr>
            <w:tcW w:w="34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37"/>
        </w:trPr>
        <w:tc>
          <w:tcPr>
            <w:tcW w:w="34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171,959</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97,254</w:t>
            </w:r>
          </w:p>
        </w:tc>
        <w:tc>
          <w:tcPr>
            <w:tcW w:w="1400" w:type="dxa"/>
            <w:vAlign w:val="bottom"/>
            <w:gridSpan w:val="2"/>
          </w:tcPr>
          <w:p>
            <w:pPr>
              <w:jc w:val="right"/>
              <w:ind w:right="90"/>
              <w:spacing w:after="0"/>
              <w:rPr>
                <w:sz w:val="20"/>
                <w:szCs w:val="20"/>
                <w:color w:val="auto"/>
              </w:rPr>
            </w:pPr>
            <w:r>
              <w:rPr>
                <w:rFonts w:ascii="Arial" w:cs="Arial" w:eastAsia="Arial" w:hAnsi="Arial"/>
                <w:sz w:val="18"/>
                <w:szCs w:val="18"/>
                <w:color w:val="auto"/>
              </w:rPr>
              <w:t>76.8 % $</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513,104</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343,263</w:t>
            </w:r>
          </w:p>
        </w:tc>
        <w:tc>
          <w:tcPr>
            <w:tcW w:w="1100" w:type="dxa"/>
            <w:vAlign w:val="bottom"/>
          </w:tcPr>
          <w:p>
            <w:pPr>
              <w:jc w:val="right"/>
              <w:spacing w:after="0"/>
              <w:rPr>
                <w:sz w:val="20"/>
                <w:szCs w:val="20"/>
                <w:color w:val="auto"/>
              </w:rPr>
            </w:pPr>
            <w:r>
              <w:rPr>
                <w:rFonts w:ascii="Arial" w:cs="Arial" w:eastAsia="Arial" w:hAnsi="Arial"/>
                <w:sz w:val="18"/>
                <w:szCs w:val="18"/>
                <w:color w:val="auto"/>
              </w:rPr>
              <w:t>49.5 %</w:t>
            </w:r>
          </w:p>
        </w:tc>
      </w:tr>
      <w:tr>
        <w:trPr>
          <w:trHeight w:val="236"/>
        </w:trPr>
        <w:tc>
          <w:tcPr>
            <w:tcW w:w="348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Operating margin</w:t>
            </w: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32.5 %</w:t>
            </w: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19.9 %</w:t>
            </w:r>
          </w:p>
        </w:tc>
        <w:tc>
          <w:tcPr>
            <w:tcW w:w="1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33.1 %</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25.5 %</w:t>
            </w:r>
          </w:p>
        </w:tc>
        <w:tc>
          <w:tcPr>
            <w:tcW w:w="1100" w:type="dxa"/>
            <w:vAlign w:val="bottom"/>
            <w:shd w:val="clear" w:color="auto" w:fill="CCEEFF"/>
          </w:tcPr>
          <w:p>
            <w:pPr>
              <w:spacing w:after="0"/>
              <w:rPr>
                <w:sz w:val="20"/>
                <w:szCs w:val="20"/>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Services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May 31, 2023 compared with three months ended May 31, 2022</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 of services increased 8.6% to $241.7 million for the three months ended May 31, 2023, compared with $222.6 million for the same period a year ago, primarily due to an increase in employee compensation costs and computer-related expenses.</w:t>
      </w:r>
    </w:p>
    <w:p>
      <w:pPr>
        <w:spacing w:after="0" w:line="13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Cost of services, when expressed as a percentage of revenues, was 45.6% for the three months ended May 31, 2023, an increase of 10 basis points over the prior year period. This increase was primarily due to higher computer-related expenses, partially offset by a decrease in data costs.</w:t>
      </w:r>
    </w:p>
    <w:p>
      <w:pPr>
        <w:spacing w:after="0" w:line="106" w:lineRule="exact"/>
        <w:rPr>
          <w:sz w:val="20"/>
          <w:szCs w:val="20"/>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Computer-related expenses increased 50 basis points due to an increase in licensed software arrangements, third-party software engineering support and higher amortization of capitalized internal-use software associated with our hosted solutions.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Data costs decreased by 30 basis points due to revenue growth outpacing the increased cost of content.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May 31, 2023 compared with nine months ended May 31, 2022</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nine months ended May 31, 2023, cost of services increased 12.8% to $709.5 million compared with $629.2 million in the same period a year ago, primarily due to an increase in amortization of intangible assets, employee compensation costs, royalty fees related to our CGS acquisition and computer-related expenses.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services, when expressed as a percentage of revenues, was 45.8% for the nine months ended May 31, 2023, a decrease of 100 basis points compared with the same period a year ago. This decrease was primarily due to lower employee compensation costs and data costs, partially offset by higher amortization of intangible assets, royalty fees and computer-related expenses.</w:t>
      </w:r>
    </w:p>
    <w:p>
      <w:pPr>
        <w:spacing w:after="0" w:line="211" w:lineRule="exact"/>
        <w:rPr>
          <w:sz w:val="20"/>
          <w:szCs w:val="20"/>
          <w:color w:val="auto"/>
        </w:rPr>
      </w:pPr>
    </w:p>
    <w:p>
      <w:pPr>
        <w:jc w:val="both"/>
        <w:ind w:left="660" w:hanging="328"/>
        <w:spacing w:after="0" w:line="285"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Employee compensation costs decreased 280 basis points primarily due to growth of our revenues outpacing the increase in employee compensation costs. This decrease was also driven by higher capitalization of compensation costs related to the development of our internal-use software and a one-time restructuring charge to drive organizational realignment incurred during the first quarter of fiscal 2022, partially offset by higher annual base salaries and variable compensation expense. The increase in annual base salaries was primarily driven by annual merit increases and a net headcount increase in cost of services of 1,191, with hiring focused mainly in lower cost locations.</w:t>
      </w:r>
    </w:p>
    <w:p>
      <w:pPr>
        <w:spacing w:after="0" w:line="1" w:lineRule="exact"/>
        <w:rPr>
          <w:rFonts w:ascii="Arial" w:cs="Arial" w:eastAsia="Arial" w:hAnsi="Arial"/>
          <w:sz w:val="16"/>
          <w:szCs w:val="16"/>
          <w:color w:val="auto"/>
        </w:rPr>
      </w:pPr>
    </w:p>
    <w:p>
      <w:pPr>
        <w:ind w:left="660" w:hanging="328"/>
        <w:spacing w:after="0" w:line="265" w:lineRule="auto"/>
        <w:tabs>
          <w:tab w:leader="none" w:pos="660" w:val="left"/>
        </w:tabs>
        <w:numPr>
          <w:ilvl w:val="0"/>
          <w:numId w:val="23"/>
        </w:numPr>
        <w:rPr>
          <w:rFonts w:ascii="Arial" w:cs="Arial" w:eastAsia="Arial" w:hAnsi="Arial"/>
          <w:sz w:val="17"/>
          <w:szCs w:val="17"/>
          <w:i w:val="1"/>
          <w:iCs w:val="1"/>
          <w:color w:val="212529"/>
        </w:rPr>
      </w:pPr>
      <w:r>
        <w:rPr>
          <w:rFonts w:ascii="Arial" w:cs="Arial" w:eastAsia="Arial" w:hAnsi="Arial"/>
          <w:sz w:val="17"/>
          <w:szCs w:val="17"/>
          <w:color w:val="auto"/>
        </w:rPr>
        <w:t>Data costs decreased 80 basis points mainly due to the release of certain accruals in the first quarter of fiscal 2023 related to the successful resolution of exchange audits that were recorded during the prior year period and revenue growth outpacing the increased cost of content.</w:t>
      </w:r>
    </w:p>
    <w:p>
      <w:pPr>
        <w:ind w:left="66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Amortization of intangible assets increased 120 basis points, mainly due to increased amortization related to acquired intangible assets, primarily from the CGS acquisition.</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Royalty fees increased cost of services 110 basis points due to contracts acquired in connection with the acquisition of CGS.</w:t>
      </w:r>
    </w:p>
    <w:p>
      <w:pPr>
        <w:spacing w:after="0" w:line="9"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Computer-related expenses increased 50 basis points, primarily due to increased spend from our licensed software arrangements and cloud-based hosting services.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May 31, 2023 compared with three months ended May 31, 2022</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SG&amp;A expenses decreased 3.5% to $115.7 million for the three months ended May 31, 2023, compared with $119.9 million from the same period a year ago, primarily driven by a decrease in professional fees, partially offset by an increase in employee compensation costs.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SG&amp;A expenses, when expressed as a percentage of revenues, were 21.8% for the three months ended May 31, 2023, a decrease of 270 basis points over the prior year period. This decrease was primarily due to lower professional fees, partially offset by an increase in bad debt expense and employee compensation costs.</w:t>
      </w:r>
    </w:p>
    <w:p>
      <w:pPr>
        <w:spacing w:after="0" w:line="143"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Professional fees decreased by 240 basis points primarily due to CGS acquisition costs incurred during the prior year period.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Bad debt expense increased by 50 basis points primarily driven by our estimation of collectibility of outstanding receivables.</w:t>
      </w:r>
    </w:p>
    <w:p>
      <w:pPr>
        <w:spacing w:after="0" w:line="9" w:lineRule="exact"/>
        <w:rPr>
          <w:rFonts w:ascii="Arial" w:cs="Arial" w:eastAsia="Arial" w:hAnsi="Arial"/>
          <w:sz w:val="18"/>
          <w:szCs w:val="18"/>
          <w:color w:val="auto"/>
        </w:rPr>
      </w:pPr>
    </w:p>
    <w:p>
      <w:pPr>
        <w:jc w:val="both"/>
        <w:ind w:left="660" w:hanging="328"/>
        <w:spacing w:after="0" w:line="277"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Employee compensation costs increased by 30 basis points primarily due to higher annual base salaries and related employee benefit costs and, to a lesser extent, stock-based compensation expense, partially offset by a decrease in variable compensation expense. The increase in annual base salaries was driven primarily by annual merit increases and a net headcount increase in SG&amp;A of 190.</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May 31, 2023 compared with nine months ended May 31, 2022</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nine months ended May 31, 2023, SG&amp;A expenses increased 5.4% to $325.9 million, compared with $309.2 million for the same period a year ago, primarily due to higher employee compensation costs and, to a lesser extent, an increase in travel and entertainment expenses, partially offset by a decrease in professional fees.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SG&amp;A expenses, when expressed as a percentage of revenues, were 21.0% for the nine months ended May 31, 2023, a decrease of 200 basis points over the prior year period. This decrease was primarily due to lower professional fees and occupancy costs, partially offset by an increase in travel and entertainment expenses.</w:t>
      </w:r>
    </w:p>
    <w:p>
      <w:pPr>
        <w:spacing w:after="0" w:line="211"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Professional fees decreased 140 basis points primarily due to CGS acquisition costs incurred during the prior year period.</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Occupancy costs decreased by 80 basis points mainly driven by impairment charges recognized during fiscal 2022 related to vacating leased office space, which reduces occupancy costs recorded over their respective remaining lease terms.</w:t>
      </w:r>
    </w:p>
    <w:p>
      <w:pPr>
        <w:ind w:left="660" w:hanging="328"/>
        <w:spacing w:after="0" w:line="26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Travel and entertainment expenses increased by 50 basis points as we resumed essential business travel and incurred non-compensatory employee-related costs related to return to office activities during the current year.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Impairments</w:t>
      </w:r>
    </w:p>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Asset impairments incurred during the three and nine months ended May 31, 2023 were $0.4 million and $1.2 million, respectively, and were $49.0 million and $63.0 million for the three and nine months ended May 31, 2022, respectively. The asset impairments recognized during the three and nine months ended May 31, 2022 included a respective $48.8 million and $62.2 million charge related to our lease right-of-use ("ROU") assets and property, equipment and leasehold improvements ("PPE") associated with vacating certain leased office space to resize our real estate footprint for the hybrid work environment. We fully impaired our lease ROU assets for locations we vacated with no intention to sublease. For locations we intended to sublease, we recognized an impairment when the estimated fair value of the lease ROU asset was less than its carrying value. Substantially all the PPE associated with the vacated lease office space was fully impaired as there were no expected future cash flows for these items.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and Operating Margin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May 31, 2023 compared with three months ended May 31, 2022</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income increased 76.8% to $172.0 million for the three months ended May 31, 2023, compared with $97.3 million in the prior year period. This increase was primarily driven by growth in revenues, asset impairment charges incurred during the prior year period and, to a lesser extent, a decrease in professional fees, partially offset by increased employee compensation costs. Foreign currency exchange rate fluctuations, net of hedge activity, increased operating income by $5.6 million for the three months ended May 31, 2023, compared with a decrease of $1.3 million during the three months ended May 31, 2022.</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Operating margin increased to 32.5% during the three months ended May 31, 2023, compared with 19.9% in the prior year period. This increase was mainly due to growth in revenues and, when expressed as a percentage of revenue, asset impairment charges incurred during the prior year period and decreases in professional fees and data costs, partially offset by higher computer-related expenses, bad debt expense and employee compensation costs.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May 31, 2023 compared with nine months ended May 31, 2022</w:t>
      </w:r>
    </w:p>
    <w:p>
      <w:pPr>
        <w:spacing w:after="0" w:line="14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Operating income increased 49.5% to $513.1 million for the nine months ended May 31, 2023, compared with $343.3 million in the prior year period. Operating income increased primarily due to growth in revenues and, to a lesser extent, asset impairment charges recognized in the prior year period, followed by a decrease in professional fees. These increases in operating income were partially offset by higher employee compensation costs, amortization of intangible assets, royalty fees and computer-related expenses. Foreign currency exchange rate fluctuations, net of hedge activity, increased operating income by $21.9 million for the nine months ended May 31, 2023, compared with a decrease of $6.7 million during the nine months ended May 31, 2022.</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Operating margin increased to 33.1% for the nine months ended May 31, 2023, compared with 25.5% in the prior year period. This increase was primarily due to growth in revenues and, when expressed as a percentage of revenue, asset impairment charges incurred during the prior year period and, to a lesser extent, decreases in employee compensation costs and professional fees, partially offset by higher amortization of intangible assets and royalty fees.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by Segment</w:t>
      </w:r>
    </w:p>
    <w:p>
      <w:pPr>
        <w:spacing w:after="0" w:line="4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Our internal financial reporting structure is based on three segments: the Americas; EMEA; and Asia Pacific. Refer to Note 16, </w:t>
      </w:r>
      <w:r>
        <w:rPr>
          <w:rFonts w:ascii="Arial" w:cs="Arial" w:eastAsia="Arial" w:hAnsi="Arial"/>
          <w:sz w:val="18"/>
          <w:szCs w:val="18"/>
          <w:i w:val="1"/>
          <w:iCs w:val="1"/>
          <w:color w:val="auto"/>
        </w:rPr>
        <w:t>Segment Information</w:t>
      </w:r>
      <w:r>
        <w:rPr>
          <w:rFonts w:ascii="Arial" w:cs="Arial" w:eastAsia="Arial" w:hAnsi="Arial"/>
          <w:sz w:val="18"/>
          <w:szCs w:val="18"/>
          <w:color w:val="auto"/>
        </w:rPr>
        <w:t xml:space="preserve"> in the Notes of this Quarterly Report on Form 10-Q for further discussion regarding our segments. The following table summarizes our operating income by segment for the periods described: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gridSpan w:val="3"/>
          </w:tcPr>
          <w:p>
            <w:pPr>
              <w:jc w:val="right"/>
              <w:ind w:right="290"/>
              <w:spacing w:after="0"/>
              <w:rPr>
                <w:sz w:val="20"/>
                <w:szCs w:val="20"/>
                <w:color w:val="auto"/>
              </w:rPr>
            </w:pPr>
            <w:r>
              <w:rPr>
                <w:rFonts w:ascii="Arial" w:cs="Arial" w:eastAsia="Arial" w:hAnsi="Arial"/>
                <w:sz w:val="18"/>
                <w:szCs w:val="18"/>
                <w:color w:val="auto"/>
                <w:w w:val="97"/>
              </w:rPr>
              <w:t>Three Months Ended</w:t>
            </w: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gridSpan w:val="3"/>
          </w:tcPr>
          <w:p>
            <w:pPr>
              <w:jc w:val="right"/>
              <w:ind w:right="290"/>
              <w:spacing w:after="0"/>
              <w:rPr>
                <w:sz w:val="20"/>
                <w:szCs w:val="20"/>
                <w:color w:val="auto"/>
              </w:rPr>
            </w:pPr>
            <w:r>
              <w:rPr>
                <w:rFonts w:ascii="Arial" w:cs="Arial" w:eastAsia="Arial" w:hAnsi="Arial"/>
                <w:sz w:val="18"/>
                <w:szCs w:val="18"/>
                <w:color w:val="auto"/>
                <w:w w:val="98"/>
              </w:rPr>
              <w:t>Nine Months Ended</w:t>
            </w:r>
          </w:p>
        </w:tc>
        <w:tc>
          <w:tcPr>
            <w:tcW w:w="1140" w:type="dxa"/>
            <w:vAlign w:val="bottom"/>
          </w:tcPr>
          <w:p>
            <w:pPr>
              <w:spacing w:after="0"/>
              <w:rPr>
                <w:sz w:val="20"/>
                <w:szCs w:val="20"/>
                <w:color w:val="auto"/>
              </w:rPr>
            </w:pPr>
          </w:p>
        </w:tc>
      </w:tr>
      <w:tr>
        <w:trPr>
          <w:trHeight w:val="270"/>
        </w:trPr>
        <w:tc>
          <w:tcPr>
            <w:tcW w:w="4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May 31,</w:t>
            </w:r>
          </w:p>
        </w:tc>
        <w:tc>
          <w:tcPr>
            <w:tcW w:w="7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May 31,</w:t>
            </w:r>
          </w:p>
        </w:tc>
        <w:tc>
          <w:tcPr>
            <w:tcW w:w="78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6"/>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 amounts in thousands)</w:t>
            </w: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c>
          <w:tcPr>
            <w:tcW w:w="3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2022</w:t>
            </w:r>
          </w:p>
        </w:tc>
        <w:tc>
          <w:tcPr>
            <w:tcW w:w="140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 Change</w:t>
            </w: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2023</w:t>
            </w: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4"/>
              </w:rPr>
              <w:t>2022</w:t>
            </w: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 Change</w:t>
            </w:r>
          </w:p>
        </w:tc>
      </w:tr>
      <w:tr>
        <w:trPr>
          <w:trHeight w:val="237"/>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79,005</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11,212</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604.6 % $</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207,717</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115,613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79.7 %</w:t>
            </w: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color w:val="auto"/>
              </w:rPr>
              <w:t>EMEA</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58,607</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53,228</w:t>
            </w:r>
          </w:p>
        </w:tc>
        <w:tc>
          <w:tcPr>
            <w:tcW w:w="1160" w:type="dxa"/>
            <w:vAlign w:val="bottom"/>
          </w:tcPr>
          <w:p>
            <w:pPr>
              <w:jc w:val="right"/>
              <w:spacing w:after="0"/>
              <w:rPr>
                <w:sz w:val="20"/>
                <w:szCs w:val="20"/>
                <w:color w:val="auto"/>
              </w:rPr>
            </w:pPr>
            <w:r>
              <w:rPr>
                <w:rFonts w:ascii="Arial" w:cs="Arial" w:eastAsia="Arial" w:hAnsi="Arial"/>
                <w:sz w:val="18"/>
                <w:szCs w:val="18"/>
                <w:color w:val="auto"/>
              </w:rPr>
              <w:t>10.1 %</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194,870</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139,826</w:t>
            </w:r>
          </w:p>
        </w:tc>
        <w:tc>
          <w:tcPr>
            <w:tcW w:w="1140" w:type="dxa"/>
            <w:vAlign w:val="bottom"/>
          </w:tcPr>
          <w:p>
            <w:pPr>
              <w:jc w:val="right"/>
              <w:spacing w:after="0"/>
              <w:rPr>
                <w:sz w:val="20"/>
                <w:szCs w:val="20"/>
                <w:color w:val="auto"/>
              </w:rPr>
            </w:pPr>
            <w:r>
              <w:rPr>
                <w:rFonts w:ascii="Arial" w:cs="Arial" w:eastAsia="Arial" w:hAnsi="Arial"/>
                <w:sz w:val="18"/>
                <w:szCs w:val="18"/>
                <w:color w:val="auto"/>
              </w:rPr>
              <w:t>39.4 %</w:t>
            </w:r>
          </w:p>
        </w:tc>
      </w:tr>
      <w:tr>
        <w:trPr>
          <w:trHeight w:val="23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34,347</w:t>
            </w: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32,814</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110,517</w:t>
            </w: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87,824</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25.8 %</w:t>
            </w:r>
          </w:p>
        </w:tc>
      </w:tr>
      <w:tr>
        <w:trPr>
          <w:trHeight w:val="224"/>
        </w:trPr>
        <w:tc>
          <w:tcPr>
            <w:tcW w:w="4480" w:type="dxa"/>
            <w:vAlign w:val="bottom"/>
          </w:tcPr>
          <w:p>
            <w:pPr>
              <w:ind w:left="20"/>
              <w:spacing w:after="0"/>
              <w:rPr>
                <w:sz w:val="20"/>
                <w:szCs w:val="20"/>
                <w:color w:val="auto"/>
              </w:rPr>
            </w:pPr>
            <w:r>
              <w:rPr>
                <w:rFonts w:ascii="Arial" w:cs="Arial" w:eastAsia="Arial" w:hAnsi="Arial"/>
                <w:sz w:val="18"/>
                <w:szCs w:val="18"/>
                <w:color w:val="auto"/>
              </w:rPr>
              <w:t>Total Operating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171,959</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97,254</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76.8 % $</w:t>
            </w:r>
          </w:p>
        </w:tc>
        <w:tc>
          <w:tcPr>
            <w:tcW w:w="820" w:type="dxa"/>
            <w:vAlign w:val="bottom"/>
          </w:tcPr>
          <w:p>
            <w:pPr>
              <w:jc w:val="right"/>
              <w:spacing w:after="0"/>
              <w:rPr>
                <w:sz w:val="20"/>
                <w:szCs w:val="20"/>
                <w:color w:val="auto"/>
              </w:rPr>
            </w:pPr>
            <w:r>
              <w:rPr>
                <w:rFonts w:ascii="Arial" w:cs="Arial" w:eastAsia="Arial" w:hAnsi="Arial"/>
                <w:sz w:val="18"/>
                <w:szCs w:val="18"/>
                <w:color w:val="auto"/>
              </w:rPr>
              <w:t>513,104</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343,263</w:t>
            </w:r>
          </w:p>
        </w:tc>
        <w:tc>
          <w:tcPr>
            <w:tcW w:w="1140" w:type="dxa"/>
            <w:vAlign w:val="bottom"/>
          </w:tcPr>
          <w:p>
            <w:pPr>
              <w:jc w:val="right"/>
              <w:spacing w:after="0"/>
              <w:rPr>
                <w:sz w:val="20"/>
                <w:szCs w:val="20"/>
                <w:color w:val="auto"/>
              </w:rPr>
            </w:pPr>
            <w:r>
              <w:rPr>
                <w:rFonts w:ascii="Arial" w:cs="Arial" w:eastAsia="Arial" w:hAnsi="Arial"/>
                <w:sz w:val="18"/>
                <w:szCs w:val="18"/>
                <w:color w:val="auto"/>
              </w:rPr>
              <w:t>49.5 %</w:t>
            </w:r>
          </w:p>
        </w:tc>
      </w:tr>
    </w:tbl>
    <w:p>
      <w:pPr>
        <w:spacing w:after="0" w:line="268" w:lineRule="exact"/>
        <w:rPr>
          <w:sz w:val="20"/>
          <w:szCs w:val="20"/>
          <w:color w:val="auto"/>
        </w:rPr>
      </w:pPr>
    </w:p>
    <w:p>
      <w:pPr>
        <w:ind w:right="5140"/>
        <w:spacing w:after="0" w:line="453" w:lineRule="auto"/>
        <w:rPr>
          <w:sz w:val="20"/>
          <w:szCs w:val="20"/>
          <w:color w:val="auto"/>
        </w:rPr>
      </w:pPr>
      <w:r>
        <w:rPr>
          <w:rFonts w:ascii="Arial" w:cs="Arial" w:eastAsia="Arial" w:hAnsi="Arial"/>
          <w:sz w:val="18"/>
          <w:szCs w:val="18"/>
          <w:i w:val="1"/>
          <w:iCs w:val="1"/>
          <w:color w:val="auto"/>
        </w:rPr>
        <w:t>Three months ended May 31, 2023 compared with three months ended May 31, 2022 Americas</w:t>
      </w:r>
    </w:p>
    <w:p>
      <w:pPr>
        <w:spacing w:after="0" w:line="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Americas operating income increased 604.6% to $79.0 million during the three months ended May 31, 2023, compared with $11.2 million in the same period a year ago. This increase was primarily due to asset impairment charges recorded in the prior year period, growth in revenues of 9.0% and, to a lesser extent, a decrease in professional fees, partially offset by increases in employee compensation costs and computer-related expenses.</w:t>
      </w:r>
    </w:p>
    <w:p>
      <w:pPr>
        <w:spacing w:after="0" w:line="138" w:lineRule="exact"/>
        <w:rPr>
          <w:sz w:val="20"/>
          <w:szCs w:val="20"/>
          <w:color w:val="auto"/>
        </w:rPr>
      </w:pPr>
    </w:p>
    <w:p>
      <w:pPr>
        <w:ind w:left="660" w:hanging="328"/>
        <w:spacing w:after="0" w:line="258" w:lineRule="auto"/>
        <w:tabs>
          <w:tab w:leader="none" w:pos="660" w:val="left"/>
        </w:tabs>
        <w:numPr>
          <w:ilvl w:val="0"/>
          <w:numId w:val="26"/>
        </w:numPr>
        <w:rPr>
          <w:rFonts w:ascii="Arial" w:cs="Arial" w:eastAsia="Arial" w:hAnsi="Arial"/>
          <w:sz w:val="14"/>
          <w:szCs w:val="14"/>
          <w:b w:val="1"/>
          <w:bCs w:val="1"/>
          <w:i w:val="1"/>
          <w:iCs w:val="1"/>
          <w:color w:val="212529"/>
        </w:rPr>
      </w:pPr>
      <w:r>
        <w:rPr>
          <w:rFonts w:ascii="Arial" w:cs="Arial" w:eastAsia="Arial" w:hAnsi="Arial"/>
          <w:sz w:val="18"/>
          <w:szCs w:val="18"/>
          <w:color w:val="auto"/>
        </w:rPr>
        <w:t>The impairment charges recorded in the prior year period were mainly related to our lease ROU assets and PPE associated with vacating certain leased office space.</w:t>
      </w:r>
    </w:p>
    <w:p>
      <w:pPr>
        <w:spacing w:after="0" w:line="1" w:lineRule="exact"/>
        <w:rPr>
          <w:rFonts w:ascii="Arial" w:cs="Arial" w:eastAsia="Arial" w:hAnsi="Arial"/>
          <w:sz w:val="14"/>
          <w:szCs w:val="14"/>
          <w:b w:val="1"/>
          <w:bCs w:val="1"/>
          <w:i w:val="1"/>
          <w:iCs w:val="1"/>
          <w:color w:val="212529"/>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Professional fees decreased primarily driven by costs related to the acquisition of CGS incurred during the prior year period.</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Employee compensation costs increased primarily due to an increase in annual base salary and related payroll taxes and, to a lesser extent, an increase in stock-compensation expense, partially offset by a decrease in variable compensation and higher capitalization of compensation costs related to the development of our internal-use software. The increase in annual base salary was primarily driven by annual merit increases and a net headcount increase of 256.</w:t>
      </w:r>
    </w:p>
    <w:p>
      <w:pPr>
        <w:spacing w:after="0" w:line="1"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Computer-related expenses increased primarily due to higher spending for licensed software arrangements and third-party software engineering support.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EMEA</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EMEA operating income increased 10.1% to $58.6 million during the three months ended May 31, 2023, compared with $53.2 million in the same period a year ago. This increase was primarily due to growth in revenues of 7.5% and asset impairment charges recorded in the prior year period, partially offset by an increase in employee compensation costs. The prior year impairment charges were mainly related to our lease ROU assets and PPE associated with vacating certain leased office space.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Employee compensation costs increased primarily due to an increase in annual base salary, due mainly to annual merit increases and a net headcount increase of 98, as well as higher variable compensation.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Asia Pacific</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Asia Pacific operating income increased 4.7% to $34.3 million during the three months ended May 31, 2023, compared with $32.8 million from the prior year. This increase was mainly due to growth in revenues of 6.8%, partially offset by higher employee compensation costs and, to a lesser extent, travel expenses. Employee compensation costs increased primarily due to higher annual base salary, mainly driven by annual merit increases and a net increase in employee headcount of 1,027 and, to a lesser extent, higher variable compensation. Travel expenses increased as we incurred non-compensatory employee-related costs associated with return to office activities during the current year.</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May 31, 2023 compared with nine months ended May 31, 2022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Americas operating income increased 79.7% to $207.7 million during the nine months ended May 31, 2023, compared with $115.6 million in the same period a year ago. This increase was primarily due to growth in revenues of 16.7%, asset impairment charges recorded in the prior year period and, to a lesser extent, a decrease in professional fees. These increases in operating income were partially offset by higher amortization of intangible assets, employee compensation costs, royalty fees and computer-related expenses.</w:t>
      </w:r>
    </w:p>
    <w:p>
      <w:pPr>
        <w:spacing w:after="0" w:line="2" w:lineRule="exact"/>
        <w:rPr>
          <w:sz w:val="20"/>
          <w:szCs w:val="20"/>
          <w:color w:val="auto"/>
        </w:rPr>
      </w:pPr>
    </w:p>
    <w:p>
      <w:pPr>
        <w:ind w:left="66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impairment charges recorded in the prior year period were mainly related to our lease ROU assets and PPE associated with vacating certain leased office space.</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Professional fees decreased primarily driven by costs related to the acquisition of CGS incurred during the prior year period.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Amortization of intangible assets primarily increased due to amortization related to acquired intangible assets, mainly from the CGS acquisition.</w:t>
      </w:r>
    </w:p>
    <w:p>
      <w:pPr>
        <w:spacing w:after="0" w:line="32"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Employee compensation costs were higher mainly due to an increase in annual base salary, primarily driven by annual merit increases and a net increase in employee headcount of 256, partially offset by an increase in capitalized compensation costs related to the development of internal-use software.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Royalty fees increased due to contracts acquired in connection with the acquisition of CGS.</w:t>
      </w:r>
    </w:p>
    <w:p>
      <w:pPr>
        <w:spacing w:after="0" w:line="9"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Computer-related expenses increased primarily due to higher spend related to licensed software arrangements and our cloud-based hosting services.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EMEA</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EMEA operating income increased 39.4% to $194.9 million during the nine months ended May 31, 2023, compared with $139.8 million in the same period a year ago. This increase was primarily due to growth in revenues of 12.1%, a decrease in data costs, asset impairment charges recorded in the prior year period and a decrease in amortization of intangible assets, partially offset by an increase in employee compensation costs.</w:t>
      </w:r>
    </w:p>
    <w:p>
      <w:pPr>
        <w:spacing w:after="0" w:line="192" w:lineRule="exact"/>
        <w:rPr>
          <w:sz w:val="20"/>
          <w:szCs w:val="20"/>
          <w:color w:val="auto"/>
        </w:rPr>
      </w:pPr>
    </w:p>
    <w:p>
      <w:pPr>
        <w:ind w:left="660" w:hanging="328"/>
        <w:spacing w:after="0" w:line="274" w:lineRule="auto"/>
        <w:tabs>
          <w:tab w:leader="none" w:pos="660" w:val="left"/>
        </w:tabs>
        <w:numPr>
          <w:ilvl w:val="0"/>
          <w:numId w:val="28"/>
        </w:numPr>
        <w:rPr>
          <w:rFonts w:ascii="Arial" w:cs="Arial" w:eastAsia="Arial" w:hAnsi="Arial"/>
          <w:sz w:val="17"/>
          <w:szCs w:val="17"/>
          <w:i w:val="1"/>
          <w:iCs w:val="1"/>
          <w:color w:val="212529"/>
        </w:rPr>
      </w:pPr>
      <w:r>
        <w:rPr>
          <w:rFonts w:ascii="Arial" w:cs="Arial" w:eastAsia="Arial" w:hAnsi="Arial"/>
          <w:sz w:val="17"/>
          <w:szCs w:val="17"/>
          <w:color w:val="auto"/>
        </w:rPr>
        <w:t>Data costs decreased due to the release of certain accruals during the first quarter of fiscal 2023 which related to the successful resolution of exchange audits that were recorded during the prior year period and revenue growth outpacing the increased cost of content.</w:t>
      </w:r>
    </w:p>
    <w:p>
      <w:pPr>
        <w:ind w:left="660" w:hanging="328"/>
        <w:spacing w:after="0" w:line="250" w:lineRule="auto"/>
        <w:tabs>
          <w:tab w:leader="none" w:pos="660" w:val="left"/>
        </w:tabs>
        <w:numPr>
          <w:ilvl w:val="0"/>
          <w:numId w:val="28"/>
        </w:numPr>
        <w:rPr>
          <w:rFonts w:ascii="Arial" w:cs="Arial" w:eastAsia="Arial" w:hAnsi="Arial"/>
          <w:sz w:val="18"/>
          <w:szCs w:val="18"/>
          <w:i w:val="1"/>
          <w:iCs w:val="1"/>
          <w:color w:val="212529"/>
        </w:rPr>
      </w:pPr>
      <w:r>
        <w:rPr>
          <w:rFonts w:ascii="Arial" w:cs="Arial" w:eastAsia="Arial" w:hAnsi="Arial"/>
          <w:sz w:val="18"/>
          <w:szCs w:val="18"/>
          <w:color w:val="auto"/>
        </w:rPr>
        <w:t>The impairment charges recorded in the prior year period were mainly related to our lease ROU assets and PPE associated with vacating certain leased office space.</w:t>
      </w:r>
    </w:p>
    <w:p>
      <w:pPr>
        <w:ind w:left="660" w:hanging="328"/>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Amortization of intangible assets decreased as certain acquired intangible assets were fully amortized during the third quarter of fiscal 2022.</w:t>
      </w:r>
    </w:p>
    <w:p>
      <w:pPr>
        <w:spacing w:after="0" w:line="20" w:lineRule="exact"/>
        <w:rPr>
          <w:rFonts w:ascii="Arial" w:cs="Arial" w:eastAsia="Arial" w:hAnsi="Arial"/>
          <w:sz w:val="17"/>
          <w:szCs w:val="17"/>
          <w:color w:val="auto"/>
        </w:rPr>
      </w:pPr>
    </w:p>
    <w:p>
      <w:pPr>
        <w:jc w:val="both"/>
        <w:ind w:left="660" w:hanging="328"/>
        <w:spacing w:after="0" w:line="255" w:lineRule="auto"/>
        <w:tabs>
          <w:tab w:leader="none" w:pos="660" w:val="left"/>
        </w:tabs>
        <w:numPr>
          <w:ilvl w:val="0"/>
          <w:numId w:val="28"/>
        </w:numPr>
        <w:rPr>
          <w:rFonts w:ascii="Arial" w:cs="Arial" w:eastAsia="Arial" w:hAnsi="Arial"/>
          <w:sz w:val="14"/>
          <w:szCs w:val="14"/>
          <w:b w:val="1"/>
          <w:bCs w:val="1"/>
          <w:i w:val="1"/>
          <w:iCs w:val="1"/>
          <w:color w:val="212529"/>
        </w:rPr>
      </w:pPr>
      <w:r>
        <w:rPr>
          <w:rFonts w:ascii="Arial" w:cs="Arial" w:eastAsia="Arial" w:hAnsi="Arial"/>
          <w:sz w:val="18"/>
          <w:szCs w:val="18"/>
          <w:color w:val="auto"/>
        </w:rPr>
        <w:t>Employee compensation costs increased primarily due to an increase in variable compensation and higher annual base salary costs driven mainly by annual merit increases and a net headcount increase of 98, partially offset by a one-time restructuring charge recorded during the prior year period to drive organization realignment.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Asia Pacific</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Asia Pacific operating income increased 25.8% to $110.5 million during the nine months ended May 31, 2023, compared with $87.8 million in the same period a year ago. This increase was mainly due to growth in revenues of 14.6%, partially offset by an increase in employee compensation costs and, to a lesser extent, travel expenses. Employee compensation costs increased primarily due to higher annual base salary, driven mainly by annual merit increases and a net headcount increase of 1,027. Travel expenses increased as we incurred non-compensatory employee-related costs associated with return to office activities during the current year.</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Table of Contents</w:t>
            </w:r>
          </w:p>
        </w:tc>
        <w:tc>
          <w:tcPr>
            <w:tcW w:w="1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945"/>
        </w:trPr>
        <w:tc>
          <w:tcPr>
            <w:tcW w:w="3160" w:type="dxa"/>
            <w:vAlign w:val="bottom"/>
          </w:tcPr>
          <w:p>
            <w:pPr>
              <w:spacing w:after="0"/>
              <w:rPr>
                <w:sz w:val="20"/>
                <w:szCs w:val="20"/>
                <w:color w:val="auto"/>
              </w:rPr>
            </w:pPr>
            <w:r>
              <w:rPr>
                <w:rFonts w:ascii="Arial" w:cs="Arial" w:eastAsia="Arial" w:hAnsi="Arial"/>
                <w:sz w:val="18"/>
                <w:szCs w:val="18"/>
                <w:b w:val="1"/>
                <w:bCs w:val="1"/>
                <w:color w:val="auto"/>
              </w:rPr>
              <w:t>Income Taxes</w:t>
            </w:r>
          </w:p>
        </w:tc>
        <w:tc>
          <w:tcPr>
            <w:tcW w:w="1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05"/>
        </w:trPr>
        <w:tc>
          <w:tcPr>
            <w:tcW w:w="5300" w:type="dxa"/>
            <w:vAlign w:val="bottom"/>
            <w:gridSpan w:val="3"/>
          </w:tcPr>
          <w:p>
            <w:pPr>
              <w:spacing w:after="0"/>
              <w:rPr>
                <w:sz w:val="20"/>
                <w:szCs w:val="20"/>
                <w:color w:val="auto"/>
              </w:rPr>
            </w:pPr>
            <w:r>
              <w:rPr>
                <w:rFonts w:ascii="Arial" w:cs="Arial" w:eastAsia="Arial" w:hAnsi="Arial"/>
                <w:sz w:val="18"/>
                <w:szCs w:val="18"/>
                <w:color w:val="auto"/>
                <w:w w:val="95"/>
              </w:rPr>
              <w:t>The provision for income taxes and the effective tax rate is as follows:</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6"/>
        </w:trPr>
        <w:tc>
          <w:tcPr>
            <w:tcW w:w="3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240" w:type="dxa"/>
            <w:vAlign w:val="bottom"/>
            <w:gridSpan w:val="3"/>
          </w:tcPr>
          <w:p>
            <w:pPr>
              <w:jc w:val="right"/>
              <w:ind w:right="450"/>
              <w:spacing w:after="0"/>
              <w:rPr>
                <w:sz w:val="20"/>
                <w:szCs w:val="20"/>
                <w:color w:val="auto"/>
              </w:rPr>
            </w:pPr>
            <w:r>
              <w:rPr>
                <w:rFonts w:ascii="Arial" w:cs="Arial" w:eastAsia="Arial" w:hAnsi="Arial"/>
                <w:sz w:val="18"/>
                <w:szCs w:val="18"/>
                <w:color w:val="auto"/>
                <w:w w:val="99"/>
              </w:rPr>
              <w:t>Three Months Ended</w:t>
            </w:r>
          </w:p>
        </w:tc>
        <w:tc>
          <w:tcPr>
            <w:tcW w:w="1320" w:type="dxa"/>
            <w:vAlign w:val="bottom"/>
          </w:tcPr>
          <w:p>
            <w:pPr>
              <w:spacing w:after="0"/>
              <w:rPr>
                <w:sz w:val="22"/>
                <w:szCs w:val="22"/>
                <w:color w:val="auto"/>
              </w:rPr>
            </w:pPr>
          </w:p>
        </w:tc>
        <w:tc>
          <w:tcPr>
            <w:tcW w:w="2260" w:type="dxa"/>
            <w:vAlign w:val="bottom"/>
            <w:gridSpan w:val="3"/>
          </w:tcPr>
          <w:p>
            <w:pPr>
              <w:jc w:val="right"/>
              <w:ind w:right="490"/>
              <w:spacing w:after="0"/>
              <w:rPr>
                <w:sz w:val="20"/>
                <w:szCs w:val="20"/>
                <w:color w:val="auto"/>
              </w:rPr>
            </w:pPr>
            <w:r>
              <w:rPr>
                <w:rFonts w:ascii="Arial" w:cs="Arial" w:eastAsia="Arial" w:hAnsi="Arial"/>
                <w:sz w:val="18"/>
                <w:szCs w:val="18"/>
                <w:color w:val="auto"/>
              </w:rPr>
              <w:t>Nine Months Ended</w:t>
            </w:r>
          </w:p>
        </w:tc>
        <w:tc>
          <w:tcPr>
            <w:tcW w:w="1060" w:type="dxa"/>
            <w:vAlign w:val="bottom"/>
          </w:tcPr>
          <w:p>
            <w:pPr>
              <w:spacing w:after="0"/>
              <w:rPr>
                <w:sz w:val="22"/>
                <w:szCs w:val="22"/>
                <w:color w:val="auto"/>
              </w:rPr>
            </w:pPr>
          </w:p>
        </w:tc>
      </w:tr>
      <w:tr>
        <w:trPr>
          <w:trHeight w:val="229"/>
        </w:trPr>
        <w:tc>
          <w:tcPr>
            <w:tcW w:w="3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May 31,</w:t>
            </w:r>
          </w:p>
        </w:tc>
        <w:tc>
          <w:tcPr>
            <w:tcW w:w="9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May 31,</w:t>
            </w:r>
          </w:p>
        </w:tc>
        <w:tc>
          <w:tcPr>
            <w:tcW w:w="9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7"/>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 amounts in thousands)</w:t>
            </w:r>
          </w:p>
        </w:tc>
        <w:tc>
          <w:tcPr>
            <w:tcW w:w="1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2023</w:t>
            </w: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2022</w:t>
            </w:r>
          </w:p>
        </w:tc>
        <w:tc>
          <w:tcPr>
            <w:tcW w:w="13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 Change</w:t>
            </w: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2023</w:t>
            </w: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2022</w:t>
            </w: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 Change</w:t>
            </w: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161,998</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85,280</w:t>
            </w: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90.0 % $</w:t>
            </w: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476,645</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5"/>
              </w:rPr>
              <w:t>327,166</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45.7 %</w:t>
            </w:r>
          </w:p>
        </w:tc>
      </w:tr>
      <w:tr>
        <w:trPr>
          <w:trHeight w:val="229"/>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Provision for income taxes</w:t>
            </w: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27,335</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10,370</w:t>
            </w: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163.6 % $</w:t>
            </w: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73,591</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34,671</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112.3 %</w:t>
            </w:r>
          </w:p>
        </w:tc>
      </w:tr>
      <w:tr>
        <w:trPr>
          <w:trHeight w:val="237"/>
        </w:trPr>
        <w:tc>
          <w:tcPr>
            <w:tcW w:w="3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Effective tax rate</w:t>
            </w:r>
          </w:p>
        </w:tc>
        <w:tc>
          <w:tcPr>
            <w:tcW w:w="1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16.9 %</w:t>
            </w:r>
          </w:p>
        </w:tc>
        <w:tc>
          <w:tcPr>
            <w:tcW w:w="3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12.2 %</w:t>
            </w: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38.8 %</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15.4 %</w:t>
            </w:r>
          </w:p>
        </w:tc>
        <w:tc>
          <w:tcPr>
            <w:tcW w:w="3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10.6 %</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45.7 %</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are subject to taxation in the United States and various foreign jurisdictions in which we conduct our business.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provision for income taxes for interim periods is calculated by applying an estimate of our annual effective tax rate to our quarter and year-to-date results, adjusted for discrete items recorded in the period. The computation of the annual estimated effective tax rate at each interim period requires certain estimates and assumptions including, but not limited to, the expected pretax income (or loss) for the year, projections of the proportion of income (or loss) earned and taxed in foreign jurisdictions, permanent and temporary differences and the likelihood of recovering deferred tax assets, then adjusted for any discrete items. On a quarterly basis, we update the estimate of our annual effective tax rate as new events occur, assumptions change, or additional information is obtained.</w:t>
      </w:r>
    </w:p>
    <w:p>
      <w:pPr>
        <w:spacing w:after="0" w:line="1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effective tax rate for all periods presented above was lower than the applicable U.S. corporate income tax rate mainly due to research and development ("R&amp;D") tax credits, a foreign derived intangible income ("FDII") deduction and a net tax benefit from discrete items, partially offset by our net state taxes.</w:t>
      </w:r>
    </w:p>
    <w:p>
      <w:pPr>
        <w:spacing w:after="0" w:line="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effective tax rate during the three and nine months ended May 31, 2023 was higher than the rate during the respective prior year periods due mainly to a decrease in the impact of tax attributes on the effective tax rate as a result of an increase in income, a lower net tax benefit from discrete items driven mainly by a reduction in the exercise of stock options, as well as an increase in the U.K.'s enacted tax rates.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r>
              <w:rPr>
                <w:rFonts w:ascii="Arial" w:cs="Arial" w:eastAsia="Arial" w:hAnsi="Arial"/>
                <w:sz w:val="18"/>
                <w:szCs w:val="18"/>
                <w:b w:val="1"/>
                <w:bCs w:val="1"/>
                <w:color w:val="auto"/>
              </w:rPr>
              <w:t>Net Income and Diluted Earnings per Share</w:t>
            </w: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32"/>
        </w:trPr>
        <w:tc>
          <w:tcPr>
            <w:tcW w:w="4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60" w:type="dxa"/>
            <w:vAlign w:val="bottom"/>
            <w:gridSpan w:val="3"/>
          </w:tcPr>
          <w:p>
            <w:pPr>
              <w:jc w:val="right"/>
              <w:ind w:right="190"/>
              <w:spacing w:after="0"/>
              <w:rPr>
                <w:sz w:val="20"/>
                <w:szCs w:val="20"/>
                <w:color w:val="auto"/>
              </w:rPr>
            </w:pPr>
            <w:r>
              <w:rPr>
                <w:rFonts w:ascii="Arial" w:cs="Arial" w:eastAsia="Arial" w:hAnsi="Arial"/>
                <w:sz w:val="18"/>
                <w:szCs w:val="18"/>
                <w:color w:val="auto"/>
                <w:w w:val="92"/>
              </w:rPr>
              <w:t>Three Months Ended</w:t>
            </w:r>
          </w:p>
        </w:tc>
        <w:tc>
          <w:tcPr>
            <w:tcW w:w="1240" w:type="dxa"/>
            <w:vAlign w:val="bottom"/>
          </w:tcPr>
          <w:p>
            <w:pPr>
              <w:spacing w:after="0"/>
              <w:rPr>
                <w:sz w:val="24"/>
                <w:szCs w:val="24"/>
                <w:color w:val="auto"/>
              </w:rPr>
            </w:pPr>
          </w:p>
        </w:tc>
        <w:tc>
          <w:tcPr>
            <w:tcW w:w="1840" w:type="dxa"/>
            <w:vAlign w:val="bottom"/>
            <w:gridSpan w:val="3"/>
          </w:tcPr>
          <w:p>
            <w:pPr>
              <w:jc w:val="right"/>
              <w:ind w:right="230"/>
              <w:spacing w:after="0"/>
              <w:rPr>
                <w:sz w:val="20"/>
                <w:szCs w:val="20"/>
                <w:color w:val="auto"/>
              </w:rPr>
            </w:pPr>
            <w:r>
              <w:rPr>
                <w:rFonts w:ascii="Arial" w:cs="Arial" w:eastAsia="Arial" w:hAnsi="Arial"/>
                <w:sz w:val="18"/>
                <w:szCs w:val="18"/>
                <w:color w:val="auto"/>
                <w:w w:val="94"/>
              </w:rPr>
              <w:t>Nine Months Ended</w:t>
            </w:r>
          </w:p>
        </w:tc>
        <w:tc>
          <w:tcPr>
            <w:tcW w:w="1060" w:type="dxa"/>
            <w:vAlign w:val="bottom"/>
          </w:tcPr>
          <w:p>
            <w:pPr>
              <w:spacing w:after="0"/>
              <w:rPr>
                <w:sz w:val="24"/>
                <w:szCs w:val="24"/>
                <w:color w:val="auto"/>
              </w:rPr>
            </w:pPr>
          </w:p>
        </w:tc>
      </w:tr>
      <w:tr>
        <w:trPr>
          <w:trHeight w:val="242"/>
        </w:trPr>
        <w:tc>
          <w:tcPr>
            <w:tcW w:w="4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May 31,</w:t>
            </w:r>
          </w:p>
        </w:tc>
        <w:tc>
          <w:tcPr>
            <w:tcW w:w="7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May 31,</w:t>
            </w:r>
          </w:p>
        </w:tc>
        <w:tc>
          <w:tcPr>
            <w:tcW w:w="7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30"/>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 amounts in thousands, except per share data)</w:t>
            </w:r>
          </w:p>
        </w:tc>
        <w:tc>
          <w:tcPr>
            <w:tcW w:w="7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2023</w:t>
            </w:r>
          </w:p>
        </w:tc>
        <w:tc>
          <w:tcPr>
            <w:tcW w:w="3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89"/>
              </w:rPr>
              <w:t>2022</w:t>
            </w:r>
          </w:p>
        </w:tc>
        <w:tc>
          <w:tcPr>
            <w:tcW w:w="12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 Change</w:t>
            </w: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2023</w:t>
            </w:r>
          </w:p>
        </w:tc>
        <w:tc>
          <w:tcPr>
            <w:tcW w:w="3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89"/>
              </w:rPr>
              <w:t>2022</w:t>
            </w: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 Change</w:t>
            </w:r>
          </w:p>
        </w:tc>
      </w:tr>
      <w:tr>
        <w:trPr>
          <w:trHeight w:val="237"/>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134,663</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74,910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79.8 % $</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403,054</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2"/>
              </w:rPr>
              <w:t>292,495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37.8 %</w:t>
            </w:r>
          </w:p>
        </w:tc>
      </w:tr>
      <w:tr>
        <w:trPr>
          <w:trHeight w:val="230"/>
        </w:trPr>
        <w:tc>
          <w:tcPr>
            <w:tcW w:w="4460" w:type="dxa"/>
            <w:vAlign w:val="bottom"/>
          </w:tcPr>
          <w:p>
            <w:pPr>
              <w:ind w:left="20"/>
              <w:spacing w:after="0"/>
              <w:rPr>
                <w:sz w:val="20"/>
                <w:szCs w:val="20"/>
                <w:color w:val="auto"/>
              </w:rPr>
            </w:pPr>
            <w:r>
              <w:rPr>
                <w:rFonts w:ascii="Arial" w:cs="Arial" w:eastAsia="Arial" w:hAnsi="Arial"/>
                <w:sz w:val="18"/>
                <w:szCs w:val="18"/>
                <w:color w:val="auto"/>
              </w:rPr>
              <w:t>Diluted weighted average common shares</w:t>
            </w:r>
          </w:p>
        </w:tc>
        <w:tc>
          <w:tcPr>
            <w:tcW w:w="7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38,912</w:t>
            </w:r>
          </w:p>
        </w:tc>
        <w:tc>
          <w:tcPr>
            <w:tcW w:w="32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38,720</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0.5 %</w:t>
            </w:r>
          </w:p>
        </w:tc>
        <w:tc>
          <w:tcPr>
            <w:tcW w:w="780" w:type="dxa"/>
            <w:vAlign w:val="bottom"/>
          </w:tcPr>
          <w:p>
            <w:pPr>
              <w:jc w:val="right"/>
              <w:spacing w:after="0"/>
              <w:rPr>
                <w:sz w:val="20"/>
                <w:szCs w:val="20"/>
                <w:color w:val="auto"/>
              </w:rPr>
            </w:pPr>
            <w:r>
              <w:rPr>
                <w:rFonts w:ascii="Arial" w:cs="Arial" w:eastAsia="Arial" w:hAnsi="Arial"/>
                <w:sz w:val="18"/>
                <w:szCs w:val="18"/>
                <w:color w:val="auto"/>
              </w:rPr>
              <w:t>38,936</w:t>
            </w:r>
          </w:p>
        </w:tc>
        <w:tc>
          <w:tcPr>
            <w:tcW w:w="32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38,607</w:t>
            </w:r>
          </w:p>
        </w:tc>
        <w:tc>
          <w:tcPr>
            <w:tcW w:w="1060" w:type="dxa"/>
            <w:vAlign w:val="bottom"/>
          </w:tcPr>
          <w:p>
            <w:pPr>
              <w:jc w:val="right"/>
              <w:spacing w:after="0"/>
              <w:rPr>
                <w:sz w:val="20"/>
                <w:szCs w:val="20"/>
                <w:color w:val="auto"/>
              </w:rPr>
            </w:pPr>
            <w:r>
              <w:rPr>
                <w:rFonts w:ascii="Arial" w:cs="Arial" w:eastAsia="Arial" w:hAnsi="Arial"/>
                <w:sz w:val="18"/>
                <w:szCs w:val="18"/>
                <w:color w:val="auto"/>
              </w:rPr>
              <w:t>0.9 %</w:t>
            </w:r>
          </w:p>
        </w:tc>
      </w:tr>
      <w:tr>
        <w:trPr>
          <w:trHeight w:val="229"/>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1.93</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79.3 % $</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36.5 %</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May 31, 2023 compared with three months ended May 31, 2022</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income increased 79.8% to $134.7 million and EPS increased 79.3% to $3.46 for the three months ended May 31, 2023, compared with the same period a year ago. Net income and EPS increased primarily due to higher operating income, partially offset by an increase in the provision for income taxes, compared with the prior year period.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May 31, 2023 compared with nine months ended May 31, 2022</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income increased 37.8% to $403.1 million and EPS increased 36.5% to $10.35 for the nine months ended May 31, 2023, compared with the same period a year ago. Net income and EPS increased primarily due to higher operating income, partially offset by an increase in the provision for income taxes and an increase in interest expense as a result of higher outstanding debt, compared with the prior year period.</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To supplement the financial measures prepared in accordance with generally accepted accounting principles in the United States ("GAAP"), we use non-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GAAP financial measures including organic revenues, adjusted operating income, adjusted operating margin, adjusted net income, EBITDA, adjusted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EBITDA and adjusted diluted earnings per share. The reconciliations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our financial measures calculated and presented in accordance with GAAP to these non-GAAP financial measures are shown in the tables below. These non-GAAP financial measures should not be considered in isolation from, as a substitute for or superior to, financial measures reported in accordance with GAAP. Moreover, these non-GAAP financial measures have limitations in that they do not reflect all the items associated with the operations of our business as determined in accordance with GAAP. Other companies may calculate similarly titled non-GAAP financial measures differently than we do, limiting the usefulness of those measures for comparative purposes.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Despite the limitations of these non-GAAP financial measures, we believe these adjusted financial measures, and the information they provide, are useful in viewing our performance using the same tools that management uses to gauge progress in achieving our goals. Adjusted measures may also facilitate comparisons to our historical performance.</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Adjusted revenues exclude the impact of the fair value of deferred revenues acquired in a business combination. Organic revenues further excludes both acquisition-related revenues recognized in any current year quarters in which the comparable prior year period predated the acquisition(s) and foreign currency movements in all periods presented.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an unaudited reconciliation of revenues to adjusted revenues and organic revenues.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0" w:type="dxa"/>
            <w:vAlign w:val="bottom"/>
            <w:gridSpan w:val="3"/>
          </w:tcPr>
          <w:p>
            <w:pPr>
              <w:jc w:val="right"/>
              <w:ind w:right="390"/>
              <w:spacing w:after="0"/>
              <w:rPr>
                <w:sz w:val="20"/>
                <w:szCs w:val="20"/>
                <w:color w:val="auto"/>
              </w:rPr>
            </w:pPr>
            <w:r>
              <w:rPr>
                <w:rFonts w:ascii="Arial" w:cs="Arial" w:eastAsia="Arial" w:hAnsi="Arial"/>
                <w:sz w:val="18"/>
                <w:szCs w:val="18"/>
                <w:color w:val="auto"/>
              </w:rPr>
              <w:t>Three Months Ended</w:t>
            </w: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0" w:type="dxa"/>
            <w:vAlign w:val="bottom"/>
            <w:gridSpan w:val="3"/>
          </w:tcPr>
          <w:p>
            <w:pPr>
              <w:jc w:val="right"/>
              <w:ind w:right="430"/>
              <w:spacing w:after="0"/>
              <w:rPr>
                <w:sz w:val="20"/>
                <w:szCs w:val="20"/>
                <w:color w:val="auto"/>
              </w:rPr>
            </w:pPr>
            <w:r>
              <w:rPr>
                <w:rFonts w:ascii="Arial" w:cs="Arial" w:eastAsia="Arial" w:hAnsi="Arial"/>
                <w:sz w:val="18"/>
                <w:szCs w:val="18"/>
                <w:color w:val="auto"/>
              </w:rPr>
              <w:t>Nine Months Ended</w:t>
            </w:r>
          </w:p>
        </w:tc>
        <w:tc>
          <w:tcPr>
            <w:tcW w:w="1200" w:type="dxa"/>
            <w:vAlign w:val="bottom"/>
          </w:tcPr>
          <w:p>
            <w:pPr>
              <w:spacing w:after="0"/>
              <w:rPr>
                <w:sz w:val="20"/>
                <w:szCs w:val="20"/>
                <w:color w:val="auto"/>
              </w:rPr>
            </w:pPr>
          </w:p>
        </w:tc>
      </w:tr>
      <w:tr>
        <w:trPr>
          <w:trHeight w:val="270"/>
        </w:trPr>
        <w:tc>
          <w:tcPr>
            <w:tcW w:w="3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May 31,</w:t>
            </w:r>
          </w:p>
        </w:tc>
        <w:tc>
          <w:tcPr>
            <w:tcW w:w="8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May 31,</w:t>
            </w:r>
          </w:p>
        </w:tc>
        <w:tc>
          <w:tcPr>
            <w:tcW w:w="8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57"/>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 amounts in thousands)</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2023</w:t>
            </w:r>
          </w:p>
        </w:tc>
        <w:tc>
          <w:tcPr>
            <w:tcW w:w="4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c>
          <w:tcPr>
            <w:tcW w:w="148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 Change</w:t>
            </w: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2023</w:t>
            </w: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2022</w:t>
            </w: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 Change</w:t>
            </w:r>
          </w:p>
        </w:tc>
      </w:tr>
      <w:tr>
        <w:trPr>
          <w:trHeight w:val="236"/>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529,811</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488,751</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8.4 % $</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1,549,711</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1,344,595</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15.3 %</w:t>
            </w:r>
          </w:p>
        </w:tc>
      </w:tr>
      <w:tr>
        <w:trPr>
          <w:trHeight w:val="230"/>
        </w:trPr>
        <w:tc>
          <w:tcPr>
            <w:tcW w:w="3880" w:type="dxa"/>
            <w:vAlign w:val="bottom"/>
          </w:tcPr>
          <w:p>
            <w:pPr>
              <w:ind w:left="140"/>
              <w:spacing w:after="0" w:line="230" w:lineRule="exact"/>
              <w:rPr>
                <w:sz w:val="20"/>
                <w:szCs w:val="20"/>
                <w:color w:val="auto"/>
              </w:rPr>
            </w:pPr>
            <w:r>
              <w:rPr>
                <w:rFonts w:ascii="Arial" w:cs="Arial" w:eastAsia="Arial" w:hAnsi="Arial"/>
                <w:sz w:val="18"/>
                <w:szCs w:val="18"/>
                <w:color w:val="auto"/>
              </w:rPr>
              <w:t>Deferred revenues fair value adjustment</w:t>
            </w:r>
            <w:r>
              <w:rPr>
                <w:rFonts w:ascii="Arial" w:cs="Arial" w:eastAsia="Arial" w:hAnsi="Arial"/>
                <w:sz w:val="23"/>
                <w:szCs w:val="23"/>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0" w:type="dxa"/>
            <w:vAlign w:val="bottom"/>
          </w:tcPr>
          <w:p>
            <w:pPr>
              <w:spacing w:after="0"/>
              <w:rPr>
                <w:sz w:val="19"/>
                <w:szCs w:val="19"/>
                <w:color w:val="auto"/>
              </w:rPr>
            </w:pPr>
          </w:p>
        </w:tc>
      </w:tr>
      <w:tr>
        <w:trPr>
          <w:trHeight w:val="223"/>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revenues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529,811</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488,752</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8.4 % $</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1,549,711</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1,344,620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15.3 %</w:t>
            </w:r>
          </w:p>
        </w:tc>
      </w:tr>
      <w:tr>
        <w:trPr>
          <w:trHeight w:val="243"/>
        </w:trPr>
        <w:tc>
          <w:tcPr>
            <w:tcW w:w="3880" w:type="dxa"/>
            <w:vAlign w:val="bottom"/>
          </w:tcPr>
          <w:p>
            <w:pPr>
              <w:ind w:left="140"/>
              <w:spacing w:after="0" w:line="243" w:lineRule="exact"/>
              <w:rPr>
                <w:sz w:val="20"/>
                <w:szCs w:val="20"/>
                <w:color w:val="auto"/>
              </w:rPr>
            </w:pPr>
            <w:r>
              <w:rPr>
                <w:rFonts w:ascii="Arial" w:cs="Arial" w:eastAsia="Arial" w:hAnsi="Arial"/>
                <w:sz w:val="18"/>
                <w:szCs w:val="18"/>
                <w:color w:val="auto"/>
              </w:rPr>
              <w:t>Acquired revenues</w:t>
            </w:r>
            <w:r>
              <w:rPr>
                <w:rFonts w:ascii="Arial" w:cs="Arial" w:eastAsia="Arial" w:hAnsi="Arial"/>
                <w:sz w:val="23"/>
                <w:szCs w:val="23"/>
                <w:color w:val="auto"/>
                <w:vertAlign w:val="superscript"/>
              </w:rPr>
              <w:t>(2)</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(95,825)</w:t>
            </w: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1"/>
                <w:szCs w:val="21"/>
                <w:color w:val="auto"/>
              </w:rPr>
            </w:pPr>
          </w:p>
        </w:tc>
      </w:tr>
      <w:tr>
        <w:trPr>
          <w:trHeight w:val="229"/>
        </w:trPr>
        <w:tc>
          <w:tcPr>
            <w:tcW w:w="3880" w:type="dxa"/>
            <w:vAlign w:val="bottom"/>
            <w:tcBorders>
              <w:bottom w:val="single" w:sz="8" w:color="CCEEFF"/>
            </w:tcBorders>
            <w:shd w:val="clear" w:color="auto" w:fill="CCEEFF"/>
          </w:tcPr>
          <w:p>
            <w:pPr>
              <w:ind w:left="140"/>
              <w:spacing w:after="0" w:line="230" w:lineRule="exact"/>
              <w:rPr>
                <w:sz w:val="20"/>
                <w:szCs w:val="20"/>
                <w:color w:val="auto"/>
              </w:rPr>
            </w:pPr>
            <w:r>
              <w:rPr>
                <w:rFonts w:ascii="Arial" w:cs="Arial" w:eastAsia="Arial" w:hAnsi="Arial"/>
                <w:sz w:val="18"/>
                <w:szCs w:val="18"/>
                <w:color w:val="auto"/>
              </w:rPr>
              <w:t>Currency impact</w:t>
            </w:r>
            <w:r>
              <w:rPr>
                <w:rFonts w:ascii="Arial" w:cs="Arial" w:eastAsia="Arial" w:hAnsi="Arial"/>
                <w:sz w:val="23"/>
                <w:szCs w:val="23"/>
                <w:color w:val="auto"/>
                <w:vertAlign w:val="superscript"/>
              </w:rPr>
              <w:t>(3)</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5,842</w:t>
            </w: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spacing w:after="0"/>
              <w:rPr>
                <w:sz w:val="19"/>
                <w:szCs w:val="19"/>
                <w:color w:val="auto"/>
              </w:rPr>
            </w:pPr>
          </w:p>
        </w:tc>
      </w:tr>
      <w:tr>
        <w:trPr>
          <w:trHeight w:val="224"/>
        </w:trPr>
        <w:tc>
          <w:tcPr>
            <w:tcW w:w="3880" w:type="dxa"/>
            <w:vAlign w:val="bottom"/>
          </w:tcPr>
          <w:p>
            <w:pPr>
              <w:ind w:left="20"/>
              <w:spacing w:after="0"/>
              <w:rPr>
                <w:sz w:val="20"/>
                <w:szCs w:val="20"/>
                <w:color w:val="auto"/>
              </w:rPr>
            </w:pPr>
            <w:r>
              <w:rPr>
                <w:rFonts w:ascii="Arial" w:cs="Arial" w:eastAsia="Arial" w:hAnsi="Arial"/>
                <w:sz w:val="18"/>
                <w:szCs w:val="18"/>
                <w:color w:val="auto"/>
              </w:rPr>
              <w:t>Organic 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530,321</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488,752</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8.5 % $</w:t>
            </w:r>
          </w:p>
        </w:tc>
        <w:tc>
          <w:tcPr>
            <w:tcW w:w="960" w:type="dxa"/>
            <w:vAlign w:val="bottom"/>
          </w:tcPr>
          <w:p>
            <w:pPr>
              <w:jc w:val="right"/>
              <w:spacing w:after="0"/>
              <w:rPr>
                <w:sz w:val="20"/>
                <w:szCs w:val="20"/>
                <w:color w:val="auto"/>
              </w:rPr>
            </w:pPr>
            <w:r>
              <w:rPr>
                <w:rFonts w:ascii="Arial" w:cs="Arial" w:eastAsia="Arial" w:hAnsi="Arial"/>
                <w:sz w:val="18"/>
                <w:szCs w:val="18"/>
                <w:color w:val="auto"/>
              </w:rPr>
              <w:t>1,459,728</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4"/>
              </w:rPr>
              <w:t>1,344,620</w:t>
            </w:r>
          </w:p>
        </w:tc>
        <w:tc>
          <w:tcPr>
            <w:tcW w:w="1200" w:type="dxa"/>
            <w:vAlign w:val="bottom"/>
          </w:tcPr>
          <w:p>
            <w:pPr>
              <w:jc w:val="right"/>
              <w:spacing w:after="0"/>
              <w:rPr>
                <w:sz w:val="20"/>
                <w:szCs w:val="20"/>
                <w:color w:val="auto"/>
              </w:rPr>
            </w:pPr>
            <w:r>
              <w:rPr>
                <w:rFonts w:ascii="Arial" w:cs="Arial" w:eastAsia="Arial" w:hAnsi="Arial"/>
                <w:sz w:val="18"/>
                <w:szCs w:val="18"/>
                <w:color w:val="auto"/>
              </w:rPr>
              <w:t>8.6 %</w:t>
            </w:r>
          </w:p>
        </w:tc>
      </w:tr>
    </w:tbl>
    <w:p>
      <w:pPr>
        <w:spacing w:after="0" w:line="192" w:lineRule="exact"/>
        <w:rPr>
          <w:sz w:val="20"/>
          <w:szCs w:val="20"/>
          <w:color w:val="auto"/>
        </w:rPr>
      </w:pPr>
    </w:p>
    <w:p>
      <w:pPr>
        <w:jc w:val="both"/>
        <w:ind w:left="260" w:hanging="252"/>
        <w:spacing w:after="0" w:line="269" w:lineRule="auto"/>
        <w:tabs>
          <w:tab w:leader="none" w:pos="264" w:val="left"/>
        </w:tabs>
        <w:numPr>
          <w:ilvl w:val="0"/>
          <w:numId w:val="29"/>
        </w:numPr>
        <w:rPr>
          <w:rFonts w:ascii="Arial" w:cs="Arial" w:eastAsia="Arial" w:hAnsi="Arial"/>
          <w:sz w:val="16"/>
          <w:szCs w:val="16"/>
          <w:i w:val="1"/>
          <w:iCs w:val="1"/>
          <w:color w:val="auto"/>
        </w:rPr>
      </w:pPr>
      <w:r>
        <w:rPr>
          <w:rFonts w:ascii="Arial" w:cs="Arial" w:eastAsia="Arial" w:hAnsi="Arial"/>
          <w:sz w:val="16"/>
          <w:szCs w:val="16"/>
          <w:i w:val="1"/>
          <w:iCs w:val="1"/>
          <w:color w:val="auto"/>
        </w:rPr>
        <w:t>Reflects the amortization effect of any purchase accounting adjustments related to the fair value of acquired deferred revenues for acquisitions prior to fiscal 2022. Acquisitions thereafter do not include this adjustment in accordance with our adoption of ASU No. 2021-08, Business Combinations: Accounting for Contract Assets and Contract Liabilities from Contracts with Customers (Topic 805).</w:t>
      </w:r>
    </w:p>
    <w:p>
      <w:pPr>
        <w:spacing w:after="0" w:line="69" w:lineRule="exact"/>
        <w:rPr>
          <w:rFonts w:ascii="Arial" w:cs="Arial" w:eastAsia="Arial" w:hAnsi="Arial"/>
          <w:sz w:val="16"/>
          <w:szCs w:val="16"/>
          <w:i w:val="1"/>
          <w:iCs w:val="1"/>
          <w:color w:val="auto"/>
        </w:rPr>
      </w:pPr>
    </w:p>
    <w:p>
      <w:pPr>
        <w:ind w:left="240" w:hanging="232"/>
        <w:spacing w:after="0"/>
        <w:tabs>
          <w:tab w:leader="none" w:pos="240" w:val="left"/>
        </w:tabs>
        <w:numPr>
          <w:ilvl w:val="0"/>
          <w:numId w:val="29"/>
        </w:numPr>
        <w:rPr>
          <w:rFonts w:ascii="Arial" w:cs="Arial" w:eastAsia="Arial" w:hAnsi="Arial"/>
          <w:sz w:val="16"/>
          <w:szCs w:val="16"/>
          <w:i w:val="1"/>
          <w:iCs w:val="1"/>
          <w:color w:val="auto"/>
        </w:rPr>
      </w:pPr>
      <w:r>
        <w:rPr>
          <w:rFonts w:ascii="Arial" w:cs="Arial" w:eastAsia="Arial" w:hAnsi="Arial"/>
          <w:sz w:val="16"/>
          <w:szCs w:val="16"/>
          <w:i w:val="1"/>
          <w:iCs w:val="1"/>
          <w:color w:val="auto"/>
        </w:rPr>
        <w:t>Removes acquisition-related revenues recognized in any fiscal 2023 quarters in which the comparable prior year period predated the acquisition(s).</w:t>
      </w:r>
    </w:p>
    <w:p>
      <w:pPr>
        <w:spacing w:after="0" w:line="126" w:lineRule="exact"/>
        <w:rPr>
          <w:rFonts w:ascii="Arial" w:cs="Arial" w:eastAsia="Arial" w:hAnsi="Arial"/>
          <w:sz w:val="16"/>
          <w:szCs w:val="16"/>
          <w:i w:val="1"/>
          <w:iCs w:val="1"/>
          <w:color w:val="auto"/>
        </w:rPr>
      </w:pPr>
    </w:p>
    <w:p>
      <w:pPr>
        <w:ind w:left="240" w:hanging="232"/>
        <w:spacing w:after="0"/>
        <w:tabs>
          <w:tab w:leader="none" w:pos="240" w:val="left"/>
        </w:tabs>
        <w:numPr>
          <w:ilvl w:val="0"/>
          <w:numId w:val="29"/>
        </w:numPr>
        <w:rPr>
          <w:rFonts w:ascii="Arial" w:cs="Arial" w:eastAsia="Arial" w:hAnsi="Arial"/>
          <w:sz w:val="16"/>
          <w:szCs w:val="16"/>
          <w:i w:val="1"/>
          <w:iCs w:val="1"/>
          <w:color w:val="auto"/>
        </w:rPr>
      </w:pPr>
      <w:r>
        <w:rPr>
          <w:rFonts w:ascii="Arial" w:cs="Arial" w:eastAsia="Arial" w:hAnsi="Arial"/>
          <w:sz w:val="16"/>
          <w:szCs w:val="16"/>
          <w:i w:val="1"/>
          <w:iCs w:val="1"/>
          <w:color w:val="auto"/>
        </w:rPr>
        <w:t>The impact from foreign currency movements year over year.</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table below provides an unaudited reconciliation of operating income, operating margin, net income and EPS to adjusted operating income, adjusted operating margin, adjusted net income, EBITDA, adjusted EBITDA and EPS. Adjusted operating income and margin, adjusted net income, and adjusted EPS exclude intangible asset amortization, the impact of the fair value of deferred revenues acquired in a business combination and non-recurring items. EBITDA excludes interest expense, provision for income taxes and depreciation and amortization expense, while Adjusted EBITDA further excludes non-recurring non-cash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60" w:type="dxa"/>
            <w:vAlign w:val="bottom"/>
            <w:gridSpan w:val="3"/>
          </w:tcPr>
          <w:p>
            <w:pPr>
              <w:jc w:val="right"/>
              <w:ind w:right="310"/>
              <w:spacing w:after="0"/>
              <w:rPr>
                <w:sz w:val="20"/>
                <w:szCs w:val="20"/>
                <w:color w:val="auto"/>
              </w:rPr>
            </w:pPr>
            <w:r>
              <w:rPr>
                <w:rFonts w:ascii="Arial" w:cs="Arial" w:eastAsia="Arial" w:hAnsi="Arial"/>
                <w:sz w:val="18"/>
                <w:szCs w:val="18"/>
                <w:color w:val="auto"/>
                <w:w w:val="97"/>
              </w:rPr>
              <w:t>Three Months Ended</w:t>
            </w: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80" w:type="dxa"/>
            <w:vAlign w:val="bottom"/>
            <w:gridSpan w:val="3"/>
          </w:tcPr>
          <w:p>
            <w:pPr>
              <w:jc w:val="right"/>
              <w:ind w:right="350"/>
              <w:spacing w:after="0"/>
              <w:rPr>
                <w:sz w:val="20"/>
                <w:szCs w:val="20"/>
                <w:color w:val="auto"/>
              </w:rPr>
            </w:pPr>
            <w:r>
              <w:rPr>
                <w:rFonts w:ascii="Arial" w:cs="Arial" w:eastAsia="Arial" w:hAnsi="Arial"/>
                <w:sz w:val="18"/>
                <w:szCs w:val="18"/>
                <w:color w:val="auto"/>
              </w:rPr>
              <w:t>Nine Months Ended</w:t>
            </w:r>
          </w:p>
        </w:tc>
        <w:tc>
          <w:tcPr>
            <w:tcW w:w="1280" w:type="dxa"/>
            <w:vAlign w:val="bottom"/>
          </w:tcPr>
          <w:p>
            <w:pPr>
              <w:spacing w:after="0"/>
              <w:rPr>
                <w:sz w:val="20"/>
                <w:szCs w:val="20"/>
                <w:color w:val="auto"/>
              </w:rPr>
            </w:pPr>
          </w:p>
        </w:tc>
      </w:tr>
      <w:tr>
        <w:trPr>
          <w:trHeight w:val="242"/>
        </w:trPr>
        <w:tc>
          <w:tcPr>
            <w:tcW w:w="4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May 31,</w:t>
            </w:r>
          </w:p>
        </w:tc>
        <w:tc>
          <w:tcPr>
            <w:tcW w:w="8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May 31,</w:t>
            </w:r>
          </w:p>
        </w:tc>
        <w:tc>
          <w:tcPr>
            <w:tcW w:w="8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30"/>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w w:val="94"/>
              </w:rPr>
              <w:t>(dollar amounts in thousands, except per share data)</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2023</w:t>
            </w: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4"/>
              </w:rPr>
              <w:t>2022</w:t>
            </w: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 Change</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2022</w:t>
            </w:r>
          </w:p>
        </w:tc>
        <w:tc>
          <w:tcPr>
            <w:tcW w:w="12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 Change</w:t>
            </w:r>
          </w:p>
        </w:tc>
      </w:tr>
      <w:tr>
        <w:trPr>
          <w:trHeight w:val="237"/>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171,959</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97,254</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76.8%</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513,104</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343,263</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49.5%</w:t>
            </w: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Deferred revenues fair value adjustment</w:t>
            </w: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25</w:t>
            </w:r>
          </w:p>
        </w:tc>
        <w:tc>
          <w:tcPr>
            <w:tcW w:w="1280" w:type="dxa"/>
            <w:vAlign w:val="bottom"/>
          </w:tcPr>
          <w:p>
            <w:pPr>
              <w:spacing w:after="0"/>
              <w:rPr>
                <w:sz w:val="19"/>
                <w:szCs w:val="19"/>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 amortization</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17,655</w:t>
            </w: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18,548</w:t>
            </w: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53,372</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30,891</w:t>
            </w:r>
          </w:p>
        </w:tc>
        <w:tc>
          <w:tcPr>
            <w:tcW w:w="1280" w:type="dxa"/>
            <w:vAlign w:val="bottom"/>
            <w:shd w:val="clear" w:color="auto" w:fill="CCEEFF"/>
          </w:tcPr>
          <w:p>
            <w:pPr>
              <w:spacing w:after="0"/>
              <w:rPr>
                <w:sz w:val="19"/>
                <w:szCs w:val="19"/>
                <w:color w:val="auto"/>
              </w:rPr>
            </w:pPr>
          </w:p>
        </w:tc>
      </w:tr>
      <w:tr>
        <w:trPr>
          <w:trHeight w:val="237"/>
        </w:trPr>
        <w:tc>
          <w:tcPr>
            <w:tcW w:w="4040" w:type="dxa"/>
            <w:vAlign w:val="bottom"/>
          </w:tcPr>
          <w:p>
            <w:pPr>
              <w:ind w:left="20"/>
              <w:spacing w:after="0"/>
              <w:rPr>
                <w:sz w:val="20"/>
                <w:szCs w:val="20"/>
                <w:color w:val="auto"/>
              </w:rPr>
            </w:pPr>
            <w:r>
              <w:rPr>
                <w:rFonts w:ascii="Arial" w:cs="Arial" w:eastAsia="Arial" w:hAnsi="Arial"/>
                <w:sz w:val="18"/>
                <w:szCs w:val="18"/>
                <w:color w:val="auto"/>
              </w:rPr>
              <w:t>Restructuring / severance</w:t>
            </w:r>
          </w:p>
        </w:tc>
        <w:tc>
          <w:tcPr>
            <w:tcW w:w="24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1,318</w:t>
            </w:r>
          </w:p>
        </w:tc>
        <w:tc>
          <w:tcPr>
            <w:tcW w:w="36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1,079</w:t>
            </w: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1,751</w:t>
            </w:r>
          </w:p>
        </w:tc>
        <w:tc>
          <w:tcPr>
            <w:tcW w:w="360" w:type="dxa"/>
            <w:vAlign w:val="bottom"/>
          </w:tcPr>
          <w:p>
            <w:pPr>
              <w:spacing w:after="0"/>
              <w:rPr>
                <w:sz w:val="20"/>
                <w:szCs w:val="20"/>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10,307</w:t>
            </w:r>
          </w:p>
        </w:tc>
        <w:tc>
          <w:tcPr>
            <w:tcW w:w="1280" w:type="dxa"/>
            <w:vAlign w:val="bottom"/>
          </w:tcPr>
          <w:p>
            <w:pPr>
              <w:spacing w:after="0"/>
              <w:rPr>
                <w:sz w:val="20"/>
                <w:szCs w:val="20"/>
                <w:color w:val="auto"/>
              </w:rPr>
            </w:pPr>
          </w:p>
        </w:tc>
      </w:tr>
      <w:tr>
        <w:trPr>
          <w:trHeight w:val="236"/>
        </w:trPr>
        <w:tc>
          <w:tcPr>
            <w:tcW w:w="4040" w:type="dxa"/>
            <w:vAlign w:val="bottom"/>
            <w:shd w:val="clear" w:color="auto" w:fill="CCEEFF"/>
          </w:tcPr>
          <w:p>
            <w:pPr>
              <w:ind w:left="20"/>
              <w:spacing w:after="0" w:line="236" w:lineRule="exact"/>
              <w:rPr>
                <w:sz w:val="20"/>
                <w:szCs w:val="20"/>
                <w:color w:val="auto"/>
              </w:rPr>
            </w:pPr>
            <w:r>
              <w:rPr>
                <w:rFonts w:ascii="Arial" w:cs="Arial" w:eastAsia="Arial" w:hAnsi="Arial"/>
                <w:sz w:val="18"/>
                <w:szCs w:val="18"/>
                <w:color w:val="auto"/>
              </w:rPr>
              <w:t>Real estate charges</w:t>
            </w:r>
            <w:r>
              <w:rPr>
                <w:rFonts w:ascii="Arial" w:cs="Arial" w:eastAsia="Arial" w:hAnsi="Arial"/>
                <w:sz w:val="23"/>
                <w:szCs w:val="23"/>
                <w:i w:val="1"/>
                <w:iCs w:val="1"/>
                <w:color w:val="auto"/>
                <w:vertAlign w:val="superscript"/>
              </w:rPr>
              <w:t>(1)</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48,797</w:t>
            </w:r>
          </w:p>
        </w:tc>
        <w:tc>
          <w:tcPr>
            <w:tcW w:w="1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62,226</w:t>
            </w:r>
          </w:p>
        </w:tc>
        <w:tc>
          <w:tcPr>
            <w:tcW w:w="1280" w:type="dxa"/>
            <w:vAlign w:val="bottom"/>
            <w:shd w:val="clear" w:color="auto" w:fill="CCEEFF"/>
          </w:tcPr>
          <w:p>
            <w:pPr>
              <w:spacing w:after="0"/>
              <w:rPr>
                <w:sz w:val="20"/>
                <w:szCs w:val="20"/>
                <w:color w:val="auto"/>
              </w:rPr>
            </w:pPr>
          </w:p>
        </w:tc>
      </w:tr>
      <w:tr>
        <w:trPr>
          <w:trHeight w:val="230"/>
        </w:trPr>
        <w:tc>
          <w:tcPr>
            <w:tcW w:w="4040" w:type="dxa"/>
            <w:vAlign w:val="bottom"/>
          </w:tcPr>
          <w:p>
            <w:pPr>
              <w:ind w:left="20"/>
              <w:spacing w:after="0" w:line="230" w:lineRule="exact"/>
              <w:rPr>
                <w:sz w:val="20"/>
                <w:szCs w:val="20"/>
                <w:color w:val="auto"/>
              </w:rPr>
            </w:pPr>
            <w:r>
              <w:rPr>
                <w:rFonts w:ascii="Arial" w:cs="Arial" w:eastAsia="Arial" w:hAnsi="Arial"/>
                <w:sz w:val="18"/>
                <w:szCs w:val="18"/>
                <w:color w:val="auto"/>
              </w:rPr>
              <w:t>Business acquisition / integration costs</w:t>
            </w:r>
            <w:r>
              <w:rPr>
                <w:rFonts w:ascii="Arial" w:cs="Arial" w:eastAsia="Arial" w:hAnsi="Arial"/>
                <w:sz w:val="23"/>
                <w:szCs w:val="23"/>
                <w:i w:val="1"/>
                <w:iCs w:val="1"/>
                <w:color w:val="auto"/>
                <w:vertAlign w:val="superscript"/>
              </w:rPr>
              <w:t>(2)</w:t>
            </w: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12,408</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6,828</w:t>
            </w:r>
          </w:p>
        </w:tc>
        <w:tc>
          <w:tcPr>
            <w:tcW w:w="36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17,456</w:t>
            </w:r>
          </w:p>
        </w:tc>
        <w:tc>
          <w:tcPr>
            <w:tcW w:w="1280" w:type="dxa"/>
            <w:vAlign w:val="bottom"/>
          </w:tcPr>
          <w:p>
            <w:pPr>
              <w:spacing w:after="0"/>
              <w:rPr>
                <w:sz w:val="19"/>
                <w:szCs w:val="19"/>
                <w:color w:val="auto"/>
              </w:rPr>
            </w:pPr>
          </w:p>
        </w:tc>
      </w:tr>
      <w:tr>
        <w:trPr>
          <w:trHeight w:val="229"/>
        </w:trPr>
        <w:tc>
          <w:tcPr>
            <w:tcW w:w="4040" w:type="dxa"/>
            <w:vAlign w:val="bottom"/>
            <w:tcBorders>
              <w:bottom w:val="single" w:sz="8" w:color="CCEEFF"/>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Transformation costs </w:t>
            </w:r>
            <w:r>
              <w:rPr>
                <w:rFonts w:ascii="Arial" w:cs="Arial" w:eastAsia="Arial" w:hAnsi="Arial"/>
                <w:sz w:val="23"/>
                <w:szCs w:val="23"/>
                <w:i w:val="1"/>
                <w:iCs w:val="1"/>
                <w:color w:val="auto"/>
                <w:vertAlign w:val="superscript"/>
              </w:rPr>
              <w:t>(3)</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979</w:t>
            </w:r>
          </w:p>
        </w:tc>
        <w:tc>
          <w:tcPr>
            <w:tcW w:w="12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2,747</w:t>
            </w:r>
          </w:p>
        </w:tc>
        <w:tc>
          <w:tcPr>
            <w:tcW w:w="1280" w:type="dxa"/>
            <w:vAlign w:val="bottom"/>
            <w:tcBorders>
              <w:bottom w:val="single" w:sz="8" w:color="CCEEFF"/>
            </w:tcBorders>
            <w:shd w:val="clear" w:color="auto" w:fill="CCEEFF"/>
          </w:tcPr>
          <w:p>
            <w:pPr>
              <w:spacing w:after="0"/>
              <w:rPr>
                <w:sz w:val="19"/>
                <w:szCs w:val="19"/>
                <w:color w:val="auto"/>
              </w:rPr>
            </w:pPr>
          </w:p>
        </w:tc>
      </w:tr>
      <w:tr>
        <w:trPr>
          <w:trHeight w:val="223"/>
        </w:trPr>
        <w:tc>
          <w:tcPr>
            <w:tcW w:w="4040" w:type="dxa"/>
            <w:vAlign w:val="bottom"/>
          </w:tcPr>
          <w:p>
            <w:pPr>
              <w:ind w:left="240"/>
              <w:spacing w:after="0"/>
              <w:rPr>
                <w:sz w:val="20"/>
                <w:szCs w:val="20"/>
                <w:color w:val="auto"/>
              </w:rPr>
            </w:pPr>
            <w:r>
              <w:rPr>
                <w:rFonts w:ascii="Arial" w:cs="Arial" w:eastAsia="Arial" w:hAnsi="Arial"/>
                <w:sz w:val="18"/>
                <w:szCs w:val="18"/>
                <w:color w:val="auto"/>
              </w:rPr>
              <w:t>Adjusted operating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190,932</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179,066</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575,055</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466,915</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23.2%</w:t>
            </w:r>
          </w:p>
        </w:tc>
      </w:tr>
      <w:tr>
        <w:trPr>
          <w:trHeight w:val="243"/>
        </w:trPr>
        <w:tc>
          <w:tcPr>
            <w:tcW w:w="4040" w:type="dxa"/>
            <w:vAlign w:val="bottom"/>
            <w:shd w:val="clear" w:color="auto" w:fill="CCEEFF"/>
          </w:tcPr>
          <w:p>
            <w:pPr>
              <w:ind w:left="240"/>
              <w:spacing w:after="0"/>
              <w:rPr>
                <w:sz w:val="20"/>
                <w:szCs w:val="20"/>
                <w:color w:val="auto"/>
              </w:rPr>
            </w:pPr>
            <w:r>
              <w:rPr>
                <w:rFonts w:ascii="Arial" w:cs="Arial" w:eastAsia="Arial" w:hAnsi="Arial"/>
                <w:sz w:val="18"/>
                <w:szCs w:val="18"/>
                <w:i w:val="1"/>
                <w:iCs w:val="1"/>
                <w:color w:val="auto"/>
              </w:rPr>
              <w:t>Operating margin</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32.5%</w:t>
            </w:r>
          </w:p>
        </w:tc>
        <w:tc>
          <w:tcPr>
            <w:tcW w:w="36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19.9%</w:t>
            </w:r>
          </w:p>
        </w:tc>
        <w:tc>
          <w:tcPr>
            <w:tcW w:w="1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33.1%</w:t>
            </w:r>
          </w:p>
        </w:tc>
        <w:tc>
          <w:tcPr>
            <w:tcW w:w="36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25.5%</w:t>
            </w:r>
          </w:p>
        </w:tc>
        <w:tc>
          <w:tcPr>
            <w:tcW w:w="1280" w:type="dxa"/>
            <w:vAlign w:val="bottom"/>
            <w:shd w:val="clear" w:color="auto" w:fill="CCEEFF"/>
          </w:tcPr>
          <w:p>
            <w:pPr>
              <w:spacing w:after="0"/>
              <w:rPr>
                <w:sz w:val="21"/>
                <w:szCs w:val="21"/>
                <w:color w:val="auto"/>
              </w:rPr>
            </w:pPr>
          </w:p>
        </w:tc>
      </w:tr>
      <w:tr>
        <w:trPr>
          <w:trHeight w:val="230"/>
        </w:trPr>
        <w:tc>
          <w:tcPr>
            <w:tcW w:w="4040" w:type="dxa"/>
            <w:vAlign w:val="bottom"/>
            <w:tcBorders>
              <w:bottom w:val="single" w:sz="8" w:color="auto"/>
            </w:tcBorders>
          </w:tcPr>
          <w:p>
            <w:pPr>
              <w:ind w:left="240"/>
              <w:spacing w:after="0" w:line="230" w:lineRule="exact"/>
              <w:rPr>
                <w:sz w:val="20"/>
                <w:szCs w:val="20"/>
                <w:color w:val="auto"/>
              </w:rPr>
            </w:pPr>
            <w:r>
              <w:rPr>
                <w:rFonts w:ascii="Arial" w:cs="Arial" w:eastAsia="Arial" w:hAnsi="Arial"/>
                <w:sz w:val="18"/>
                <w:szCs w:val="18"/>
                <w:i w:val="1"/>
                <w:iCs w:val="1"/>
                <w:color w:val="auto"/>
              </w:rPr>
              <w:t>Adjusted operating margin</w:t>
            </w:r>
            <w:r>
              <w:rPr>
                <w:rFonts w:ascii="Arial" w:cs="Arial" w:eastAsia="Arial" w:hAnsi="Arial"/>
                <w:sz w:val="23"/>
                <w:szCs w:val="23"/>
                <w:i w:val="1"/>
                <w:iCs w:val="1"/>
                <w:color w:val="auto"/>
                <w:vertAlign w:val="superscript"/>
              </w:rPr>
              <w:t>(4)</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36.0%</w:t>
            </w: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36.6%</w:t>
            </w:r>
          </w:p>
        </w:tc>
        <w:tc>
          <w:tcPr>
            <w:tcW w:w="1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37.1%</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34.7%</w:t>
            </w:r>
          </w:p>
        </w:tc>
        <w:tc>
          <w:tcPr>
            <w:tcW w:w="1280" w:type="dxa"/>
            <w:vAlign w:val="bottom"/>
            <w:tcBorders>
              <w:bottom w:val="single" w:sz="8" w:color="auto"/>
            </w:tcBorders>
          </w:tcPr>
          <w:p>
            <w:pPr>
              <w:spacing w:after="0"/>
              <w:rPr>
                <w:sz w:val="19"/>
                <w:szCs w:val="19"/>
                <w:color w:val="auto"/>
              </w:rPr>
            </w:pPr>
          </w:p>
        </w:tc>
      </w:tr>
      <w:tr>
        <w:trPr>
          <w:trHeight w:val="263"/>
        </w:trPr>
        <w:tc>
          <w:tcPr>
            <w:tcW w:w="40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134,663</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74,910</w:t>
            </w:r>
          </w:p>
        </w:tc>
        <w:tc>
          <w:tcPr>
            <w:tcW w:w="1520" w:type="dxa"/>
            <w:vAlign w:val="bottom"/>
            <w:gridSpan w:val="2"/>
          </w:tcPr>
          <w:p>
            <w:pPr>
              <w:jc w:val="right"/>
              <w:ind w:right="50"/>
              <w:spacing w:after="0"/>
              <w:rPr>
                <w:sz w:val="20"/>
                <w:szCs w:val="20"/>
                <w:color w:val="auto"/>
              </w:rPr>
            </w:pPr>
            <w:r>
              <w:rPr>
                <w:rFonts w:ascii="Arial" w:cs="Arial" w:eastAsia="Arial" w:hAnsi="Arial"/>
                <w:sz w:val="18"/>
                <w:szCs w:val="18"/>
                <w:color w:val="auto"/>
              </w:rPr>
              <w:t>79.8 % $</w:t>
            </w:r>
          </w:p>
        </w:tc>
        <w:tc>
          <w:tcPr>
            <w:tcW w:w="900" w:type="dxa"/>
            <w:vAlign w:val="bottom"/>
          </w:tcPr>
          <w:p>
            <w:pPr>
              <w:jc w:val="right"/>
              <w:spacing w:after="0"/>
              <w:rPr>
                <w:sz w:val="20"/>
                <w:szCs w:val="20"/>
                <w:color w:val="auto"/>
              </w:rPr>
            </w:pPr>
            <w:r>
              <w:rPr>
                <w:rFonts w:ascii="Arial" w:cs="Arial" w:eastAsia="Arial" w:hAnsi="Arial"/>
                <w:sz w:val="18"/>
                <w:szCs w:val="18"/>
                <w:color w:val="auto"/>
              </w:rPr>
              <w:t>403,054</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292,495</w:t>
            </w:r>
          </w:p>
        </w:tc>
        <w:tc>
          <w:tcPr>
            <w:tcW w:w="1280" w:type="dxa"/>
            <w:vAlign w:val="bottom"/>
          </w:tcPr>
          <w:p>
            <w:pPr>
              <w:jc w:val="right"/>
              <w:spacing w:after="0"/>
              <w:rPr>
                <w:sz w:val="20"/>
                <w:szCs w:val="20"/>
                <w:color w:val="auto"/>
              </w:rPr>
            </w:pPr>
            <w:r>
              <w:rPr>
                <w:rFonts w:ascii="Arial" w:cs="Arial" w:eastAsia="Arial" w:hAnsi="Arial"/>
                <w:sz w:val="18"/>
                <w:szCs w:val="18"/>
                <w:color w:val="auto"/>
              </w:rPr>
              <w:t>37.8 %</w:t>
            </w: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revenues fair value adjustment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80" w:type="dxa"/>
            <w:vAlign w:val="bottom"/>
            <w:shd w:val="clear" w:color="auto" w:fill="CCEEFF"/>
          </w:tcPr>
          <w:p>
            <w:pPr>
              <w:spacing w:after="0"/>
              <w:rPr>
                <w:sz w:val="19"/>
                <w:szCs w:val="19"/>
                <w:color w:val="auto"/>
              </w:rPr>
            </w:pPr>
          </w:p>
        </w:tc>
      </w:tr>
      <w:tr>
        <w:trPr>
          <w:trHeight w:val="237"/>
        </w:trPr>
        <w:tc>
          <w:tcPr>
            <w:tcW w:w="4040" w:type="dxa"/>
            <w:vAlign w:val="bottom"/>
          </w:tcPr>
          <w:p>
            <w:pPr>
              <w:ind w:left="20"/>
              <w:spacing w:after="0"/>
              <w:rPr>
                <w:sz w:val="20"/>
                <w:szCs w:val="20"/>
                <w:color w:val="auto"/>
              </w:rPr>
            </w:pPr>
            <w:r>
              <w:rPr>
                <w:rFonts w:ascii="Arial" w:cs="Arial" w:eastAsia="Arial" w:hAnsi="Arial"/>
                <w:sz w:val="18"/>
                <w:szCs w:val="18"/>
                <w:color w:val="auto"/>
              </w:rPr>
              <w:t>Intangible asset amortization</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14,406</w:t>
            </w: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16,184</w:t>
            </w: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44,729</w:t>
            </w: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27,336</w:t>
            </w:r>
          </w:p>
        </w:tc>
        <w:tc>
          <w:tcPr>
            <w:tcW w:w="1280" w:type="dxa"/>
            <w:vAlign w:val="bottom"/>
          </w:tcPr>
          <w:p>
            <w:pPr>
              <w:spacing w:after="0"/>
              <w:rPr>
                <w:sz w:val="20"/>
                <w:szCs w:val="20"/>
                <w:color w:val="auto"/>
              </w:rPr>
            </w:pPr>
          </w:p>
        </w:tc>
      </w:tr>
      <w:tr>
        <w:trPr>
          <w:trHeight w:val="236"/>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 severance</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3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9,121</w:t>
            </w:r>
          </w:p>
        </w:tc>
        <w:tc>
          <w:tcPr>
            <w:tcW w:w="1280" w:type="dxa"/>
            <w:vAlign w:val="bottom"/>
            <w:shd w:val="clear" w:color="auto" w:fill="CCEEFF"/>
          </w:tcPr>
          <w:p>
            <w:pPr>
              <w:spacing w:after="0"/>
              <w:rPr>
                <w:sz w:val="20"/>
                <w:szCs w:val="20"/>
                <w:color w:val="auto"/>
              </w:rPr>
            </w:pPr>
          </w:p>
        </w:tc>
      </w:tr>
      <w:tr>
        <w:trPr>
          <w:trHeight w:val="229"/>
        </w:trPr>
        <w:tc>
          <w:tcPr>
            <w:tcW w:w="4040" w:type="dxa"/>
            <w:vAlign w:val="bottom"/>
          </w:tcPr>
          <w:p>
            <w:pPr>
              <w:ind w:left="20"/>
              <w:spacing w:after="0" w:line="230" w:lineRule="exact"/>
              <w:rPr>
                <w:sz w:val="20"/>
                <w:szCs w:val="20"/>
                <w:color w:val="auto"/>
              </w:rPr>
            </w:pPr>
            <w:r>
              <w:rPr>
                <w:rFonts w:ascii="Arial" w:cs="Arial" w:eastAsia="Arial" w:hAnsi="Arial"/>
                <w:sz w:val="18"/>
                <w:szCs w:val="18"/>
                <w:color w:val="auto"/>
              </w:rPr>
              <w:t>Real estate charges</w:t>
            </w:r>
            <w:r>
              <w:rPr>
                <w:rFonts w:ascii="Arial" w:cs="Arial" w:eastAsia="Arial" w:hAnsi="Arial"/>
                <w:sz w:val="23"/>
                <w:szCs w:val="23"/>
                <w:i w:val="1"/>
                <w:iCs w:val="1"/>
                <w:color w:val="auto"/>
                <w:vertAlign w:val="superscript"/>
              </w:rPr>
              <w:t>(1)</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42,577</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55,068</w:t>
            </w:r>
          </w:p>
        </w:tc>
        <w:tc>
          <w:tcPr>
            <w:tcW w:w="1280" w:type="dxa"/>
            <w:vAlign w:val="bottom"/>
          </w:tcPr>
          <w:p>
            <w:pPr>
              <w:spacing w:after="0"/>
              <w:rPr>
                <w:sz w:val="19"/>
                <w:szCs w:val="19"/>
                <w:color w:val="auto"/>
              </w:rPr>
            </w:pPr>
          </w:p>
        </w:tc>
      </w:tr>
      <w:tr>
        <w:trPr>
          <w:trHeight w:val="243"/>
        </w:trPr>
        <w:tc>
          <w:tcPr>
            <w:tcW w:w="404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Business acquisition / integration costs</w:t>
            </w:r>
            <w:r>
              <w:rPr>
                <w:rFonts w:ascii="Arial" w:cs="Arial" w:eastAsia="Arial" w:hAnsi="Arial"/>
                <w:sz w:val="23"/>
                <w:szCs w:val="23"/>
                <w:i w:val="1"/>
                <w:iCs w:val="1"/>
                <w:color w:val="auto"/>
                <w:vertAlign w:val="superscript"/>
              </w:rPr>
              <w:t>(2)</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10,827</w:t>
            </w:r>
          </w:p>
        </w:tc>
        <w:tc>
          <w:tcPr>
            <w:tcW w:w="1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5,723</w:t>
            </w:r>
          </w:p>
        </w:tc>
        <w:tc>
          <w:tcPr>
            <w:tcW w:w="3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15,448</w:t>
            </w:r>
          </w:p>
        </w:tc>
        <w:tc>
          <w:tcPr>
            <w:tcW w:w="1280" w:type="dxa"/>
            <w:vAlign w:val="bottom"/>
            <w:shd w:val="clear" w:color="auto" w:fill="CCEEFF"/>
          </w:tcPr>
          <w:p>
            <w:pPr>
              <w:spacing w:after="0"/>
              <w:rPr>
                <w:sz w:val="21"/>
                <w:szCs w:val="21"/>
                <w:color w:val="auto"/>
              </w:rPr>
            </w:pPr>
          </w:p>
        </w:tc>
      </w:tr>
      <w:tr>
        <w:trPr>
          <w:trHeight w:val="229"/>
        </w:trPr>
        <w:tc>
          <w:tcPr>
            <w:tcW w:w="4040" w:type="dxa"/>
            <w:vAlign w:val="bottom"/>
          </w:tcPr>
          <w:p>
            <w:pPr>
              <w:ind w:left="20"/>
              <w:spacing w:after="0" w:line="230" w:lineRule="exact"/>
              <w:rPr>
                <w:sz w:val="20"/>
                <w:szCs w:val="20"/>
                <w:color w:val="auto"/>
              </w:rPr>
            </w:pPr>
            <w:r>
              <w:rPr>
                <w:rFonts w:ascii="Arial" w:cs="Arial" w:eastAsia="Arial" w:hAnsi="Arial"/>
                <w:sz w:val="18"/>
                <w:szCs w:val="18"/>
                <w:color w:val="auto"/>
              </w:rPr>
              <w:t>Transformation costs</w:t>
            </w:r>
            <w:r>
              <w:rPr>
                <w:rFonts w:ascii="Arial" w:cs="Arial" w:eastAsia="Arial" w:hAnsi="Arial"/>
                <w:sz w:val="23"/>
                <w:szCs w:val="23"/>
                <w:i w:val="1"/>
                <w:iCs w:val="1"/>
                <w:color w:val="auto"/>
                <w:vertAlign w:val="superscript"/>
              </w:rPr>
              <w:t>(3)</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854</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2,432</w:t>
            </w:r>
          </w:p>
        </w:tc>
        <w:tc>
          <w:tcPr>
            <w:tcW w:w="1280" w:type="dxa"/>
            <w:vAlign w:val="bottom"/>
          </w:tcPr>
          <w:p>
            <w:pPr>
              <w:spacing w:after="0"/>
              <w:rPr>
                <w:sz w:val="19"/>
                <w:szCs w:val="19"/>
                <w:color w:val="auto"/>
              </w:rPr>
            </w:pPr>
          </w:p>
        </w:tc>
      </w:tr>
      <w:tr>
        <w:trPr>
          <w:trHeight w:val="229"/>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items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(2,477)</w:t>
            </w:r>
          </w:p>
        </w:tc>
        <w:tc>
          <w:tcPr>
            <w:tcW w:w="3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(4,029)</w:t>
            </w: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(2,965)</w:t>
            </w:r>
          </w:p>
        </w:tc>
        <w:tc>
          <w:tcPr>
            <w:tcW w:w="1280" w:type="dxa"/>
            <w:vAlign w:val="bottom"/>
            <w:tcBorders>
              <w:bottom w:val="single" w:sz="8" w:color="CCEEFF"/>
            </w:tcBorders>
            <w:shd w:val="clear" w:color="auto" w:fill="CCEEFF"/>
          </w:tcPr>
          <w:p>
            <w:pPr>
              <w:spacing w:after="0"/>
              <w:rPr>
                <w:sz w:val="19"/>
                <w:szCs w:val="19"/>
                <w:color w:val="auto"/>
              </w:rPr>
            </w:pPr>
          </w:p>
        </w:tc>
      </w:tr>
      <w:tr>
        <w:trPr>
          <w:trHeight w:val="237"/>
        </w:trPr>
        <w:tc>
          <w:tcPr>
            <w:tcW w:w="4040" w:type="dxa"/>
            <w:vAlign w:val="bottom"/>
            <w:tcBorders>
              <w:bottom w:val="single" w:sz="8" w:color="auto"/>
            </w:tcBorders>
          </w:tcPr>
          <w:p>
            <w:pPr>
              <w:ind w:left="240"/>
              <w:spacing w:after="0" w:line="236" w:lineRule="exact"/>
              <w:rPr>
                <w:sz w:val="20"/>
                <w:szCs w:val="20"/>
                <w:color w:val="auto"/>
              </w:rPr>
            </w:pPr>
            <w:r>
              <w:rPr>
                <w:rFonts w:ascii="Arial" w:cs="Arial" w:eastAsia="Arial" w:hAnsi="Arial"/>
                <w:sz w:val="18"/>
                <w:szCs w:val="18"/>
                <w:color w:val="auto"/>
              </w:rPr>
              <w:t>Adjusted net income</w:t>
            </w:r>
            <w:r>
              <w:rPr>
                <w:rFonts w:ascii="Arial" w:cs="Arial" w:eastAsia="Arial" w:hAnsi="Arial"/>
                <w:sz w:val="23"/>
                <w:szCs w:val="23"/>
                <w:i w:val="1"/>
                <w:iCs w:val="1"/>
                <w:color w:val="auto"/>
                <w:vertAlign w:val="superscript"/>
              </w:rPr>
              <w:t>(5)</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147,667</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145,794</w:t>
            </w:r>
          </w:p>
        </w:tc>
        <w:tc>
          <w:tcPr>
            <w:tcW w:w="152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1.3 % $</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450,945</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398,957</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13.0 %</w:t>
            </w:r>
          </w:p>
        </w:tc>
      </w:tr>
      <w:tr>
        <w:trPr>
          <w:trHeight w:val="22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134,663</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74,910</w:t>
            </w:r>
          </w:p>
        </w:tc>
        <w:tc>
          <w:tcPr>
            <w:tcW w:w="15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4B4B4B"/>
              </w:rPr>
              <w:t xml:space="preserve">79.8 % </w:t>
            </w:r>
            <w:r>
              <w:rPr>
                <w:rFonts w:ascii="Arial" w:cs="Arial" w:eastAsia="Arial" w:hAnsi="Arial"/>
                <w:sz w:val="18"/>
                <w:szCs w:val="18"/>
                <w:color w:val="000000"/>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403,054</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292,495</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4B4B4B"/>
              </w:rPr>
              <w:t>37.8 %</w:t>
            </w: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16,354</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16,184</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49,628</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20,118</w:t>
            </w:r>
          </w:p>
        </w:tc>
        <w:tc>
          <w:tcPr>
            <w:tcW w:w="1280" w:type="dxa"/>
            <w:vAlign w:val="bottom"/>
          </w:tcPr>
          <w:p>
            <w:pPr>
              <w:spacing w:after="0"/>
              <w:rPr>
                <w:sz w:val="19"/>
                <w:szCs w:val="19"/>
                <w:color w:val="auto"/>
              </w:rPr>
            </w:pPr>
          </w:p>
        </w:tc>
      </w:tr>
      <w:tr>
        <w:trPr>
          <w:trHeight w:val="24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27,335</w:t>
            </w:r>
          </w:p>
        </w:tc>
        <w:tc>
          <w:tcPr>
            <w:tcW w:w="3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10,370</w:t>
            </w:r>
          </w:p>
        </w:tc>
        <w:tc>
          <w:tcPr>
            <w:tcW w:w="1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73,591</w:t>
            </w:r>
          </w:p>
        </w:tc>
        <w:tc>
          <w:tcPr>
            <w:tcW w:w="3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34,671</w:t>
            </w:r>
          </w:p>
        </w:tc>
        <w:tc>
          <w:tcPr>
            <w:tcW w:w="1280" w:type="dxa"/>
            <w:vAlign w:val="bottom"/>
            <w:shd w:val="clear" w:color="auto" w:fill="CCEEFF"/>
          </w:tcPr>
          <w:p>
            <w:pPr>
              <w:spacing w:after="0"/>
              <w:rPr>
                <w:sz w:val="21"/>
                <w:szCs w:val="21"/>
                <w:color w:val="auto"/>
              </w:rPr>
            </w:pPr>
          </w:p>
        </w:tc>
      </w:tr>
      <w:tr>
        <w:trPr>
          <w:trHeight w:val="229"/>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 expense</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26,473</w:t>
            </w: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27,349</w:t>
            </w:r>
          </w:p>
        </w:tc>
        <w:tc>
          <w:tcPr>
            <w:tcW w:w="1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78,681</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60,176</w:t>
            </w:r>
          </w:p>
        </w:tc>
        <w:tc>
          <w:tcPr>
            <w:tcW w:w="1280" w:type="dxa"/>
            <w:vAlign w:val="bottom"/>
            <w:tcBorders>
              <w:bottom w:val="single" w:sz="8" w:color="CCEEFF"/>
            </w:tcBorders>
          </w:tcPr>
          <w:p>
            <w:pPr>
              <w:spacing w:after="0"/>
              <w:rPr>
                <w:sz w:val="19"/>
                <w:szCs w:val="19"/>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204,825</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128,813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59.0 %</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604,954</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407,460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48.5 %</w:t>
            </w:r>
          </w:p>
        </w:tc>
      </w:tr>
      <w:tr>
        <w:trPr>
          <w:trHeight w:val="237"/>
        </w:trPr>
        <w:tc>
          <w:tcPr>
            <w:tcW w:w="4040" w:type="dxa"/>
            <w:vAlign w:val="bottom"/>
          </w:tcPr>
          <w:p>
            <w:pPr>
              <w:ind w:left="20"/>
              <w:spacing w:after="0"/>
              <w:rPr>
                <w:sz w:val="20"/>
                <w:szCs w:val="20"/>
                <w:color w:val="auto"/>
              </w:rPr>
            </w:pPr>
            <w:r>
              <w:rPr>
                <w:rFonts w:ascii="Arial" w:cs="Arial" w:eastAsia="Arial" w:hAnsi="Arial"/>
                <w:sz w:val="18"/>
                <w:szCs w:val="18"/>
                <w:color w:val="auto"/>
              </w:rPr>
              <w:t>Non-cash severance</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459</w:t>
            </w: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459</w:t>
            </w: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spacing w:after="0"/>
              <w:rPr>
                <w:sz w:val="20"/>
                <w:szCs w:val="20"/>
                <w:color w:val="auto"/>
              </w:rPr>
            </w:pPr>
          </w:p>
        </w:tc>
      </w:tr>
      <w:tr>
        <w:trPr>
          <w:trHeight w:val="236"/>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charges</w:t>
            </w: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48,797</w:t>
            </w:r>
          </w:p>
        </w:tc>
        <w:tc>
          <w:tcPr>
            <w:tcW w:w="126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62,226</w:t>
            </w:r>
          </w:p>
        </w:tc>
        <w:tc>
          <w:tcPr>
            <w:tcW w:w="1280" w:type="dxa"/>
            <w:vAlign w:val="bottom"/>
            <w:shd w:val="clear" w:color="auto" w:fill="CCEEFF"/>
          </w:tcPr>
          <w:p>
            <w:pPr>
              <w:spacing w:after="0"/>
              <w:rPr>
                <w:sz w:val="20"/>
                <w:szCs w:val="20"/>
                <w:color w:val="auto"/>
              </w:rPr>
            </w:pPr>
          </w:p>
        </w:tc>
      </w:tr>
      <w:tr>
        <w:trPr>
          <w:trHeight w:val="223"/>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Adjusted EBITDA</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205,284</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177,610</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15.6 %</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605,413</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469,686</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28.9 %</w:t>
            </w:r>
          </w:p>
        </w:tc>
      </w:tr>
      <w:tr>
        <w:trPr>
          <w:trHeight w:val="236"/>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5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79.3 % $</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36.5 %</w:t>
            </w: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Deferred revenues fair value adjustment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0.00</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0.00</w:t>
            </w:r>
          </w:p>
        </w:tc>
        <w:tc>
          <w:tcPr>
            <w:tcW w:w="1280" w:type="dxa"/>
            <w:vAlign w:val="bottom"/>
          </w:tcPr>
          <w:p>
            <w:pPr>
              <w:spacing w:after="0"/>
              <w:rPr>
                <w:sz w:val="19"/>
                <w:szCs w:val="19"/>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 amortization</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1280" w:type="dxa"/>
            <w:vAlign w:val="bottom"/>
            <w:shd w:val="clear" w:color="auto" w:fill="CCEEFF"/>
          </w:tcPr>
          <w:p>
            <w:pPr>
              <w:spacing w:after="0"/>
              <w:rPr>
                <w:sz w:val="19"/>
                <w:szCs w:val="19"/>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Restructuring / severance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0.03</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0.02</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0.04</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0.24</w:t>
            </w:r>
          </w:p>
        </w:tc>
        <w:tc>
          <w:tcPr>
            <w:tcW w:w="1280" w:type="dxa"/>
            <w:vAlign w:val="bottom"/>
          </w:tcPr>
          <w:p>
            <w:pPr>
              <w:spacing w:after="0"/>
              <w:rPr>
                <w:sz w:val="19"/>
                <w:szCs w:val="19"/>
                <w:color w:val="auto"/>
              </w:rPr>
            </w:pPr>
          </w:p>
        </w:tc>
      </w:tr>
      <w:tr>
        <w:trPr>
          <w:trHeight w:val="243"/>
        </w:trPr>
        <w:tc>
          <w:tcPr>
            <w:tcW w:w="404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Real estate charges</w:t>
            </w:r>
            <w:r>
              <w:rPr>
                <w:rFonts w:ascii="Arial" w:cs="Arial" w:eastAsia="Arial" w:hAnsi="Arial"/>
                <w:sz w:val="23"/>
                <w:szCs w:val="23"/>
                <w:i w:val="1"/>
                <w:iCs w:val="1"/>
                <w:color w:val="auto"/>
                <w:vertAlign w:val="superscript"/>
              </w:rPr>
              <w:t>(1)</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80" w:type="dxa"/>
            <w:vAlign w:val="bottom"/>
            <w:shd w:val="clear" w:color="auto" w:fill="CCEEFF"/>
          </w:tcPr>
          <w:p>
            <w:pPr>
              <w:spacing w:after="0"/>
              <w:rPr>
                <w:sz w:val="21"/>
                <w:szCs w:val="21"/>
                <w:color w:val="auto"/>
              </w:rPr>
            </w:pPr>
          </w:p>
        </w:tc>
      </w:tr>
      <w:tr>
        <w:trPr>
          <w:trHeight w:val="230"/>
        </w:trPr>
        <w:tc>
          <w:tcPr>
            <w:tcW w:w="4040" w:type="dxa"/>
            <w:vAlign w:val="bottom"/>
          </w:tcPr>
          <w:p>
            <w:pPr>
              <w:ind w:left="20"/>
              <w:spacing w:after="0" w:line="230" w:lineRule="exact"/>
              <w:rPr>
                <w:sz w:val="20"/>
                <w:szCs w:val="20"/>
                <w:color w:val="auto"/>
              </w:rPr>
            </w:pPr>
            <w:r>
              <w:rPr>
                <w:rFonts w:ascii="Arial" w:cs="Arial" w:eastAsia="Arial" w:hAnsi="Arial"/>
                <w:sz w:val="18"/>
                <w:szCs w:val="18"/>
                <w:color w:val="auto"/>
              </w:rPr>
              <w:t>Business acquisition / integration costs</w:t>
            </w:r>
            <w:r>
              <w:rPr>
                <w:rFonts w:ascii="Arial" w:cs="Arial" w:eastAsia="Arial" w:hAnsi="Arial"/>
                <w:sz w:val="23"/>
                <w:szCs w:val="23"/>
                <w:i w:val="1"/>
                <w:iCs w:val="1"/>
                <w:color w:val="auto"/>
                <w:vertAlign w:val="superscript"/>
              </w:rPr>
              <w:t>(2)</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0.28</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0.15</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0.40</w:t>
            </w:r>
          </w:p>
        </w:tc>
        <w:tc>
          <w:tcPr>
            <w:tcW w:w="1280" w:type="dxa"/>
            <w:vAlign w:val="bottom"/>
          </w:tcPr>
          <w:p>
            <w:pPr>
              <w:spacing w:after="0"/>
              <w:rPr>
                <w:sz w:val="19"/>
                <w:szCs w:val="19"/>
                <w:color w:val="auto"/>
              </w:rPr>
            </w:pPr>
          </w:p>
        </w:tc>
      </w:tr>
      <w:tr>
        <w:trPr>
          <w:trHeight w:val="229"/>
        </w:trPr>
        <w:tc>
          <w:tcPr>
            <w:tcW w:w="40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Transformation costs</w:t>
            </w:r>
            <w:r>
              <w:rPr>
                <w:rFonts w:ascii="Arial" w:cs="Arial" w:eastAsia="Arial" w:hAnsi="Arial"/>
                <w:sz w:val="23"/>
                <w:szCs w:val="23"/>
                <w:i w:val="1"/>
                <w:iCs w:val="1"/>
                <w:color w:val="auto"/>
                <w:vertAlign w:val="superscript"/>
              </w:rPr>
              <w:t>(3)</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280" w:type="dxa"/>
            <w:vAlign w:val="bottom"/>
            <w:shd w:val="clear" w:color="auto" w:fill="CCEEFF"/>
          </w:tcPr>
          <w:p>
            <w:pPr>
              <w:spacing w:after="0"/>
              <w:rPr>
                <w:sz w:val="19"/>
                <w:szCs w:val="19"/>
                <w:color w:val="auto"/>
              </w:rPr>
            </w:pPr>
          </w:p>
        </w:tc>
      </w:tr>
      <w:tr>
        <w:trPr>
          <w:trHeight w:val="243"/>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items</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3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2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3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280" w:type="dxa"/>
            <w:vAlign w:val="bottom"/>
            <w:tcBorders>
              <w:bottom w:val="single" w:sz="8" w:color="CCEEFF"/>
            </w:tcBorders>
          </w:tcPr>
          <w:p>
            <w:pPr>
              <w:spacing w:after="0"/>
              <w:rPr>
                <w:sz w:val="21"/>
                <w:szCs w:val="21"/>
                <w:color w:val="auto"/>
              </w:rPr>
            </w:pPr>
          </w:p>
        </w:tc>
      </w:tr>
      <w:tr>
        <w:trPr>
          <w:trHeight w:val="223"/>
        </w:trPr>
        <w:tc>
          <w:tcPr>
            <w:tcW w:w="4040" w:type="dxa"/>
            <w:vAlign w:val="bottom"/>
            <w:tcBorders>
              <w:bottom w:val="single" w:sz="8" w:color="auto"/>
            </w:tcBorders>
            <w:shd w:val="clear" w:color="auto" w:fill="CCEEFF"/>
          </w:tcPr>
          <w:p>
            <w:pPr>
              <w:ind w:left="240"/>
              <w:spacing w:after="0" w:line="223" w:lineRule="exact"/>
              <w:rPr>
                <w:sz w:val="20"/>
                <w:szCs w:val="20"/>
                <w:color w:val="auto"/>
              </w:rPr>
            </w:pPr>
            <w:r>
              <w:rPr>
                <w:rFonts w:ascii="Arial" w:cs="Arial" w:eastAsia="Arial" w:hAnsi="Arial"/>
                <w:sz w:val="18"/>
                <w:szCs w:val="18"/>
                <w:color w:val="auto"/>
              </w:rPr>
              <w:t>Adjusted diluted earnings per common share</w:t>
            </w:r>
            <w:r>
              <w:rPr>
                <w:rFonts w:ascii="Arial" w:cs="Arial" w:eastAsia="Arial" w:hAnsi="Arial"/>
                <w:sz w:val="23"/>
                <w:szCs w:val="23"/>
                <w:i w:val="1"/>
                <w:iCs w:val="1"/>
                <w:color w:val="auto"/>
                <w:vertAlign w:val="superscript"/>
              </w:rPr>
              <w:t>(5)</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12.0 %</w:t>
            </w:r>
          </w:p>
        </w:tc>
      </w:tr>
      <w:tr>
        <w:trPr>
          <w:trHeight w:val="223"/>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Weighted average common shares (Diluted)</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38,912</w:t>
            </w: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38,720</w:t>
            </w:r>
          </w:p>
        </w:tc>
        <w:tc>
          <w:tcPr>
            <w:tcW w:w="1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38,936</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38,607</w:t>
            </w:r>
          </w:p>
        </w:tc>
        <w:tc>
          <w:tcPr>
            <w:tcW w:w="1280" w:type="dxa"/>
            <w:vAlign w:val="bottom"/>
            <w:tcBorders>
              <w:bottom w:val="single" w:sz="8" w:color="auto"/>
            </w:tcBorders>
          </w:tcPr>
          <w:p>
            <w:pPr>
              <w:spacing w:after="0"/>
              <w:rPr>
                <w:sz w:val="19"/>
                <w:szCs w:val="19"/>
                <w:color w:val="auto"/>
              </w:rPr>
            </w:pPr>
          </w:p>
        </w:tc>
      </w:tr>
    </w:tbl>
    <w:p>
      <w:pPr>
        <w:spacing w:after="0" w:line="179" w:lineRule="exact"/>
        <w:rPr>
          <w:sz w:val="20"/>
          <w:szCs w:val="20"/>
          <w:color w:val="auto"/>
        </w:rPr>
      </w:pPr>
    </w:p>
    <w:p>
      <w:pPr>
        <w:ind w:left="260" w:hanging="252"/>
        <w:spacing w:after="0"/>
        <w:tabs>
          <w:tab w:leader="none" w:pos="260" w:val="left"/>
        </w:tabs>
        <w:numPr>
          <w:ilvl w:val="0"/>
          <w:numId w:val="30"/>
        </w:numPr>
        <w:rPr>
          <w:rFonts w:ascii="Arial" w:cs="Arial" w:eastAsia="Arial" w:hAnsi="Arial"/>
          <w:sz w:val="16"/>
          <w:szCs w:val="16"/>
          <w:i w:val="1"/>
          <w:iCs w:val="1"/>
          <w:color w:val="auto"/>
        </w:rPr>
      </w:pPr>
      <w:r>
        <w:rPr>
          <w:rFonts w:ascii="Arial" w:cs="Arial" w:eastAsia="Arial" w:hAnsi="Arial"/>
          <w:sz w:val="16"/>
          <w:szCs w:val="16"/>
          <w:i w:val="1"/>
          <w:iCs w:val="1"/>
          <w:color w:val="auto"/>
        </w:rPr>
        <w:t>Related to impairment charges of our lease ROU assets and PPE associated with vacating certain leased office space.</w:t>
      </w:r>
    </w:p>
    <w:p>
      <w:pPr>
        <w:spacing w:after="0" w:line="99" w:lineRule="exact"/>
        <w:rPr>
          <w:rFonts w:ascii="Arial" w:cs="Arial" w:eastAsia="Arial" w:hAnsi="Arial"/>
          <w:sz w:val="16"/>
          <w:szCs w:val="16"/>
          <w:i w:val="1"/>
          <w:iCs w:val="1"/>
          <w:color w:val="auto"/>
        </w:rPr>
      </w:pPr>
    </w:p>
    <w:p>
      <w:pPr>
        <w:ind w:left="260" w:hanging="252"/>
        <w:spacing w:after="0"/>
        <w:tabs>
          <w:tab w:leader="none" w:pos="260" w:val="left"/>
        </w:tabs>
        <w:numPr>
          <w:ilvl w:val="0"/>
          <w:numId w:val="30"/>
        </w:numPr>
        <w:rPr>
          <w:rFonts w:ascii="Arial" w:cs="Arial" w:eastAsia="Arial" w:hAnsi="Arial"/>
          <w:sz w:val="16"/>
          <w:szCs w:val="16"/>
          <w:i w:val="1"/>
          <w:iCs w:val="1"/>
          <w:color w:val="auto"/>
        </w:rPr>
      </w:pPr>
      <w:r>
        <w:rPr>
          <w:rFonts w:ascii="Arial" w:cs="Arial" w:eastAsia="Arial" w:hAnsi="Arial"/>
          <w:sz w:val="16"/>
          <w:szCs w:val="16"/>
          <w:i w:val="1"/>
          <w:iCs w:val="1"/>
          <w:color w:val="auto"/>
        </w:rPr>
        <w:t>Related to acquisition/integration costs of the CGS acquisition.</w:t>
      </w:r>
    </w:p>
    <w:p>
      <w:pPr>
        <w:spacing w:after="0" w:line="59" w:lineRule="exact"/>
        <w:rPr>
          <w:rFonts w:ascii="Arial" w:cs="Arial" w:eastAsia="Arial" w:hAnsi="Arial"/>
          <w:sz w:val="16"/>
          <w:szCs w:val="16"/>
          <w:i w:val="1"/>
          <w:iCs w:val="1"/>
          <w:color w:val="auto"/>
        </w:rPr>
      </w:pPr>
    </w:p>
    <w:p>
      <w:pPr>
        <w:ind w:left="260" w:hanging="252"/>
        <w:spacing w:after="0"/>
        <w:tabs>
          <w:tab w:leader="none" w:pos="260" w:val="left"/>
        </w:tabs>
        <w:numPr>
          <w:ilvl w:val="0"/>
          <w:numId w:val="30"/>
        </w:numPr>
        <w:rPr>
          <w:rFonts w:ascii="Arial" w:cs="Arial" w:eastAsia="Arial" w:hAnsi="Arial"/>
          <w:sz w:val="16"/>
          <w:szCs w:val="16"/>
          <w:i w:val="1"/>
          <w:iCs w:val="1"/>
          <w:color w:val="auto"/>
        </w:rPr>
      </w:pPr>
      <w:r>
        <w:rPr>
          <w:rFonts w:ascii="Arial" w:cs="Arial" w:eastAsia="Arial" w:hAnsi="Arial"/>
          <w:sz w:val="16"/>
          <w:szCs w:val="16"/>
          <w:i w:val="1"/>
          <w:iCs w:val="1"/>
          <w:color w:val="auto"/>
        </w:rPr>
        <w:t>Primarily related to professional fees associated with our ongoing multi-year investment plan.</w:t>
      </w:r>
    </w:p>
    <w:p>
      <w:pPr>
        <w:spacing w:after="0" w:line="72" w:lineRule="exact"/>
        <w:rPr>
          <w:rFonts w:ascii="Arial" w:cs="Arial" w:eastAsia="Arial" w:hAnsi="Arial"/>
          <w:sz w:val="16"/>
          <w:szCs w:val="16"/>
          <w:i w:val="1"/>
          <w:iCs w:val="1"/>
          <w:color w:val="auto"/>
        </w:rPr>
      </w:pPr>
    </w:p>
    <w:p>
      <w:pPr>
        <w:ind w:left="260" w:hanging="252"/>
        <w:spacing w:after="0"/>
        <w:tabs>
          <w:tab w:leader="none" w:pos="260" w:val="left"/>
        </w:tabs>
        <w:numPr>
          <w:ilvl w:val="0"/>
          <w:numId w:val="30"/>
        </w:numPr>
        <w:rPr>
          <w:rFonts w:ascii="Arial" w:cs="Arial" w:eastAsia="Arial" w:hAnsi="Arial"/>
          <w:sz w:val="16"/>
          <w:szCs w:val="16"/>
          <w:i w:val="1"/>
          <w:iCs w:val="1"/>
          <w:color w:val="auto"/>
        </w:rPr>
      </w:pPr>
      <w:r>
        <w:rPr>
          <w:rFonts w:ascii="Arial" w:cs="Arial" w:eastAsia="Arial" w:hAnsi="Arial"/>
          <w:sz w:val="16"/>
          <w:szCs w:val="16"/>
          <w:i w:val="1"/>
          <w:iCs w:val="1"/>
          <w:color w:val="auto"/>
        </w:rPr>
        <w:t>Adjusted operating margin is calculated as Adjusted operating income divided by Adjusted revenues as shown in the revenues reconciliation table above.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60" w:hanging="252"/>
        <w:spacing w:after="0" w:line="310" w:lineRule="auto"/>
        <w:tabs>
          <w:tab w:leader="none" w:pos="260" w:val="left"/>
        </w:tabs>
        <w:numPr>
          <w:ilvl w:val="0"/>
          <w:numId w:val="31"/>
        </w:numPr>
        <w:rPr>
          <w:rFonts w:ascii="Arial" w:cs="Arial" w:eastAsia="Arial" w:hAnsi="Arial"/>
          <w:sz w:val="15"/>
          <w:szCs w:val="15"/>
          <w:i w:val="1"/>
          <w:iCs w:val="1"/>
          <w:color w:val="auto"/>
        </w:rPr>
      </w:pPr>
      <w:r>
        <w:rPr>
          <w:rFonts w:ascii="Arial" w:cs="Arial" w:eastAsia="Arial" w:hAnsi="Arial"/>
          <w:sz w:val="15"/>
          <w:szCs w:val="15"/>
          <w:i w:val="1"/>
          <w:iCs w:val="1"/>
          <w:color w:val="auto"/>
        </w:rPr>
        <w:t>For purposes of calculating Adjusted net income and Adjusted EPS, the three months ended May 31, 2023 and May 31, 2022 were taxed at an adjusted tax rate of 18.4% and 12.7%, respectively. The nine months ended May 31, 2023 and May 31, 2022 were taxed at an adjusted tax rate of 16.2% and 11.5%,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cash flows provided by operating activities, existing cash and cash equivalents, supplemented with our long-term debt borrowings, have been sufficient to fund our operations while allowing us to invest in activities that support the long-term growth of our operations. Generally, some or all of the remaining available cash flow has been used to, among other things, service our existing and future debt obligations, satisfy our working capital requirements and fund our capital expenditures, acquisitions, dividend payments and repurchases of our common stock. Based on past performance and current expectations, we believe our sources of liquidity, including the available capacity under our existing revolving credit facility and other financing alternatives, will provide us the necessary capital to fund these transactions and achieve our planned growth for the next 12 months and the foreseeable future. We are exposed to credit risk for cash and cash equivalents held in financial institutions in the event of a default, to the extent that such amounts are in excess of applicable insurance limits; however, we do not believe our concentration of cash and cash equivalents presents a significant credit risk as the counterparties to the instruments consist of multiple high-quality, credit-worthy financial institutions.</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Sources of Liquidity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 &amp; Swap Agreements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Credit Agreement</w:t>
      </w:r>
    </w:p>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March 1, 2022, we entered into a credit agreement (the "2022 Credit Agreement") and borrowed an aggregate principal amount of $1.0 billion under its senior unsecured term loan credit facility (the "2022 Term Facility") and $250.0 million of the available $500.0 million under its senior unsecured revolving credit facility (the "2022 Revolving Facility" and, together with the 2022 Term Facility, the "2022 Credit Facilities"). The 2022 Term Facility matures on March 1, 2025, and the 2022 Revolving Facility matures on March 1, 2027. The 2022 Revolving Facility allows for the availability of up to $100.0 million in the form of letters of credit and up to $50.0 million in the form of swingline loans. We may seek additional commitments under the 2022 Revolving Facility from lenders or other financial institutions up to an aggregate principal amount of $750.0 million.</w:t>
      </w:r>
    </w:p>
    <w:p>
      <w:pPr>
        <w:spacing w:after="0" w:line="13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pay a commitment fee on the daily unused amount of the 2022 Revolving Facility using a pricing grid based on our senior unsecured non-credit enhanced long-term debt rating and our total leverage ratio. The commitment fee remained consistent at 0.125% from the borrowing date through May 31, 2023. During fiscal 2022, we incurred approximately $9.5 million in debt issuance costs related to the 2022 Credit Facilities.</w:t>
      </w:r>
    </w:p>
    <w:p>
      <w:pPr>
        <w:spacing w:after="0" w:line="1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used these borrowings, along with the net proceeds from the issuance of the Senior Notes (as defined below) and cash on hand, to finance the consideration for the CGS acquisition, to repay borrowings under the 2019 Credit Agreement (as defined below) and to pay related transaction fees, costs and expenses.</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voluntarily prepay loans under the 2022 Credit Facilities at any time without premium or penalty. During the three and nine months ended May 31, 2023, we repaid $62.5 million and $312.5 million, respectively, under the 2022 Term Facility, inclusive of voluntary prepayments of $50.0 million and $275.0 million, respectively. Since loan inception on March 1, 2022, we have repaid $562.5 million under the 2022 Term Facility, inclusive of voluntary prepayments of $512.5 million.</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May 31, 2023, the outstanding borrowings under the 2022 Credit Facilities bore interest at a rate equal to the applicable one-month Term Secured Overnight Financing Rate ("SOFR") rate plus a 1.1% spread (comprised of a 1.0% interest rate margin based on a debt leverage pricing grid plus a 0.1% credit spread adjustment). The spread remained consistent from the borrowing date through May 31, 2023. Interest on the 2022 Credit Facilities is currently payable on the last business day of each month, in arrears.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2022 Credit Agreement contains usual and customary event of default provisions for facilities of this type, which are subject to usual and customary grace periods and materiality thresholds. If an event of default occurs under the 2022 Credit Agreement, the lenders may, among other things, terminate their commitments and declare all outstanding borrowings immediately due and payable.</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2022 Credit Agreement contains usual and customary affirmative and negative covenants for facilities of this type, including a financial covenant requiring maintenance of a total leverage ratio of no greater than 4.00 to 1.00 as of May 31, 2023. We were in compliance with all covenants and requirements of the 2022 Credit Agreement as of May 31, 2023.</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Note 11, </w:t>
      </w:r>
      <w:r>
        <w:rPr>
          <w:rFonts w:ascii="Arial" w:cs="Arial" w:eastAsia="Arial" w:hAnsi="Arial"/>
          <w:sz w:val="18"/>
          <w:szCs w:val="18"/>
          <w:i w:val="1"/>
          <w:iCs w:val="1"/>
          <w:color w:val="auto"/>
        </w:rPr>
        <w:t>Debt</w:t>
      </w:r>
      <w:r>
        <w:rPr>
          <w:rFonts w:ascii="Arial" w:cs="Arial" w:eastAsia="Arial" w:hAnsi="Arial"/>
          <w:sz w:val="18"/>
          <w:szCs w:val="18"/>
          <w:color w:val="auto"/>
        </w:rPr>
        <w:t xml:space="preserve"> in the Notes of this Quarterly Report on Form 10-Q for further discussion of the 2022 Credit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Swap Agreement</w:t>
      </w:r>
    </w:p>
    <w:p>
      <w:pPr>
        <w:spacing w:after="0" w:line="17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 xml:space="preserve">On March 1, 2022, we entered into an interest rate swap agreement (the "2022 Swap Agreement") to hedge a portion of our outstanding floating SOFR rate debt with a fixed interest rate of 1.162%. Effective December 30, 2022, we apportioned the then-outstanding notional amount of the 2022 Swap Agreement between two counterparties. Refer to Note 5, </w:t>
      </w:r>
      <w:r>
        <w:rPr>
          <w:rFonts w:ascii="Arial" w:cs="Arial" w:eastAsia="Arial" w:hAnsi="Arial"/>
          <w:sz w:val="18"/>
          <w:szCs w:val="18"/>
          <w:i w:val="1"/>
          <w:iCs w:val="1"/>
          <w:color w:val="auto"/>
        </w:rPr>
        <w:t>Derivative Instruments</w:t>
      </w:r>
      <w:r>
        <w:rPr>
          <w:rFonts w:ascii="Arial" w:cs="Arial" w:eastAsia="Arial" w:hAnsi="Arial"/>
          <w:sz w:val="18"/>
          <w:szCs w:val="18"/>
          <w:color w:val="auto"/>
        </w:rPr>
        <w:t>, in the Notes of this Quarterly Report on Form 10-Q for more information on the 2022 Swap Agreement.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1, 2022 we completed a public offering of $500.0 million aggregate principal amount of 2.900% Senior Notes due March 1, 2027 (the “2027 Notes”) and $500.0 million aggregate principal amount of 3.450% Senior Notes due March 1, 2032 (the “2032 Notes” and, together with the 2027 Notes, the “Senior Notes”). The Senior Notes were issued pursuant to an indenture, dated as of March 1, 2022, by and between us and U.S. Bank Trust Company, National Association, as trustee (the "Trustee"), as supplemented by the supplemental indenture, dated as of March 1, 2022, between us and the Trustee (the "Supplemental Indenture").</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on the Senior Notes is payable semiannually in arrears on March 1 and September 1 of each year, with the first payment made on September 1, 2022. The Senior Notes were issued at an aggregate discount of $2.8 million during fiscal 2022 and we incurred approximately $9.1 million in debt issuance costs.</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may redeem the Senior Notes, in whole or in part, at any time at specified redemption prices, plus any accrued and unpaid interest. Upon the occurrence of a change of control triggering event (as defined in the Supplemental Indenture), we must offer to repurchase the Senior Notes at 101% of their principal amount, plus any accrued and unpaid interest.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Credit Agreement</w:t>
      </w:r>
    </w:p>
    <w:p>
      <w:pPr>
        <w:spacing w:after="0" w:line="20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March 29, 2019, we entered into a credit agreement with PNC Bank, National Association (the "2019 Credit Agreement"), and borrowed $575.0 million of the available $750.0 million provided by the revolving credit facility thereunder (the "2019 Revolving Credit Facility"). Borrowings under the 2019 Revolving Credit Facility bore interest on the outstanding principal amount at a rate equal to the daily LIBOR plus a spread using a debt leverage pricing grid. Interest on the amounts outstanding under the 2019 Revolving Credit Facility was payable quarterly, in arrears, and on the maturity date.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As of March 1, 2022, we repaid in full and terminated the 2019 Credit Agreement. Refer to Note 11, </w:t>
      </w:r>
      <w:r>
        <w:rPr>
          <w:rFonts w:ascii="Arial" w:cs="Arial" w:eastAsia="Arial" w:hAnsi="Arial"/>
          <w:sz w:val="18"/>
          <w:szCs w:val="18"/>
          <w:i w:val="1"/>
          <w:iCs w:val="1"/>
          <w:color w:val="auto"/>
        </w:rPr>
        <w:t>Debt</w:t>
      </w:r>
      <w:r>
        <w:rPr>
          <w:rFonts w:ascii="Arial" w:cs="Arial" w:eastAsia="Arial" w:hAnsi="Arial"/>
          <w:sz w:val="18"/>
          <w:szCs w:val="18"/>
          <w:color w:val="auto"/>
        </w:rPr>
        <w:t xml:space="preserve"> in the Notes of this Quarterly Report on Form 10-Q for more information on the termination.</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Uses of Liquidity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Returning Value to Shareholders</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nine months ended May 31, 2023 and May 31, 2022, we returned to our shareholders $168.5 million and $111.0 million in the form of share repurchases and dividends, respectively. Over the last 12 months, we returned $202.1 million to our shareholders in the form of share repurchases and dividends.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third quarter of fiscal 2023, our Board of Directors approved a 10% increase in the regular quarterly dividend from $0.89 to $0.98 per share. Fiscal 2023 marks 24 consecutive fiscal years of dividend increases, highlighting our continued commitment to returning value to stockholders. During the nine months ended May 31, 2023 and May 31, 2022, we paid dividends of $101.4 million and $92.3 million, respectively. Future dividends will depend on our earnings, capital requirements, financial condition and other factors considered relevant by us and are subject to final determination by our Board of Directors.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25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may repurchase shares of our common stock under our share repurchase program from time-to-time in the open market or via privately negotiated transactions, subject to market conditions. We had suspended our share repurchase program beginning in the second quarter of fiscal 2022, with the exception of potential minor repurchases to offset dilution from grants of equity awards or repurchases to satisfy withholding tax obligations due upon the vesting of stock-based awards, to prioritize the repayment of debt under the 2022 Credit Facilities. We resumed our share repurchase program in the third quarter of fiscal 2023 and for the three months ended May 31, 2023, we repurchased 165,950 shares for $67.1 million. We did not repurchase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shares of our common stock during the three months ended May 31, 2022. For the nine months ended May 31, 2023 and May 31, 2022, we repurchased 165,950 shares for $67.1 million and 46,200 shares for $18.6 million, respectively.</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is no defined number of shares to be repurchased over a specified timeframe through the life of our share repurchase program. As of May 31, 2023, $114.2 million remained authorized for future share repurchases under our share repurchase program through August 31, 2023. On June 20, 2023, our Board of Directors authorized up to $300 million for share repurchases on or after September 1, 2023.</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nine months ended May 31, 2023, capital expenditures increased by 70.9% to $61.4 million, compared with $36.0 million during the same period a year ago. This increase was primarily due to higher expenditures related to the development of capitalized internal-use software and investments in network-related equipment and laptops.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CUSIP Global Services</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March 1, 2022, we completed the acquisition of CGS for a cash purchase price of $1.932 billion, inclusive of working capital adjustments. CGS manages a database of 60 different data elements uniquely identifying more than 50 million global financial instruments. It is the foundation for security master files relied on by critical front, middle and back-office functions. CGS, operating on behalf of the ABA, is the provider of CUSIP and CINS identifiers globally and also acts as the official numbering agency for ISIN identifiers in the United States and as a substitute number agency for more than 35 other countries. We believe that the CGS acquisition will significantly expand our critical role in the global capital markets.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Cobalt Software, Inc.</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12, 2021, we acquired all of the outstanding shares of Cobalt Software, Inc. ("Cobalt") for a purchase price of $50.0 million, net of cash acquired, and inclusive of working capital adjustments. Cobalt was a leading portfolio monitoring solutions provider for the private capital industry. This acquisition advances our strategy to scale our data and workflow solutions through targeted investments as part of our multi-year investment plan and expands our private markets offering.</w:t>
      </w:r>
    </w:p>
    <w:p>
      <w:pPr>
        <w:spacing w:after="0" w:line="160" w:lineRule="exact"/>
        <w:rPr>
          <w:sz w:val="20"/>
          <w:szCs w:val="20"/>
          <w:color w:val="auto"/>
        </w:rPr>
      </w:pPr>
    </w:p>
    <w:p>
      <w:pPr>
        <w:ind w:right="1120"/>
        <w:spacing w:after="0" w:line="453" w:lineRule="auto"/>
        <w:rPr>
          <w:sz w:val="20"/>
          <w:szCs w:val="20"/>
          <w:color w:val="auto"/>
        </w:rPr>
      </w:pPr>
      <w:r>
        <w:rPr>
          <w:rFonts w:ascii="Arial" w:cs="Arial" w:eastAsia="Arial" w:hAnsi="Arial"/>
          <w:sz w:val="18"/>
          <w:szCs w:val="18"/>
          <w:color w:val="auto"/>
        </w:rPr>
        <w:t xml:space="preserve">Refer to Note 6,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in the Notes of this Quarterly Report on Form 10-Q for further discussion of the CGS and Cobalt acquisitions. </w:t>
      </w:r>
      <w:r>
        <w:rPr>
          <w:rFonts w:ascii="Arial" w:cs="Arial" w:eastAsia="Arial" w:hAnsi="Arial"/>
          <w:sz w:val="18"/>
          <w:szCs w:val="18"/>
          <w:b w:val="1"/>
          <w:bCs w:val="1"/>
          <w:color w:val="auto"/>
        </w:rPr>
        <w:t>Contractual Obligations</w:t>
      </w:r>
    </w:p>
    <w:p>
      <w:pPr>
        <w:spacing w:after="0" w:line="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Purchase obligations represent our legally-binding agreements to purchase fixed or minimum quantities at determinable prices. Our total purchase obligations as of August 31, 2022 primarily related to hosting services and acquisition of data, and, to a lesser extent, third-party software providers. Hosting services support our technology investments related to our hybrid cloud strategy, the majority of which rely on third-party hosting providers. Data is an integral component of the value we provide to our clients and our commitments to third-party software providers mainly include internal-use software licenses.</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August 31, 2022, we had total purchase obligations with suppliers of $373.9 million. During the second quarter of fiscal 2023, we amended a contract with a data supplier that resulted in an incremental commitment to purchase data of approximately $26 million.</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We also have contractual obligations related to our lease liabilities and outstanding debt. Refer to Note 10,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and Note 11, </w:t>
      </w:r>
      <w:r>
        <w:rPr>
          <w:rFonts w:ascii="Arial" w:cs="Arial" w:eastAsia="Arial" w:hAnsi="Arial"/>
          <w:sz w:val="18"/>
          <w:szCs w:val="18"/>
          <w:i w:val="1"/>
          <w:iCs w:val="1"/>
          <w:color w:val="auto"/>
        </w:rPr>
        <w:t>Debt</w:t>
      </w:r>
      <w:r>
        <w:rPr>
          <w:rFonts w:ascii="Arial" w:cs="Arial" w:eastAsia="Arial" w:hAnsi="Arial"/>
          <w:sz w:val="18"/>
          <w:szCs w:val="18"/>
          <w:color w:val="auto"/>
        </w:rPr>
        <w:t xml:space="preserve"> in the Notes of this Quarterly Report on Form 10-Q for information regarding lease commitments and outstanding debt obligations, respectively.</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of Cash Flows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May 31, 2023, Cash and cash equivalents were $486.6 million, compared with $527.0 million as of May 31, 2022. Our cash and cash equivalents are held in numerous locations throughout the world, with $214.6 million in EMEA (predominantly in the U.K.), $167.6 million in the Americas and the remaining $104.4 million in Asia Pacific (predominantly in India and the Philippines) as of May 31, 2023. We permanently reinvest all foreign unremitted earnings, except in jurisdictions where earnings can be repatriated substantially free of tax.</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Table of Contents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945"/>
        </w:trPr>
        <w:tc>
          <w:tcPr>
            <w:tcW w:w="6940" w:type="dxa"/>
            <w:vAlign w:val="bottom"/>
          </w:tcPr>
          <w:p>
            <w:pPr>
              <w:spacing w:after="0"/>
              <w:rPr>
                <w:sz w:val="20"/>
                <w:szCs w:val="20"/>
                <w:color w:val="auto"/>
              </w:rPr>
            </w:pPr>
            <w:r>
              <w:rPr>
                <w:rFonts w:ascii="Arial" w:cs="Arial" w:eastAsia="Arial" w:hAnsi="Arial"/>
                <w:sz w:val="18"/>
                <w:szCs w:val="18"/>
                <w:color w:val="auto"/>
              </w:rPr>
              <w:t>The table below, for the periods indicated, provides selected cash flow information:</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6"/>
        </w:trPr>
        <w:tc>
          <w:tcPr>
            <w:tcW w:w="69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80" w:type="dxa"/>
            <w:vAlign w:val="bottom"/>
            <w:gridSpan w:val="3"/>
          </w:tcPr>
          <w:p>
            <w:pPr>
              <w:jc w:val="right"/>
              <w:ind w:right="690"/>
              <w:spacing w:after="0"/>
              <w:rPr>
                <w:sz w:val="20"/>
                <w:szCs w:val="20"/>
                <w:color w:val="auto"/>
              </w:rPr>
            </w:pPr>
            <w:r>
              <w:rPr>
                <w:rFonts w:ascii="Arial" w:cs="Arial" w:eastAsia="Arial" w:hAnsi="Arial"/>
                <w:sz w:val="18"/>
                <w:szCs w:val="18"/>
                <w:color w:val="auto"/>
              </w:rPr>
              <w:t>Nine Months Ended</w:t>
            </w:r>
          </w:p>
        </w:tc>
        <w:tc>
          <w:tcPr>
            <w:tcW w:w="1280" w:type="dxa"/>
            <w:vAlign w:val="bottom"/>
          </w:tcPr>
          <w:p>
            <w:pPr>
              <w:spacing w:after="0"/>
              <w:rPr>
                <w:sz w:val="22"/>
                <w:szCs w:val="22"/>
                <w:color w:val="auto"/>
              </w:rPr>
            </w:pPr>
          </w:p>
        </w:tc>
      </w:tr>
      <w:tr>
        <w:trPr>
          <w:trHeight w:val="242"/>
        </w:trPr>
        <w:tc>
          <w:tcPr>
            <w:tcW w:w="6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20" w:type="dxa"/>
            <w:vAlign w:val="bottom"/>
            <w:gridSpan w:val="2"/>
          </w:tcPr>
          <w:p>
            <w:pPr>
              <w:jc w:val="right"/>
              <w:ind w:right="50"/>
              <w:spacing w:after="0"/>
              <w:rPr>
                <w:sz w:val="20"/>
                <w:szCs w:val="20"/>
                <w:color w:val="auto"/>
              </w:rPr>
            </w:pPr>
            <w:r>
              <w:rPr>
                <w:rFonts w:ascii="Arial" w:cs="Arial" w:eastAsia="Arial" w:hAnsi="Arial"/>
                <w:sz w:val="18"/>
                <w:szCs w:val="18"/>
                <w:color w:val="auto"/>
              </w:rPr>
              <w:t>May 31,</w:t>
            </w:r>
          </w:p>
        </w:tc>
        <w:tc>
          <w:tcPr>
            <w:tcW w:w="10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30"/>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 amounts in thousands)</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2023</w:t>
            </w: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c>
          <w:tcPr>
            <w:tcW w:w="12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 Change</w:t>
            </w:r>
          </w:p>
        </w:tc>
      </w:tr>
      <w:tr>
        <w:trPr>
          <w:trHeight w:val="237"/>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489,903</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386,924</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26.6 %</w:t>
            </w: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(72,310)</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(2,018,269)</w:t>
            </w:r>
          </w:p>
        </w:tc>
        <w:tc>
          <w:tcPr>
            <w:tcW w:w="1280" w:type="dxa"/>
            <w:vAlign w:val="bottom"/>
          </w:tcPr>
          <w:p>
            <w:pPr>
              <w:jc w:val="right"/>
              <w:spacing w:after="0"/>
              <w:rPr>
                <w:sz w:val="20"/>
                <w:szCs w:val="20"/>
                <w:color w:val="auto"/>
              </w:rPr>
            </w:pPr>
            <w:r>
              <w:rPr>
                <w:rFonts w:ascii="Arial" w:cs="Arial" w:eastAsia="Arial" w:hAnsi="Arial"/>
                <w:sz w:val="18"/>
                <w:szCs w:val="18"/>
                <w:color w:val="auto"/>
              </w:rPr>
              <w:t>(96.4)%</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(437,357)</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1,488,556</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r>
      <w:tr>
        <w:trPr>
          <w:trHeight w:val="243"/>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3,118</w:t>
            </w:r>
          </w:p>
        </w:tc>
        <w:tc>
          <w:tcPr>
            <w:tcW w:w="4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(12,110)</w:t>
            </w: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(125.7)%</w:t>
            </w: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(16,646)</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(154,899)</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w:t>
      </w:r>
    </w:p>
    <w:p>
      <w:pPr>
        <w:spacing w:after="0" w:line="18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For the nine months ended May 31, 2023, net cash provided by operating activities was $489.9 million, which included net income of $403.1 million, non-cash charges of $140.7 million and a net cash outflow of $53.9 million to support our working capital requirements. The non-cash charges were primarily driven by $78.7 million of depreciation and amortization, $44.4 million of stock-based compensation expense and $29.2 million from amortization of lease ROU assets. The change in our working capital was primarily driven by a cash outflow related to our variable compensation payment earned in the prior year, higher accounts receivable due to increased sales and an increase in days sales outstanding and cash outflows for lease payments.</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nine months ended May 31, 2022, net cash provided by operating activities was $386.9 million, which consisted of net income of $292.5 million, non-cash charges of $191.2 million and a net cash outflow of $96.8 million to support our working capital requirements. The non-cash charges were primarily driven by $63.0 million of asset impairment charges, $60.2 million of depreciation and amortization, $40.6 million of stock-based compensation expense and $32.9 million from amortization of lease ROU assets. The change in our working capital was primarily driven by higher accounts receivable due to an increase in sales and an increase in days sales outstanding, cash outflows for lease payments and a cash outflow related to our variable compensation payment earned in the prior year.</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nine months ended May 31, 2023, net cash used in investing activities was $72.3 million. The cash used in investing activities was primarily related to capital expenditures of $61.4 million mainly due to capitalization of compensation costs related to the development of capitalized internal-use software and investments in network-related equipment and laptops.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nine months ended May 31, 2022, net cash used in investing activities was $2,018.3 million. The cash used in investing activities was due to the purchases of CGS for $1.932 billion, inclusive of working capital adjustments and Cobalt for $50.0 million.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nine months ended May 31, 2023, net cash used in financing activities was $437.4 million, consisting mainly of $312.5 million related to the partial repayment of the 2022 Term Facility, $101.4 million of dividend payments and $67.1 million of share repurchases, partially offset by $55.9 million of proceeds from employee stock plans.</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nine months ended May 31, 2022, net cash provided by financing activities was $1,488.6 million, consisting mainly of $2,238.4 million proceeds received from the 2022 Credit Facilities and Senior Notes and $74.2 million of proceeds from employee stock plans, partially offset by $700.0 million primarily related to the repayment and termination of the 2019 Credit Agreement and, to a lesser extent, the partial prepayment of the 2022 Term Facility, $92.3 million of dividend payments and $18.6 million of share repurchases.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Free Cash Flow</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define free cash flow, a non-GAAP financial measure, as cash provided by operating activities less purchases of PPE and capitalized internal-use software. We believe free cash flow is a liquidity measure that provides useful information to management and investors about the amount of cash generated by the business that, after capital expenditures, can be used for strategic opportunities, including returning value to shareholders, investing in our business, making strategic acquisitions and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strengthening the balance sheet. Free cash flow should be considered in addition to, rather than as a substitute for, consolidated net income as a measure of our performance and net cash provided by operating activities as a measure of our liquidity.</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20" w:type="dxa"/>
            <w:vAlign w:val="bottom"/>
          </w:tcPr>
          <w:p>
            <w:pPr>
              <w:spacing w:after="0"/>
              <w:rPr>
                <w:sz w:val="20"/>
                <w:szCs w:val="20"/>
                <w:color w:val="auto"/>
              </w:rPr>
            </w:pPr>
            <w:r>
              <w:rPr>
                <w:rFonts w:ascii="Arial" w:cs="Arial" w:eastAsia="Arial" w:hAnsi="Arial"/>
                <w:sz w:val="18"/>
                <w:szCs w:val="18"/>
                <w:color w:val="auto"/>
                <w:w w:val="92"/>
              </w:rPr>
              <w:t>The following table reconciles our net cash provided by operating activities to free cash flow:</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6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color w:val="auto"/>
                <w:w w:val="92"/>
              </w:rPr>
              <w:t>Nine Months Ended</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color w:val="auto"/>
                <w:w w:val="93"/>
              </w:rPr>
              <w:t>May 31,</w:t>
            </w: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 amounts in thousands)</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23"/>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5"/>
              </w:rPr>
              <w:t>489,903</w:t>
            </w:r>
          </w:p>
        </w:tc>
        <w:tc>
          <w:tcPr>
            <w:tcW w:w="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8"/>
              </w:rPr>
              <w:t>386,924</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102,979</w:t>
            </w:r>
          </w:p>
        </w:tc>
        <w:tc>
          <w:tcPr>
            <w:tcW w:w="0" w:type="dxa"/>
            <w:vAlign w:val="bottom"/>
          </w:tcPr>
          <w:p>
            <w:pPr>
              <w:spacing w:after="0"/>
              <w:rPr>
                <w:sz w:val="1"/>
                <w:szCs w:val="1"/>
                <w:color w:val="auto"/>
              </w:rPr>
            </w:pPr>
          </w:p>
        </w:tc>
      </w:tr>
      <w:tr>
        <w:trPr>
          <w:trHeight w:val="188"/>
        </w:trPr>
        <w:tc>
          <w:tcPr>
            <w:tcW w:w="6820" w:type="dxa"/>
            <w:vAlign w:val="bottom"/>
          </w:tcPr>
          <w:p>
            <w:pPr>
              <w:ind w:left="20"/>
              <w:spacing w:after="0" w:line="189" w:lineRule="exact"/>
              <w:rPr>
                <w:sz w:val="20"/>
                <w:szCs w:val="20"/>
                <w:color w:val="auto"/>
              </w:rPr>
            </w:pPr>
            <w:r>
              <w:rPr>
                <w:rFonts w:ascii="Arial" w:cs="Arial" w:eastAsia="Arial" w:hAnsi="Arial"/>
                <w:sz w:val="18"/>
                <w:szCs w:val="18"/>
                <w:color w:val="auto"/>
                <w:w w:val="90"/>
              </w:rPr>
              <w:t>Less: purchases of property, equipment, leasehold improvements and capitalized internal-use</w:t>
            </w:r>
          </w:p>
        </w:tc>
        <w:tc>
          <w:tcPr>
            <w:tcW w:w="340" w:type="dxa"/>
            <w:vAlign w:val="bottom"/>
          </w:tcPr>
          <w:p>
            <w:pPr>
              <w:spacing w:after="0"/>
              <w:rPr>
                <w:sz w:val="16"/>
                <w:szCs w:val="16"/>
                <w:color w:val="auto"/>
              </w:rPr>
            </w:pPr>
          </w:p>
        </w:tc>
        <w:tc>
          <w:tcPr>
            <w:tcW w:w="1120" w:type="dxa"/>
            <w:vAlign w:val="bottom"/>
            <w:vMerge w:val="restart"/>
          </w:tcPr>
          <w:p>
            <w:pPr>
              <w:ind w:left="500"/>
              <w:spacing w:after="0"/>
              <w:rPr>
                <w:sz w:val="20"/>
                <w:szCs w:val="20"/>
                <w:color w:val="auto"/>
              </w:rPr>
            </w:pPr>
            <w:r>
              <w:rPr>
                <w:rFonts w:ascii="Arial" w:cs="Arial" w:eastAsia="Arial" w:hAnsi="Arial"/>
                <w:sz w:val="18"/>
                <w:szCs w:val="18"/>
                <w:color w:val="auto"/>
                <w:w w:val="89"/>
              </w:rPr>
              <w:t>(61,421)</w:t>
            </w:r>
          </w:p>
        </w:tc>
        <w:tc>
          <w:tcPr>
            <w:tcW w:w="280" w:type="dxa"/>
            <w:vAlign w:val="bottom"/>
          </w:tcPr>
          <w:p>
            <w:pPr>
              <w:spacing w:after="0"/>
              <w:rPr>
                <w:sz w:val="16"/>
                <w:szCs w:val="16"/>
                <w:color w:val="auto"/>
              </w:rPr>
            </w:pPr>
          </w:p>
        </w:tc>
        <w:tc>
          <w:tcPr>
            <w:tcW w:w="1220" w:type="dxa"/>
            <w:vAlign w:val="bottom"/>
            <w:vMerge w:val="restart"/>
          </w:tcPr>
          <w:p>
            <w:pPr>
              <w:ind w:left="560"/>
              <w:spacing w:after="0"/>
              <w:rPr>
                <w:sz w:val="20"/>
                <w:szCs w:val="20"/>
                <w:color w:val="auto"/>
              </w:rPr>
            </w:pPr>
            <w:r>
              <w:rPr>
                <w:rFonts w:ascii="Arial" w:cs="Arial" w:eastAsia="Arial" w:hAnsi="Arial"/>
                <w:sz w:val="18"/>
                <w:szCs w:val="18"/>
                <w:color w:val="auto"/>
                <w:w w:val="95"/>
              </w:rPr>
              <w:t>(35,950)</w:t>
            </w:r>
          </w:p>
        </w:tc>
        <w:tc>
          <w:tcPr>
            <w:tcW w:w="28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(25,471)</w:t>
            </w:r>
          </w:p>
        </w:tc>
        <w:tc>
          <w:tcPr>
            <w:tcW w:w="0" w:type="dxa"/>
            <w:vAlign w:val="bottom"/>
          </w:tcPr>
          <w:p>
            <w:pPr>
              <w:spacing w:after="0"/>
              <w:rPr>
                <w:sz w:val="1"/>
                <w:szCs w:val="1"/>
                <w:color w:val="auto"/>
              </w:rPr>
            </w:pPr>
          </w:p>
        </w:tc>
      </w:tr>
      <w:tr>
        <w:trPr>
          <w:trHeight w:val="136"/>
        </w:trPr>
        <w:tc>
          <w:tcPr>
            <w:tcW w:w="6820" w:type="dxa"/>
            <w:vAlign w:val="bottom"/>
            <w:vMerge w:val="restart"/>
          </w:tcPr>
          <w:p>
            <w:pPr>
              <w:ind w:left="20"/>
              <w:spacing w:after="0"/>
              <w:rPr>
                <w:sz w:val="20"/>
                <w:szCs w:val="20"/>
                <w:color w:val="auto"/>
              </w:rPr>
            </w:pPr>
            <w:r>
              <w:rPr>
                <w:rFonts w:ascii="Arial" w:cs="Arial" w:eastAsia="Arial" w:hAnsi="Arial"/>
                <w:sz w:val="18"/>
                <w:szCs w:val="18"/>
                <w:color w:val="auto"/>
              </w:rPr>
              <w:t>software</w:t>
            </w:r>
          </w:p>
        </w:tc>
        <w:tc>
          <w:tcPr>
            <w:tcW w:w="34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6820" w:type="dxa"/>
            <w:vAlign w:val="bottom"/>
            <w:vMerge w:val="continue"/>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5"/>
              </w:rPr>
              <w:t>428,482</w:t>
            </w:r>
          </w:p>
        </w:tc>
        <w:tc>
          <w:tcPr>
            <w:tcW w:w="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8"/>
              </w:rPr>
              <w:t>350,974</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77,508</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generated free cash flow of $428.5 million during the nine months ended May 31, 2023, an increase of $77.5 million compared with the same period a year ago. This change reflects a $103.0 million increase in cash provided by operating activities, mainly due to higher net income and lower working capital requirements, partially offset by a $25.5 million increase in purchases of PPE and capitalized internal-use software, primarily driven by higher capitalized costs related to internal-use software and investments in network-related equipment and laptops.</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Off-Balance Sheet Arrangements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May 31, 2023 and August 31, 2022, we had no off-balance sheet financing other than letters of credit incurred in the ordinary course of business. For the respective periods, we also had no other arrangements with unconsolidated entities or financial partnerships (such as entities often referred to as structured finance or special purpose entities) established for purposes of facilitating off-balance sheet financing, other debt arrangements, or other contractually limited purposes.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Foreign Currency Exposure</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we operate globally, we are exposed to the risk that our financial condition, results of operations and cash flows could be impacted by changes in foreign currency exchange rates. As of May 31, 2023, we maintained a series of foreign currency forward contracts to hedge a portion of our exposures related to our primary currencies of the British Pound Sterling, Indian Rupee, Euro and Philippine Peso. To mitigate our currency exposure, we entered into these contracts to hedge between 25% to 75% of our projected operating expenses, denominated in our primary foreign currencies, over their respective hedge periods, ranging from the fourth quarter of fiscal 2023 through the third quarter of fiscal 2024.</w:t>
      </w:r>
    </w:p>
    <w:p>
      <w:pPr>
        <w:spacing w:after="0" w:line="1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gross notional value of foreign currency forward contracts to purchase the British Pound Sterling, Euro, Indian Rupee and Philippine Peso with U.S. dollars: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0" w:type="dxa"/>
            <w:vAlign w:val="bottom"/>
            <w:gridSpan w:val="2"/>
          </w:tcPr>
          <w:p>
            <w:pPr>
              <w:jc w:val="right"/>
              <w:ind w:right="50"/>
              <w:spacing w:after="0"/>
              <w:rPr>
                <w:sz w:val="20"/>
                <w:szCs w:val="20"/>
                <w:color w:val="auto"/>
              </w:rPr>
            </w:pPr>
            <w:r>
              <w:rPr>
                <w:rFonts w:ascii="Arial" w:cs="Arial" w:eastAsia="Arial" w:hAnsi="Arial"/>
                <w:sz w:val="18"/>
                <w:szCs w:val="18"/>
                <w:color w:val="auto"/>
              </w:rPr>
              <w:t>May 31, 2023</w:t>
            </w: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40" w:type="dxa"/>
            <w:vAlign w:val="bottom"/>
            <w:gridSpan w:val="2"/>
          </w:tcPr>
          <w:p>
            <w:pPr>
              <w:jc w:val="right"/>
              <w:ind w:right="10"/>
              <w:spacing w:after="0"/>
              <w:rPr>
                <w:sz w:val="20"/>
                <w:szCs w:val="20"/>
                <w:color w:val="auto"/>
              </w:rPr>
            </w:pPr>
            <w:r>
              <w:rPr>
                <w:rFonts w:ascii="Arial" w:cs="Arial" w:eastAsia="Arial" w:hAnsi="Arial"/>
                <w:sz w:val="18"/>
                <w:szCs w:val="18"/>
                <w:color w:val="auto"/>
              </w:rPr>
              <w:t>August 31, 2022</w:t>
            </w:r>
          </w:p>
        </w:tc>
        <w:tc>
          <w:tcPr>
            <w:tcW w:w="1160" w:type="dxa"/>
            <w:vAlign w:val="bottom"/>
          </w:tcPr>
          <w:p>
            <w:pPr>
              <w:spacing w:after="0"/>
              <w:rPr>
                <w:sz w:val="20"/>
                <w:szCs w:val="20"/>
                <w:color w:val="auto"/>
              </w:rPr>
            </w:pPr>
          </w:p>
        </w:tc>
      </w:tr>
      <w:tr>
        <w:trPr>
          <w:trHeight w:val="243"/>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3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Local Currency</w:t>
            </w:r>
          </w:p>
        </w:tc>
        <w:tc>
          <w:tcPr>
            <w:tcW w:w="6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USD</w:t>
            </w:r>
          </w:p>
        </w:tc>
        <w:tc>
          <w:tcPr>
            <w:tcW w:w="3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Local Currency</w:t>
            </w:r>
          </w:p>
        </w:tc>
        <w:tc>
          <w:tcPr>
            <w:tcW w:w="6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USD</w:t>
            </w:r>
          </w:p>
        </w:tc>
      </w:tr>
      <w:tr>
        <w:trPr>
          <w:trHeight w:val="223"/>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British Pound Sterling</w:t>
            </w:r>
          </w:p>
        </w:tc>
        <w:tc>
          <w:tcPr>
            <w:tcW w:w="138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45,600</w:t>
            </w: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55,367</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44,200</w:t>
            </w: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55,567</w:t>
            </w:r>
          </w:p>
        </w:tc>
      </w:tr>
      <w:tr>
        <w:trPr>
          <w:trHeight w:val="237"/>
        </w:trPr>
        <w:tc>
          <w:tcPr>
            <w:tcW w:w="2760" w:type="dxa"/>
            <w:vAlign w:val="bottom"/>
          </w:tcPr>
          <w:p>
            <w:pPr>
              <w:ind w:left="20"/>
              <w:spacing w:after="0"/>
              <w:rPr>
                <w:sz w:val="20"/>
                <w:szCs w:val="20"/>
                <w:color w:val="auto"/>
              </w:rPr>
            </w:pPr>
            <w:r>
              <w:rPr>
                <w:rFonts w:ascii="Arial" w:cs="Arial" w:eastAsia="Arial" w:hAnsi="Arial"/>
                <w:sz w:val="18"/>
                <w:szCs w:val="18"/>
                <w:color w:val="auto"/>
              </w:rPr>
              <w:t>Euro</w:t>
            </w:r>
          </w:p>
        </w:tc>
        <w:tc>
          <w:tcPr>
            <w:tcW w:w="1380" w:type="dxa"/>
            <w:vAlign w:val="bottom"/>
          </w:tcPr>
          <w:p>
            <w:pPr>
              <w:ind w:left="11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38,700</w:t>
            </w:r>
          </w:p>
        </w:tc>
        <w:tc>
          <w:tcPr>
            <w:tcW w:w="6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41,612</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37,500</w:t>
            </w:r>
          </w:p>
        </w:tc>
        <w:tc>
          <w:tcPr>
            <w:tcW w:w="6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40,679</w:t>
            </w:r>
          </w:p>
        </w:tc>
      </w:tr>
      <w:tr>
        <w:trPr>
          <w:trHeight w:val="236"/>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Indian Rupee</w:t>
            </w:r>
          </w:p>
        </w:tc>
        <w:tc>
          <w:tcPr>
            <w:tcW w:w="138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Rs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3,219,297</w:t>
            </w:r>
          </w:p>
        </w:tc>
        <w:tc>
          <w:tcPr>
            <w:tcW w:w="6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38,700</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2,667,928</w:t>
            </w:r>
          </w:p>
        </w:tc>
        <w:tc>
          <w:tcPr>
            <w:tcW w:w="6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33,600</w:t>
            </w:r>
          </w:p>
        </w:tc>
      </w:tr>
      <w:tr>
        <w:trPr>
          <w:trHeight w:val="229"/>
        </w:trPr>
        <w:tc>
          <w:tcPr>
            <w:tcW w:w="2760" w:type="dxa"/>
            <w:vAlign w:val="bottom"/>
          </w:tcPr>
          <w:p>
            <w:pPr>
              <w:ind w:left="20"/>
              <w:spacing w:after="0"/>
              <w:rPr>
                <w:sz w:val="20"/>
                <w:szCs w:val="20"/>
                <w:color w:val="auto"/>
              </w:rPr>
            </w:pPr>
            <w:r>
              <w:rPr>
                <w:rFonts w:ascii="Arial" w:cs="Arial" w:eastAsia="Arial" w:hAnsi="Arial"/>
                <w:sz w:val="18"/>
                <w:szCs w:val="18"/>
                <w:color w:val="auto"/>
              </w:rPr>
              <w:t>Philippine Peso</w:t>
            </w:r>
          </w:p>
        </w:tc>
        <w:tc>
          <w:tcPr>
            <w:tcW w:w="1380" w:type="dxa"/>
            <w:vAlign w:val="bottom"/>
          </w:tcPr>
          <w:p>
            <w:pPr>
              <w:ind w:left="11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1,857,009</w:t>
            </w: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33,000</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1,462,060</w:t>
            </w:r>
          </w:p>
        </w:tc>
        <w:tc>
          <w:tcPr>
            <w:tcW w:w="6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27,000</w:t>
            </w:r>
          </w:p>
        </w:tc>
      </w:tr>
      <w:tr>
        <w:trPr>
          <w:trHeight w:val="237"/>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3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168,679</w:t>
            </w:r>
          </w:p>
        </w:tc>
        <w:tc>
          <w:tcPr>
            <w:tcW w:w="3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156,846</w:t>
            </w:r>
          </w:p>
        </w:tc>
      </w:tr>
    </w:tbl>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Refer to Part I, Item 3.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xml:space="preserve"> in the MD&amp;A of this Quarterly Report on Form 10-Q for the reclassification of the foreign currency forward contracts gain (loss) from AOCL into income and the impact of foreign currency exchange rate fluctuations, net of hedge activity, to operating income.</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Estimates</w:t>
      </w:r>
    </w:p>
    <w:p>
      <w:pPr>
        <w:spacing w:after="0" w:line="2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prepare the Consolidated Financial Statements in conformity with GAAP, which requires us to make certain estimates and apply judgements that affect the reported amounts of assets, liabilities, revenues and expenses and related disclosures. We base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estimates on historical experience and other assumptions that we believe to be reasonable at the time the Consolidated Financial Statements are prepared and, as such, they may ultimately differ materially from actual results.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We describe our significant accounting policies in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in the Notes included in Item 8 of our Annual Report on Form 10-K for the fiscal year ended August 31, 2022. These accounting policies were consistently applied in preparing our Consolidated Financial Statements for the nine months ended May 31, 2023.</w:t>
      </w:r>
    </w:p>
    <w:p>
      <w:pPr>
        <w:spacing w:after="0" w:line="15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We disclosed our critical accounting estimates in Part II, Item 7 </w:t>
      </w:r>
      <w:r>
        <w:rPr>
          <w:rFonts w:ascii="Arial" w:cs="Arial" w:eastAsia="Arial" w:hAnsi="Arial"/>
          <w:sz w:val="16"/>
          <w:szCs w:val="16"/>
          <w:i w:val="1"/>
          <w:iCs w:val="1"/>
          <w:color w:val="auto"/>
        </w:rPr>
        <w:t>Critical Accounting Estimates</w:t>
      </w:r>
      <w:r>
        <w:rPr>
          <w:rFonts w:ascii="Arial" w:cs="Arial" w:eastAsia="Arial" w:hAnsi="Arial"/>
          <w:sz w:val="16"/>
          <w:szCs w:val="16"/>
          <w:color w:val="auto"/>
        </w:rPr>
        <w:t xml:space="preserve"> in the MD&amp;A of our Annual Report on Form 10-K for the fiscal year ended August 31, 2022. There were no significant changes in our critical accounting estimates during the nine months ended May 31, 2023.</w:t>
      </w:r>
    </w:p>
    <w:p>
      <w:pPr>
        <w:spacing w:after="0" w:line="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 Accounting Pronouncements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Refer to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in the Notes of this Quarterly Report on Form 10-Q for a full description of recent accounting pronouncements, including their expected dates of adoption, which we include herein by reference.</w:t>
      </w:r>
    </w:p>
    <w:p>
      <w:pPr>
        <w:spacing w:after="0" w:line="12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3. QUANTITATIVE AND QUALITATIVE DISCLOSURES ABOUT MARKET RISK</w:t>
      </w:r>
    </w:p>
    <w:p>
      <w:pPr>
        <w:spacing w:after="0" w:line="20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normal course of business, we are exposed to foreign currency exchange risk and interest rate risk that could impact our financial position and results of operations. Current market events have not required us to modify materially or change our financial risk management strategies with respect to our exposures to foreign currency exchange risk or interest rate risk.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 Risk</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operate on a global basis and are exposed to the risk that our financial condition, results of operations and cash flows could be impacted by changes in foreign currency exchange rates. As of May 31, 2023, we maintained a series of foreign currency forward contracts to hedge a portion of our exposures related to our primary currencies of the British Pound Sterling, Indian Rupee, Euro and Philippine Peso. To mitigate our currency exposure, we entered into these contracts to hedge between 25% to 75% of our projected operating expenses, denominated in our primary foreign currencies, over their respective hedge periods, ranging from the fourth quarter of fiscal 2023 through the third quarter of fiscal 2024. We do not enter into cash flow hedges for trading or speculative purposes.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changes in fair value for these foreign currency forward contracts are initially reported as a component of Accumulated other comprehensive loss ("AOCL") and subsequently reclassified into operating expenses when the hedged exposure affects earnings.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reflects the foreign currency forward contracts gain (loss) reclassified from AOCL into income and the impact of foreign currency exchange rate fluctuations, net of hedge activity, to operating income: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gridSpan w:val="3"/>
          </w:tcPr>
          <w:p>
            <w:pPr>
              <w:jc w:val="right"/>
              <w:ind w:right="410"/>
              <w:spacing w:after="0"/>
              <w:rPr>
                <w:sz w:val="20"/>
                <w:szCs w:val="20"/>
                <w:color w:val="auto"/>
              </w:rPr>
            </w:pPr>
            <w:r>
              <w:rPr>
                <w:rFonts w:ascii="Arial" w:cs="Arial" w:eastAsia="Arial" w:hAnsi="Arial"/>
                <w:sz w:val="18"/>
                <w:szCs w:val="18"/>
                <w:color w:val="auto"/>
              </w:rPr>
              <w:t>Three Months Ended</w:t>
            </w:r>
          </w:p>
        </w:tc>
        <w:tc>
          <w:tcPr>
            <w:tcW w:w="300" w:type="dxa"/>
            <w:vAlign w:val="bottom"/>
          </w:tcPr>
          <w:p>
            <w:pPr>
              <w:spacing w:after="0"/>
              <w:rPr>
                <w:sz w:val="20"/>
                <w:szCs w:val="20"/>
                <w:color w:val="auto"/>
              </w:rPr>
            </w:pPr>
          </w:p>
        </w:tc>
        <w:tc>
          <w:tcPr>
            <w:tcW w:w="2260" w:type="dxa"/>
            <w:vAlign w:val="bottom"/>
            <w:gridSpan w:val="3"/>
          </w:tcPr>
          <w:p>
            <w:pPr>
              <w:jc w:val="right"/>
              <w:ind w:right="45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42"/>
        </w:trPr>
        <w:tc>
          <w:tcPr>
            <w:tcW w:w="6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May 31,</w:t>
            </w: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May 31,</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2023</w:t>
            </w: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2023</w:t>
            </w: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37"/>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Foreign currency forward contracts gain (loss) reclassified from AOCL into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(2,635)</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1"/>
              </w:rPr>
              <w:t>(5,474)</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w:t>
            </w:r>
          </w:p>
        </w:tc>
        <w:tc>
          <w:tcPr>
            <w:tcW w:w="0" w:type="dxa"/>
            <w:vAlign w:val="bottom"/>
          </w:tcPr>
          <w:p>
            <w:pPr>
              <w:spacing w:after="0"/>
              <w:rPr>
                <w:sz w:val="1"/>
                <w:szCs w:val="1"/>
                <w:color w:val="auto"/>
              </w:rPr>
            </w:pPr>
          </w:p>
        </w:tc>
      </w:tr>
      <w:tr>
        <w:trPr>
          <w:trHeight w:val="175"/>
        </w:trPr>
        <w:tc>
          <w:tcPr>
            <w:tcW w:w="6160" w:type="dxa"/>
            <w:vAlign w:val="bottom"/>
          </w:tcPr>
          <w:p>
            <w:pPr>
              <w:ind w:left="20"/>
              <w:spacing w:after="0" w:line="176" w:lineRule="exact"/>
              <w:rPr>
                <w:sz w:val="20"/>
                <w:szCs w:val="20"/>
                <w:color w:val="auto"/>
              </w:rPr>
            </w:pPr>
            <w:r>
              <w:rPr>
                <w:rFonts w:ascii="Arial" w:cs="Arial" w:eastAsia="Arial" w:hAnsi="Arial"/>
                <w:sz w:val="18"/>
                <w:szCs w:val="18"/>
                <w:color w:val="auto"/>
                <w:w w:val="99"/>
              </w:rPr>
              <w:t>Foreign currency exchange rate fluctuations increase (decrease) to operating</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5,608</w:t>
            </w:r>
          </w:p>
        </w:tc>
        <w:tc>
          <w:tcPr>
            <w:tcW w:w="380" w:type="dxa"/>
            <w:vAlign w:val="bottom"/>
            <w:vMerge w:val="restart"/>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(1,258)</w:t>
            </w: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ind w:left="420"/>
              <w:spacing w:after="0"/>
              <w:rPr>
                <w:sz w:val="20"/>
                <w:szCs w:val="20"/>
                <w:color w:val="auto"/>
              </w:rPr>
            </w:pPr>
            <w:r>
              <w:rPr>
                <w:rFonts w:ascii="Arial" w:cs="Arial" w:eastAsia="Arial" w:hAnsi="Arial"/>
                <w:sz w:val="18"/>
                <w:szCs w:val="18"/>
                <w:color w:val="auto"/>
                <w:w w:val="98"/>
              </w:rPr>
              <w:t>21,907</w:t>
            </w: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(6,692)</w:t>
            </w:r>
          </w:p>
        </w:tc>
        <w:tc>
          <w:tcPr>
            <w:tcW w:w="0" w:type="dxa"/>
            <w:vAlign w:val="bottom"/>
          </w:tcPr>
          <w:p>
            <w:pPr>
              <w:spacing w:after="0"/>
              <w:rPr>
                <w:sz w:val="1"/>
                <w:szCs w:val="1"/>
                <w:color w:val="auto"/>
              </w:rPr>
            </w:pPr>
          </w:p>
        </w:tc>
      </w:tr>
      <w:tr>
        <w:trPr>
          <w:trHeight w:val="304"/>
        </w:trPr>
        <w:tc>
          <w:tcPr>
            <w:tcW w:w="6160" w:type="dxa"/>
            <w:vAlign w:val="bottom"/>
          </w:tcPr>
          <w:p>
            <w:pPr>
              <w:ind w:left="20"/>
              <w:spacing w:after="0"/>
              <w:rPr>
                <w:sz w:val="20"/>
                <w:szCs w:val="20"/>
                <w:color w:val="auto"/>
              </w:rPr>
            </w:pPr>
            <w:r>
              <w:rPr>
                <w:rFonts w:ascii="Arial" w:cs="Arial" w:eastAsia="Arial" w:hAnsi="Arial"/>
                <w:sz w:val="18"/>
                <w:szCs w:val="18"/>
                <w:color w:val="auto"/>
              </w:rPr>
              <w:t>income</w:t>
            </w:r>
            <w:r>
              <w:rPr>
                <w:rFonts w:ascii="Arial" w:cs="Arial" w:eastAsia="Arial" w:hAnsi="Arial"/>
                <w:sz w:val="23"/>
                <w:szCs w:val="23"/>
                <w:i w:val="1"/>
                <w:iCs w:val="1"/>
                <w:color w:val="auto"/>
                <w:vertAlign w:val="superscript"/>
              </w:rPr>
              <w:t>(1)</w:t>
            </w:r>
          </w:p>
        </w:tc>
        <w:tc>
          <w:tcPr>
            <w:tcW w:w="280" w:type="dxa"/>
            <w:vAlign w:val="bottom"/>
            <w:vMerge w:val="continue"/>
          </w:tcPr>
          <w:p>
            <w:pPr>
              <w:spacing w:after="0"/>
              <w:rPr>
                <w:sz w:val="24"/>
                <w:szCs w:val="24"/>
                <w:color w:val="auto"/>
              </w:rPr>
            </w:pPr>
          </w:p>
        </w:tc>
        <w:tc>
          <w:tcPr>
            <w:tcW w:w="980" w:type="dxa"/>
            <w:vAlign w:val="bottom"/>
            <w:vMerge w:val="continue"/>
          </w:tcPr>
          <w:p>
            <w:pPr>
              <w:spacing w:after="0"/>
              <w:rPr>
                <w:sz w:val="24"/>
                <w:szCs w:val="24"/>
                <w:color w:val="auto"/>
              </w:rPr>
            </w:pPr>
          </w:p>
        </w:tc>
        <w:tc>
          <w:tcPr>
            <w:tcW w:w="380" w:type="dxa"/>
            <w:vAlign w:val="bottom"/>
            <w:vMerge w:val="continue"/>
          </w:tcPr>
          <w:p>
            <w:pPr>
              <w:spacing w:after="0"/>
              <w:rPr>
                <w:sz w:val="24"/>
                <w:szCs w:val="24"/>
                <w:color w:val="auto"/>
              </w:rPr>
            </w:pPr>
          </w:p>
        </w:tc>
        <w:tc>
          <w:tcPr>
            <w:tcW w:w="880" w:type="dxa"/>
            <w:vAlign w:val="bottom"/>
            <w:vMerge w:val="continue"/>
          </w:tcPr>
          <w:p>
            <w:pPr>
              <w:spacing w:after="0"/>
              <w:rPr>
                <w:sz w:val="24"/>
                <w:szCs w:val="24"/>
                <w:color w:val="auto"/>
              </w:rPr>
            </w:pPr>
          </w:p>
        </w:tc>
        <w:tc>
          <w:tcPr>
            <w:tcW w:w="300" w:type="dxa"/>
            <w:vAlign w:val="bottom"/>
            <w:vMerge w:val="continue"/>
          </w:tcPr>
          <w:p>
            <w:pPr>
              <w:spacing w:after="0"/>
              <w:rPr>
                <w:sz w:val="24"/>
                <w:szCs w:val="24"/>
                <w:color w:val="auto"/>
              </w:rPr>
            </w:pPr>
          </w:p>
        </w:tc>
        <w:tc>
          <w:tcPr>
            <w:tcW w:w="980" w:type="dxa"/>
            <w:vAlign w:val="bottom"/>
            <w:vMerge w:val="continue"/>
          </w:tcPr>
          <w:p>
            <w:pPr>
              <w:spacing w:after="0"/>
              <w:rPr>
                <w:sz w:val="24"/>
                <w:szCs w:val="24"/>
                <w:color w:val="auto"/>
              </w:rPr>
            </w:pPr>
          </w:p>
        </w:tc>
        <w:tc>
          <w:tcPr>
            <w:tcW w:w="380" w:type="dxa"/>
            <w:vAlign w:val="bottom"/>
            <w:vMerge w:val="continue"/>
          </w:tcPr>
          <w:p>
            <w:pPr>
              <w:spacing w:after="0"/>
              <w:rPr>
                <w:sz w:val="24"/>
                <w:szCs w:val="24"/>
                <w:color w:val="auto"/>
              </w:rPr>
            </w:pPr>
          </w:p>
        </w:tc>
        <w:tc>
          <w:tcPr>
            <w:tcW w:w="9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(1) Impact to operating income is net of hedge activity.</w:t>
      </w:r>
    </w:p>
    <w:p>
      <w:pPr>
        <w:spacing w:after="0" w:line="1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performed a sensitivity analysis to determine the effects on both the fair value of our outstanding foreign currency forward contracts and our operating income, excluding these forward contracts, of a hypothetical devaluation of the U.S. dollar by 10% as of May 31, 2023, relative to the other foreign currencies in which we transact. Based on the financial results for the nine months ended May 31, 2023, the fair value of our outstanding forward contracts would have increased by $16.6 million and our operating income, excluding these forward contracts, would have decreased by $32.3 million. This sensitivity analysis has inherent limitations as it disregards the possibility that rates of multiple foreign currencies will not always move in the same direction relative to the value of the U.S. dollar over time and does not account for our forward contracts that we utilize to mitigate fluctuations in exchange rates.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Refer to Note 5, </w:t>
      </w:r>
      <w:r>
        <w:rPr>
          <w:rFonts w:ascii="Arial" w:cs="Arial" w:eastAsia="Arial" w:hAnsi="Arial"/>
          <w:sz w:val="18"/>
          <w:szCs w:val="18"/>
          <w:i w:val="1"/>
          <w:iCs w:val="1"/>
          <w:color w:val="auto"/>
        </w:rPr>
        <w:t>Derivative Instruments</w:t>
      </w:r>
      <w:r>
        <w:rPr>
          <w:rFonts w:ascii="Arial" w:cs="Arial" w:eastAsia="Arial" w:hAnsi="Arial"/>
          <w:sz w:val="18"/>
          <w:szCs w:val="18"/>
          <w:color w:val="auto"/>
        </w:rPr>
        <w:t xml:space="preserve"> in the Notes of this Quarterly Report for more information on our foreign currency exposures and our foreign currency forward contracts.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 Risk</w:t>
      </w:r>
    </w:p>
    <w:p>
      <w:pPr>
        <w:spacing w:after="0" w:line="1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exposed to foreign currency risk due to the translation of our results from certain international operations into U.S. Dollars, as part of the consolidation process. Fluctuations in foreign currency exchange rates can create volatility in our results of operations and our financial condition.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foreign currency translation adjustment gains and losses recorded in Other comprehensive income (loss):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9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60" w:type="dxa"/>
            <w:vAlign w:val="bottom"/>
            <w:gridSpan w:val="2"/>
          </w:tcPr>
          <w:p>
            <w:pPr>
              <w:jc w:val="center"/>
              <w:ind w:right="210"/>
              <w:spacing w:after="0"/>
              <w:rPr>
                <w:sz w:val="20"/>
                <w:szCs w:val="20"/>
                <w:color w:val="auto"/>
              </w:rPr>
            </w:pPr>
            <w:r>
              <w:rPr>
                <w:rFonts w:ascii="Arial" w:cs="Arial" w:eastAsia="Arial" w:hAnsi="Arial"/>
                <w:sz w:val="18"/>
                <w:szCs w:val="18"/>
                <w:color w:val="auto"/>
                <w:w w:val="90"/>
              </w:rPr>
              <w:t>Three Months Ended</w:t>
            </w:r>
          </w:p>
        </w:tc>
        <w:tc>
          <w:tcPr>
            <w:tcW w:w="320" w:type="dxa"/>
            <w:vAlign w:val="bottom"/>
          </w:tcPr>
          <w:p>
            <w:pPr>
              <w:spacing w:after="0"/>
              <w:rPr>
                <w:sz w:val="19"/>
                <w:szCs w:val="19"/>
                <w:color w:val="auto"/>
              </w:rPr>
            </w:pPr>
          </w:p>
        </w:tc>
        <w:tc>
          <w:tcPr>
            <w:tcW w:w="2460" w:type="dxa"/>
            <w:vAlign w:val="bottom"/>
            <w:gridSpan w:val="2"/>
          </w:tcPr>
          <w:p>
            <w:pPr>
              <w:jc w:val="center"/>
              <w:ind w:right="230"/>
              <w:spacing w:after="0"/>
              <w:rPr>
                <w:sz w:val="20"/>
                <w:szCs w:val="20"/>
                <w:color w:val="auto"/>
              </w:rPr>
            </w:pPr>
            <w:r>
              <w:rPr>
                <w:rFonts w:ascii="Arial" w:cs="Arial" w:eastAsia="Arial" w:hAnsi="Arial"/>
                <w:sz w:val="18"/>
                <w:szCs w:val="18"/>
                <w:color w:val="auto"/>
                <w:w w:val="92"/>
              </w:rPr>
              <w:t>Nine Months Ended</w:t>
            </w:r>
          </w:p>
        </w:tc>
      </w:tr>
      <w:tr>
        <w:trPr>
          <w:trHeight w:val="230"/>
        </w:trPr>
        <w:tc>
          <w:tcPr>
            <w:tcW w:w="49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80" w:type="dxa"/>
            <w:vAlign w:val="bottom"/>
          </w:tcPr>
          <w:p>
            <w:pPr>
              <w:jc w:val="center"/>
              <w:ind w:left="590"/>
              <w:spacing w:after="0"/>
              <w:rPr>
                <w:sz w:val="20"/>
                <w:szCs w:val="20"/>
                <w:color w:val="auto"/>
              </w:rPr>
            </w:pPr>
            <w:r>
              <w:rPr>
                <w:rFonts w:ascii="Arial" w:cs="Arial" w:eastAsia="Arial" w:hAnsi="Arial"/>
                <w:sz w:val="18"/>
                <w:szCs w:val="18"/>
                <w:color w:val="auto"/>
                <w:w w:val="93"/>
              </w:rPr>
              <w:t>May 31,</w:t>
            </w: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jc w:val="center"/>
              <w:ind w:left="590"/>
              <w:spacing w:after="0"/>
              <w:rPr>
                <w:sz w:val="20"/>
                <w:szCs w:val="20"/>
                <w:color w:val="auto"/>
              </w:rPr>
            </w:pPr>
            <w:r>
              <w:rPr>
                <w:rFonts w:ascii="Arial" w:cs="Arial" w:eastAsia="Arial" w:hAnsi="Arial"/>
                <w:sz w:val="18"/>
                <w:szCs w:val="18"/>
                <w:color w:val="auto"/>
                <w:w w:val="93"/>
              </w:rPr>
              <w:t>May 31,</w:t>
            </w:r>
          </w:p>
        </w:tc>
        <w:tc>
          <w:tcPr>
            <w:tcW w:w="980" w:type="dxa"/>
            <w:vAlign w:val="bottom"/>
          </w:tcPr>
          <w:p>
            <w:pPr>
              <w:spacing w:after="0"/>
              <w:rPr>
                <w:sz w:val="20"/>
                <w:szCs w:val="20"/>
                <w:color w:val="auto"/>
              </w:rPr>
            </w:pPr>
          </w:p>
        </w:tc>
      </w:tr>
      <w:tr>
        <w:trPr>
          <w:trHeight w:val="270"/>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0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rPr>
              <w:t>2023</w:t>
            </w: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2022</w:t>
            </w:r>
          </w:p>
        </w:tc>
        <w:tc>
          <w:tcPr>
            <w:tcW w:w="3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rPr>
              <w:t>2023</w:t>
            </w: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2022</w:t>
            </w:r>
          </w:p>
        </w:tc>
      </w:tr>
      <w:tr>
        <w:trPr>
          <w:trHeight w:val="237"/>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 gains (losses)</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4,943 $</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(22,096)</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16,782 $</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(43,792)</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 and Investments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As of May 31, 2023, we had Cash and cash equivalents of $486.6 million and Investments of $32.2 million. Our Cash and cash equivalents consist of cash and highly liquid investments including demand deposits and money market funds, and our Investments consist of mutual funds. We are exposed to interest rate risk through fluctuations of interest rates on our investments. As we have a restrictive investment policy, our financial exposure to fluctuations in interest rates is expected to remain low. Refer to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in the Notes included in Item 8. of our Annual Report on Form 10-K for more information on our cash and cash equivalents.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Credit Agreement</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May 31, 2023, our outstanding variable interest rate debt included $437.5 million under the 2022 Term Facility and $250.0 million under the 2022 Revolving Facility. During the nine months ended May 31, 2023, the outstanding borrowings under the 2022 Credit Facilities bore interest at a rate equal to the applicable one-month Term SOFR rate plus a spread using a debt leverage pricing grid, currently at 1.1% (comprised of a 1.0% interest rate margin based on a debt leverage pricing grid plus a 0.1% credit spread adjustment). The spread remained consistent from the date of borrowing through May 31, 2023.</w:t>
      </w:r>
    </w:p>
    <w:p>
      <w:pPr>
        <w:spacing w:after="0" w:line="16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variable rate of interest on our debt creates exposure to interest rate volatility due to changes in SOFR. To mitigate this exposure, on March 1, 2022, we entered into the 2022 Swap Agreement to hedge a portion of our outstanding floating SOFR rate debt with a fixed interest rate of 1.162%, to maintain an intended fixed to floating interest rate ratio. The notional amount of the 2022 Swap Agreement declines by $100.0 million on a quarterly basis beginning May 31, 2022. Effective December 30, 2022, we apportioned the then-outstanding notional amount of the 2022 Swap Agreement between two counterparties. As of May 31, 2023, the notional amount of the 2022 Swap Agreement was $300.0 million, maturing on February 28, 2024.</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exposure is limited to fluctuations in SOFR on our borrowings from the 2022 Credit Facilities in excess of amounts that are not hedged, or $387.5 million of our outstanding principal balance. Assuming all terms of our outstanding long-term debt remained the same, a hypothetical 25 basis point change (up or down) in the one-month SOFR would create an exposure of $1.0 million to our annual interest expense.</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Refer to Note 11, </w:t>
      </w:r>
      <w:r>
        <w:rPr>
          <w:rFonts w:ascii="Arial" w:cs="Arial" w:eastAsia="Arial" w:hAnsi="Arial"/>
          <w:sz w:val="16"/>
          <w:szCs w:val="16"/>
          <w:i w:val="1"/>
          <w:iCs w:val="1"/>
          <w:color w:val="auto"/>
        </w:rPr>
        <w:t>Debt</w:t>
      </w:r>
      <w:r>
        <w:rPr>
          <w:rFonts w:ascii="Arial" w:cs="Arial" w:eastAsia="Arial" w:hAnsi="Arial"/>
          <w:sz w:val="16"/>
          <w:szCs w:val="16"/>
          <w:color w:val="auto"/>
        </w:rPr>
        <w:t xml:space="preserve"> in the Notes of this Quarterly Report on Form 10-Q for more information on our 2022 Term Facility and 2022 Revolving Facility.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Refer to Note 5, </w:t>
      </w:r>
      <w:r>
        <w:rPr>
          <w:rFonts w:ascii="Arial" w:cs="Arial" w:eastAsia="Arial" w:hAnsi="Arial"/>
          <w:sz w:val="17"/>
          <w:szCs w:val="17"/>
          <w:i w:val="1"/>
          <w:iCs w:val="1"/>
          <w:color w:val="auto"/>
        </w:rPr>
        <w:t>Derivative Instruments</w:t>
      </w:r>
      <w:r>
        <w:rPr>
          <w:rFonts w:ascii="Arial" w:cs="Arial" w:eastAsia="Arial" w:hAnsi="Arial"/>
          <w:sz w:val="17"/>
          <w:szCs w:val="17"/>
          <w:color w:val="auto"/>
        </w:rPr>
        <w:t xml:space="preserve"> in the Notes of this Quarterly Report on Form 10-Q for more information on our 2022 Swap Agreement.</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4. CONTROLS AND PROCEDURES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including our Principal Executive Officer and Principal Financial Officer, have evaluated the effectiveness of our disclosure controls and procedures pursuant to Rules 13a-15(e) and 15d-15(e) under the Securities Exchange Act of 1934, as amended (the "Exchange Act"), as of the end of the period covered by this report, and the Principal Executive Officer and Principal Financial Officer have concluded that the Company’s disclosure controls and procedures are effective as of the end of the period covered by this report.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have been no changes in our internal control over financial reporting (as such term is defined in Rules 13a-15(f) and 15d-15(f) under the Exchange Act) during the three and nine months ended May 31, 2023 that have materially affected, or are reasonably likely to materially affect, our internal control over financial reporting.</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PART II – OTHER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information set forth under "Contingencies" in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contained in the Notes to this Quarterly Report on Form 10-Q is incorporated by reference in answer to this Item.</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material changes to the risk factors identified in our Annual Report on Form 10-K for the fiscal year ended August 31, 2022.</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Items 2(a) and (b) are not applicable as there have been no unregistered sales of equity securities.</w:t>
      </w:r>
    </w:p>
    <w:p>
      <w:pPr>
        <w:spacing w:after="0" w:line="198" w:lineRule="exact"/>
        <w:rPr>
          <w:sz w:val="20"/>
          <w:szCs w:val="20"/>
          <w:color w:val="auto"/>
        </w:rPr>
      </w:pPr>
    </w:p>
    <w:p>
      <w:pPr>
        <w:ind w:left="660" w:hanging="490"/>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Issuer Purchases of Equity Securities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a month-to-month summary of our share repurchase activity during the three months ended May 31, 2023:</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9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Total Number of Shares</w:t>
            </w:r>
          </w:p>
        </w:tc>
        <w:tc>
          <w:tcPr>
            <w:tcW w:w="120" w:type="dxa"/>
            <w:vAlign w:val="bottom"/>
          </w:tcPr>
          <w:p>
            <w:pPr>
              <w:spacing w:after="0"/>
              <w:rPr>
                <w:sz w:val="18"/>
                <w:szCs w:val="18"/>
                <w:color w:val="auto"/>
              </w:rPr>
            </w:pPr>
          </w:p>
        </w:tc>
        <w:tc>
          <w:tcPr>
            <w:tcW w:w="2480" w:type="dxa"/>
            <w:vAlign w:val="bottom"/>
          </w:tcPr>
          <w:p>
            <w:pPr>
              <w:jc w:val="center"/>
              <w:ind w:right="30"/>
              <w:spacing w:after="0"/>
              <w:rPr>
                <w:sz w:val="20"/>
                <w:szCs w:val="20"/>
                <w:color w:val="auto"/>
              </w:rPr>
            </w:pPr>
            <w:r>
              <w:rPr>
                <w:rFonts w:ascii="Arial" w:cs="Arial" w:eastAsia="Arial" w:hAnsi="Arial"/>
                <w:sz w:val="18"/>
                <w:szCs w:val="18"/>
                <w:color w:val="auto"/>
                <w:w w:val="92"/>
              </w:rPr>
              <w:t>Maximum Number of Shares (or</w:t>
            </w:r>
          </w:p>
        </w:tc>
        <w:tc>
          <w:tcPr>
            <w:tcW w:w="0" w:type="dxa"/>
            <w:vAlign w:val="bottom"/>
          </w:tcPr>
          <w:p>
            <w:pPr>
              <w:spacing w:after="0"/>
              <w:rPr>
                <w:sz w:val="1"/>
                <w:szCs w:val="1"/>
                <w:color w:val="auto"/>
              </w:rPr>
            </w:pPr>
          </w:p>
        </w:tc>
      </w:tr>
      <w:tr>
        <w:trPr>
          <w:trHeight w:val="176"/>
        </w:trPr>
        <w:tc>
          <w:tcPr>
            <w:tcW w:w="1900" w:type="dxa"/>
            <w:vAlign w:val="bottom"/>
          </w:tcPr>
          <w:p>
            <w:pPr>
              <w:spacing w:after="0"/>
              <w:rPr>
                <w:sz w:val="15"/>
                <w:szCs w:val="15"/>
                <w:color w:val="auto"/>
              </w:rPr>
            </w:pPr>
          </w:p>
        </w:tc>
        <w:tc>
          <w:tcPr>
            <w:tcW w:w="1920" w:type="dxa"/>
            <w:vAlign w:val="bottom"/>
            <w:vMerge w:val="restart"/>
          </w:tcPr>
          <w:p>
            <w:pPr>
              <w:jc w:val="right"/>
              <w:ind w:right="270"/>
              <w:spacing w:after="0"/>
              <w:rPr>
                <w:sz w:val="20"/>
                <w:szCs w:val="20"/>
                <w:color w:val="auto"/>
              </w:rPr>
            </w:pPr>
            <w:r>
              <w:rPr>
                <w:rFonts w:ascii="Arial" w:cs="Arial" w:eastAsia="Arial" w:hAnsi="Arial"/>
                <w:sz w:val="18"/>
                <w:szCs w:val="18"/>
                <w:color w:val="auto"/>
              </w:rPr>
              <w:t>Total Number of</w:t>
            </w:r>
          </w:p>
        </w:tc>
        <w:tc>
          <w:tcPr>
            <w:tcW w:w="280" w:type="dxa"/>
            <w:vAlign w:val="bottom"/>
          </w:tcPr>
          <w:p>
            <w:pPr>
              <w:spacing w:after="0"/>
              <w:rPr>
                <w:sz w:val="15"/>
                <w:szCs w:val="15"/>
                <w:color w:val="auto"/>
              </w:rPr>
            </w:pPr>
          </w:p>
        </w:tc>
        <w:tc>
          <w:tcPr>
            <w:tcW w:w="1640" w:type="dxa"/>
            <w:vAlign w:val="bottom"/>
            <w:vMerge w:val="restart"/>
          </w:tcPr>
          <w:p>
            <w:pPr>
              <w:jc w:val="right"/>
              <w:ind w:right="350"/>
              <w:spacing w:after="0"/>
              <w:rPr>
                <w:sz w:val="20"/>
                <w:szCs w:val="20"/>
                <w:color w:val="auto"/>
              </w:rPr>
            </w:pPr>
            <w:r>
              <w:rPr>
                <w:rFonts w:ascii="Arial" w:cs="Arial" w:eastAsia="Arial" w:hAnsi="Arial"/>
                <w:sz w:val="18"/>
                <w:szCs w:val="18"/>
                <w:color w:val="auto"/>
              </w:rPr>
              <w:t>Average Price</w:t>
            </w:r>
          </w:p>
        </w:tc>
        <w:tc>
          <w:tcPr>
            <w:tcW w:w="2180" w:type="dxa"/>
            <w:vAlign w:val="bottom"/>
          </w:tcPr>
          <w:p>
            <w:pPr>
              <w:jc w:val="center"/>
              <w:spacing w:after="0" w:line="176" w:lineRule="exact"/>
              <w:rPr>
                <w:sz w:val="20"/>
                <w:szCs w:val="20"/>
                <w:color w:val="auto"/>
              </w:rPr>
            </w:pPr>
            <w:r>
              <w:rPr>
                <w:rFonts w:ascii="Arial" w:cs="Arial" w:eastAsia="Arial" w:hAnsi="Arial"/>
                <w:sz w:val="18"/>
                <w:szCs w:val="18"/>
                <w:color w:val="auto"/>
                <w:w w:val="90"/>
              </w:rPr>
              <w:t>Purchased as Part of Publicly</w:t>
            </w:r>
          </w:p>
        </w:tc>
        <w:tc>
          <w:tcPr>
            <w:tcW w:w="120" w:type="dxa"/>
            <w:vAlign w:val="bottom"/>
          </w:tcPr>
          <w:p>
            <w:pPr>
              <w:spacing w:after="0"/>
              <w:rPr>
                <w:sz w:val="15"/>
                <w:szCs w:val="15"/>
                <w:color w:val="auto"/>
              </w:rPr>
            </w:pPr>
          </w:p>
        </w:tc>
        <w:tc>
          <w:tcPr>
            <w:tcW w:w="248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3"/>
              </w:rPr>
              <w:t>Approximate Dollar Value)</w:t>
            </w:r>
          </w:p>
        </w:tc>
        <w:tc>
          <w:tcPr>
            <w:tcW w:w="0" w:type="dxa"/>
            <w:vAlign w:val="bottom"/>
          </w:tcPr>
          <w:p>
            <w:pPr>
              <w:spacing w:after="0"/>
              <w:rPr>
                <w:sz w:val="1"/>
                <w:szCs w:val="1"/>
                <w:color w:val="auto"/>
              </w:rPr>
            </w:pPr>
          </w:p>
        </w:tc>
      </w:tr>
      <w:tr>
        <w:trPr>
          <w:trHeight w:val="175"/>
        </w:trPr>
        <w:tc>
          <w:tcPr>
            <w:tcW w:w="1900" w:type="dxa"/>
            <w:vAlign w:val="bottom"/>
            <w:vMerge w:val="restart"/>
          </w:tcPr>
          <w:p>
            <w:pPr>
              <w:ind w:left="700"/>
              <w:spacing w:after="0"/>
              <w:rPr>
                <w:sz w:val="20"/>
                <w:szCs w:val="20"/>
                <w:color w:val="auto"/>
              </w:rPr>
            </w:pPr>
            <w:r>
              <w:rPr>
                <w:rFonts w:ascii="Arial" w:cs="Arial" w:eastAsia="Arial" w:hAnsi="Arial"/>
                <w:sz w:val="18"/>
                <w:szCs w:val="18"/>
                <w:color w:val="auto"/>
              </w:rPr>
              <w:t>Period</w:t>
            </w:r>
          </w:p>
        </w:tc>
        <w:tc>
          <w:tcPr>
            <w:tcW w:w="19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2180" w:type="dxa"/>
            <w:vAlign w:val="bottom"/>
          </w:tcPr>
          <w:p>
            <w:pPr>
              <w:jc w:val="center"/>
              <w:spacing w:after="0" w:line="176" w:lineRule="exact"/>
              <w:rPr>
                <w:sz w:val="20"/>
                <w:szCs w:val="20"/>
                <w:color w:val="auto"/>
              </w:rPr>
            </w:pPr>
            <w:r>
              <w:rPr>
                <w:rFonts w:ascii="Arial" w:cs="Arial" w:eastAsia="Arial" w:hAnsi="Arial"/>
                <w:sz w:val="18"/>
                <w:szCs w:val="18"/>
                <w:color w:val="auto"/>
                <w:w w:val="90"/>
              </w:rPr>
              <w:t>Announced Plans or</w:t>
            </w:r>
          </w:p>
        </w:tc>
        <w:tc>
          <w:tcPr>
            <w:tcW w:w="260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89"/>
              </w:rPr>
              <w:t>that May Yet be Purchased Under</w:t>
            </w:r>
          </w:p>
        </w:tc>
        <w:tc>
          <w:tcPr>
            <w:tcW w:w="0" w:type="dxa"/>
            <w:vAlign w:val="bottom"/>
          </w:tcPr>
          <w:p>
            <w:pPr>
              <w:spacing w:after="0"/>
              <w:rPr>
                <w:sz w:val="1"/>
                <w:szCs w:val="1"/>
                <w:color w:val="auto"/>
              </w:rPr>
            </w:pPr>
          </w:p>
        </w:tc>
      </w:tr>
      <w:tr>
        <w:trPr>
          <w:trHeight w:val="237"/>
        </w:trPr>
        <w:tc>
          <w:tcPr>
            <w:tcW w:w="1900" w:type="dxa"/>
            <w:vAlign w:val="bottom"/>
            <w:tcBorders>
              <w:bottom w:val="single" w:sz="8" w:color="auto"/>
            </w:tcBorders>
            <w:vMerge w:val="continue"/>
          </w:tcPr>
          <w:p>
            <w:pPr>
              <w:spacing w:after="0"/>
              <w:rPr>
                <w:sz w:val="20"/>
                <w:szCs w:val="20"/>
                <w:color w:val="auto"/>
              </w:rPr>
            </w:pPr>
          </w:p>
        </w:tc>
        <w:tc>
          <w:tcPr>
            <w:tcW w:w="1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Shares Purchased</w:t>
            </w:r>
            <w:r>
              <w:rPr>
                <w:rFonts w:ascii="Arial" w:cs="Arial" w:eastAsia="Arial" w:hAnsi="Arial"/>
                <w:sz w:val="10"/>
                <w:szCs w:val="10"/>
                <w:i w:val="1"/>
                <w:iCs w:val="1"/>
                <w:color w:val="auto"/>
              </w:rPr>
              <w:t>(1)</w:t>
            </w: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8"/>
              </w:rPr>
              <w:t>Paid per Share</w:t>
            </w: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Programs</w:t>
            </w:r>
            <w:r>
              <w:rPr>
                <w:rFonts w:ascii="Arial" w:cs="Arial" w:eastAsia="Arial" w:hAnsi="Arial"/>
                <w:sz w:val="10"/>
                <w:szCs w:val="10"/>
                <w:i w:val="1"/>
                <w:iCs w:val="1"/>
                <w:color w:val="auto"/>
                <w:w w:val="88"/>
              </w:rPr>
              <w:t>(2)</w:t>
            </w:r>
          </w:p>
        </w:tc>
        <w:tc>
          <w:tcPr>
            <w:tcW w:w="26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the Plans or Programs (in US$)</w:t>
            </w:r>
            <w:r>
              <w:rPr>
                <w:rFonts w:ascii="Arial" w:cs="Arial" w:eastAsia="Arial" w:hAnsi="Arial"/>
                <w:sz w:val="10"/>
                <w:szCs w:val="10"/>
                <w:i w:val="1"/>
                <w:iCs w:val="1"/>
                <w:color w:val="auto"/>
                <w:w w:val="90"/>
              </w:rPr>
              <w:t>(2)</w:t>
            </w:r>
          </w:p>
        </w:tc>
        <w:tc>
          <w:tcPr>
            <w:tcW w:w="0" w:type="dxa"/>
            <w:vAlign w:val="bottom"/>
          </w:tcPr>
          <w:p>
            <w:pPr>
              <w:spacing w:after="0"/>
              <w:rPr>
                <w:sz w:val="1"/>
                <w:szCs w:val="1"/>
                <w:color w:val="auto"/>
              </w:rPr>
            </w:pPr>
          </w:p>
        </w:tc>
      </w:tr>
      <w:tr>
        <w:trPr>
          <w:trHeight w:val="229"/>
        </w:trPr>
        <w:tc>
          <w:tcPr>
            <w:tcW w:w="1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2023</w:t>
            </w:r>
          </w:p>
        </w:tc>
        <w:tc>
          <w:tcPr>
            <w:tcW w:w="22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 $</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181,254</w:t>
            </w:r>
          </w:p>
        </w:tc>
        <w:tc>
          <w:tcPr>
            <w:tcW w:w="0" w:type="dxa"/>
            <w:vAlign w:val="bottom"/>
          </w:tcPr>
          <w:p>
            <w:pPr>
              <w:spacing w:after="0"/>
              <w:rPr>
                <w:sz w:val="1"/>
                <w:szCs w:val="1"/>
                <w:color w:val="auto"/>
              </w:rPr>
            </w:pPr>
          </w:p>
        </w:tc>
      </w:tr>
      <w:tr>
        <w:trPr>
          <w:trHeight w:val="229"/>
        </w:trPr>
        <w:tc>
          <w:tcPr>
            <w:tcW w:w="1900" w:type="dxa"/>
            <w:vAlign w:val="bottom"/>
          </w:tcPr>
          <w:p>
            <w:pPr>
              <w:ind w:left="20"/>
              <w:spacing w:after="0"/>
              <w:rPr>
                <w:sz w:val="20"/>
                <w:szCs w:val="20"/>
                <w:color w:val="auto"/>
              </w:rPr>
            </w:pPr>
            <w:r>
              <w:rPr>
                <w:rFonts w:ascii="Arial" w:cs="Arial" w:eastAsia="Arial" w:hAnsi="Arial"/>
                <w:sz w:val="18"/>
                <w:szCs w:val="18"/>
                <w:color w:val="auto"/>
              </w:rPr>
              <w:t>April 2023</w:t>
            </w:r>
          </w:p>
        </w:tc>
        <w:tc>
          <w:tcPr>
            <w:tcW w:w="1920" w:type="dxa"/>
            <w:vAlign w:val="bottom"/>
          </w:tcPr>
          <w:p>
            <w:pPr>
              <w:jc w:val="right"/>
              <w:spacing w:after="0"/>
              <w:rPr>
                <w:sz w:val="20"/>
                <w:szCs w:val="20"/>
                <w:color w:val="auto"/>
              </w:rPr>
            </w:pPr>
            <w:r>
              <w:rPr>
                <w:rFonts w:ascii="Arial" w:cs="Arial" w:eastAsia="Arial" w:hAnsi="Arial"/>
                <w:sz w:val="18"/>
                <w:szCs w:val="18"/>
                <w:color w:val="auto"/>
              </w:rPr>
              <w:t>70,750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413.09</w:t>
            </w:r>
          </w:p>
        </w:tc>
        <w:tc>
          <w:tcPr>
            <w:tcW w:w="2180" w:type="dxa"/>
            <w:vAlign w:val="bottom"/>
          </w:tcPr>
          <w:p>
            <w:pPr>
              <w:jc w:val="right"/>
              <w:spacing w:after="0"/>
              <w:rPr>
                <w:sz w:val="20"/>
                <w:szCs w:val="20"/>
                <w:color w:val="auto"/>
              </w:rPr>
            </w:pPr>
            <w:r>
              <w:rPr>
                <w:rFonts w:ascii="Arial" w:cs="Arial" w:eastAsia="Arial" w:hAnsi="Arial"/>
                <w:sz w:val="18"/>
                <w:szCs w:val="18"/>
                <w:color w:val="auto"/>
              </w:rPr>
              <w:t>70,750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80" w:type="dxa"/>
            <w:vAlign w:val="bottom"/>
          </w:tcPr>
          <w:p>
            <w:pPr>
              <w:jc w:val="right"/>
              <w:spacing w:after="0"/>
              <w:rPr>
                <w:sz w:val="20"/>
                <w:szCs w:val="20"/>
                <w:color w:val="auto"/>
              </w:rPr>
            </w:pPr>
            <w:r>
              <w:rPr>
                <w:rFonts w:ascii="Arial" w:cs="Arial" w:eastAsia="Arial" w:hAnsi="Arial"/>
                <w:sz w:val="18"/>
                <w:szCs w:val="18"/>
                <w:color w:val="auto"/>
              </w:rPr>
              <w:t>152,029</w:t>
            </w:r>
          </w:p>
        </w:tc>
        <w:tc>
          <w:tcPr>
            <w:tcW w:w="0" w:type="dxa"/>
            <w:vAlign w:val="bottom"/>
          </w:tcPr>
          <w:p>
            <w:pPr>
              <w:spacing w:after="0"/>
              <w:rPr>
                <w:sz w:val="1"/>
                <w:szCs w:val="1"/>
                <w:color w:val="auto"/>
              </w:rPr>
            </w:pPr>
          </w:p>
        </w:tc>
      </w:tr>
      <w:tr>
        <w:trPr>
          <w:trHeight w:val="243"/>
        </w:trPr>
        <w:tc>
          <w:tcPr>
            <w:tcW w:w="1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May 2023</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96,439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397.76</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114,163</w:t>
            </w:r>
          </w:p>
        </w:tc>
        <w:tc>
          <w:tcPr>
            <w:tcW w:w="0" w:type="dxa"/>
            <w:vAlign w:val="bottom"/>
          </w:tcPr>
          <w:p>
            <w:pPr>
              <w:spacing w:after="0"/>
              <w:rPr>
                <w:sz w:val="1"/>
                <w:szCs w:val="1"/>
                <w:color w:val="auto"/>
              </w:rPr>
            </w:pPr>
          </w:p>
        </w:tc>
      </w:tr>
      <w:tr>
        <w:trPr>
          <w:trHeight w:val="224"/>
        </w:trPr>
        <w:tc>
          <w:tcPr>
            <w:tcW w:w="1900" w:type="dxa"/>
            <w:vAlign w:val="bottom"/>
          </w:tcPr>
          <w:p>
            <w:pPr>
              <w:ind w:left="340"/>
              <w:spacing w:after="0"/>
              <w:rPr>
                <w:sz w:val="20"/>
                <w:szCs w:val="20"/>
                <w:color w:val="auto"/>
              </w:rPr>
            </w:pPr>
            <w:r>
              <w:rPr>
                <w:rFonts w:ascii="Arial" w:cs="Arial" w:eastAsia="Arial" w:hAnsi="Arial"/>
                <w:sz w:val="18"/>
                <w:szCs w:val="18"/>
                <w:color w:val="auto"/>
              </w:rPr>
              <w:t>Total</w:t>
            </w:r>
          </w:p>
        </w:tc>
        <w:tc>
          <w:tcPr>
            <w:tcW w:w="1920" w:type="dxa"/>
            <w:vAlign w:val="bottom"/>
          </w:tcPr>
          <w:p>
            <w:pPr>
              <w:jc w:val="right"/>
              <w:spacing w:after="0"/>
              <w:rPr>
                <w:sz w:val="20"/>
                <w:szCs w:val="20"/>
                <w:color w:val="auto"/>
              </w:rPr>
            </w:pPr>
            <w:r>
              <w:rPr>
                <w:rFonts w:ascii="Arial" w:cs="Arial" w:eastAsia="Arial" w:hAnsi="Arial"/>
                <w:sz w:val="18"/>
                <w:szCs w:val="18"/>
                <w:color w:val="auto"/>
              </w:rPr>
              <w:t>167,189</w:t>
            </w: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165,950</w:t>
            </w:r>
          </w:p>
        </w:tc>
        <w:tc>
          <w:tcPr>
            <w:tcW w:w="1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660" w:hanging="328"/>
        <w:spacing w:after="0" w:line="275" w:lineRule="auto"/>
        <w:tabs>
          <w:tab w:leader="none" w:pos="660" w:val="left"/>
        </w:tabs>
        <w:numPr>
          <w:ilvl w:val="0"/>
          <w:numId w:val="33"/>
        </w:numPr>
        <w:rPr>
          <w:rFonts w:ascii="Arial" w:cs="Arial" w:eastAsia="Arial" w:hAnsi="Arial"/>
          <w:sz w:val="16"/>
          <w:szCs w:val="16"/>
          <w:i w:val="1"/>
          <w:iCs w:val="1"/>
          <w:color w:val="auto"/>
        </w:rPr>
      </w:pPr>
      <w:r>
        <w:rPr>
          <w:rFonts w:ascii="Arial" w:cs="Arial" w:eastAsia="Arial" w:hAnsi="Arial"/>
          <w:sz w:val="16"/>
          <w:szCs w:val="16"/>
          <w:i w:val="1"/>
          <w:iCs w:val="1"/>
          <w:color w:val="auto"/>
        </w:rPr>
        <w:t>Includes 165,950 shares purchased under the existing stock repurchase program, as well as 1,239 shares repurchased to satisfy withholding tax obligations due upon the vesting of stock-based awards.</w:t>
      </w:r>
    </w:p>
    <w:p>
      <w:pPr>
        <w:spacing w:after="0" w:line="5" w:lineRule="exact"/>
        <w:rPr>
          <w:rFonts w:ascii="Arial" w:cs="Arial" w:eastAsia="Arial" w:hAnsi="Arial"/>
          <w:sz w:val="16"/>
          <w:szCs w:val="16"/>
          <w:i w:val="1"/>
          <w:iCs w:val="1"/>
          <w:color w:val="auto"/>
        </w:rPr>
      </w:pPr>
    </w:p>
    <w:p>
      <w:pPr>
        <w:jc w:val="both"/>
        <w:ind w:left="660" w:hanging="328"/>
        <w:spacing w:after="0" w:line="268" w:lineRule="auto"/>
        <w:tabs>
          <w:tab w:leader="none" w:pos="660" w:val="left"/>
        </w:tabs>
        <w:numPr>
          <w:ilvl w:val="0"/>
          <w:numId w:val="33"/>
        </w:numPr>
        <w:rPr>
          <w:rFonts w:ascii="Arial" w:cs="Arial" w:eastAsia="Arial" w:hAnsi="Arial"/>
          <w:sz w:val="16"/>
          <w:szCs w:val="16"/>
          <w:b w:val="1"/>
          <w:bCs w:val="1"/>
          <w:i w:val="1"/>
          <w:iCs w:val="1"/>
          <w:color w:val="004988"/>
        </w:rPr>
      </w:pPr>
      <w:r>
        <w:rPr>
          <w:rFonts w:ascii="Arial" w:cs="Arial" w:eastAsia="Arial" w:hAnsi="Arial"/>
          <w:sz w:val="16"/>
          <w:szCs w:val="16"/>
          <w:i w:val="1"/>
          <w:iCs w:val="1"/>
          <w:color w:val="auto"/>
        </w:rPr>
        <w:t xml:space="preserve">As of May 31, 2023, a total of </w:t>
      </w:r>
      <w:r>
        <w:rPr>
          <w:rFonts w:ascii="Arial" w:cs="Arial" w:eastAsia="Arial" w:hAnsi="Arial"/>
          <w:sz w:val="17"/>
          <w:szCs w:val="17"/>
          <w:i w:val="1"/>
          <w:iCs w:val="1"/>
          <w:color w:val="auto"/>
        </w:rPr>
        <w:t>$114.2</w:t>
      </w:r>
      <w:r>
        <w:rPr>
          <w:rFonts w:ascii="Arial" w:cs="Arial" w:eastAsia="Arial" w:hAnsi="Arial"/>
          <w:sz w:val="16"/>
          <w:szCs w:val="16"/>
          <w:i w:val="1"/>
          <w:iCs w:val="1"/>
          <w:color w:val="auto"/>
        </w:rPr>
        <w:t xml:space="preserve"> million remained authorized for future share repurchases under our existing share repurchase program through August 31, 2023. Repurchases may be made from time to time in the open market or via privately negotiated transactions, subject to market conditions. There is no defined number of shares to be repurchased over a specified timeframe through the life of our share repurchase program. It is expected that share repurchases will be paid using existing and future cash generated by operations. Refer to Part I, Item 2. Liquidity and Capital Resources in the MD&amp;A of this Quarterly Report on Form 10-Q for further discussion on our share repurchase program.</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DEFAULTS UPON SENIOR SECURITIES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MINE SAFETY DISCLOSURES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 OTHER INFORMATION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340" w:type="dxa"/>
            <w:vAlign w:val="bottom"/>
            <w:gridSpan w:val="2"/>
          </w:tcPr>
          <w:p>
            <w:pPr>
              <w:ind w:left="220"/>
              <w:spacing w:after="0"/>
              <w:rPr>
                <w:sz w:val="20"/>
                <w:szCs w:val="20"/>
                <w:color w:val="auto"/>
              </w:rPr>
            </w:pPr>
            <w:r>
              <w:rPr>
                <w:rFonts w:ascii="Arial" w:cs="Arial" w:eastAsia="Arial" w:hAnsi="Arial"/>
                <w:sz w:val="18"/>
                <w:szCs w:val="18"/>
                <w:color w:val="auto"/>
              </w:rPr>
              <w:t>Incorporated by Reference</w:t>
            </w:r>
          </w:p>
        </w:tc>
        <w:tc>
          <w:tcPr>
            <w:tcW w:w="0" w:type="dxa"/>
            <w:vAlign w:val="bottom"/>
          </w:tcPr>
          <w:p>
            <w:pPr>
              <w:spacing w:after="0"/>
              <w:rPr>
                <w:sz w:val="1"/>
                <w:szCs w:val="1"/>
                <w:color w:val="auto"/>
              </w:rPr>
            </w:pPr>
          </w:p>
        </w:tc>
      </w:tr>
      <w:tr>
        <w:trPr>
          <w:trHeight w:val="189"/>
        </w:trPr>
        <w:tc>
          <w:tcPr>
            <w:tcW w:w="1280" w:type="dxa"/>
            <w:vAlign w:val="bottom"/>
            <w:gridSpan w:val="3"/>
          </w:tcPr>
          <w:p>
            <w:pPr>
              <w:ind w:left="40"/>
              <w:spacing w:after="0" w:line="189" w:lineRule="exact"/>
              <w:rPr>
                <w:sz w:val="20"/>
                <w:szCs w:val="20"/>
                <w:color w:val="auto"/>
              </w:rPr>
            </w:pPr>
            <w:r>
              <w:rPr>
                <w:rFonts w:ascii="Arial" w:cs="Arial" w:eastAsia="Arial" w:hAnsi="Arial"/>
                <w:sz w:val="18"/>
                <w:szCs w:val="18"/>
                <w:color w:val="auto"/>
                <w:w w:val="99"/>
              </w:rPr>
              <w:t>Exhibit Number</w:t>
            </w:r>
          </w:p>
        </w:tc>
        <w:tc>
          <w:tcPr>
            <w:tcW w:w="4900" w:type="dxa"/>
            <w:vAlign w:val="bottom"/>
          </w:tcPr>
          <w:p>
            <w:pPr>
              <w:ind w:left="80"/>
              <w:spacing w:after="0" w:line="189" w:lineRule="exact"/>
              <w:rPr>
                <w:sz w:val="20"/>
                <w:szCs w:val="20"/>
                <w:color w:val="auto"/>
              </w:rPr>
            </w:pPr>
            <w:r>
              <w:rPr>
                <w:rFonts w:ascii="Arial" w:cs="Arial" w:eastAsia="Arial" w:hAnsi="Arial"/>
                <w:sz w:val="18"/>
                <w:szCs w:val="18"/>
                <w:color w:val="auto"/>
              </w:rPr>
              <w:t>Exhibit</w:t>
            </w:r>
          </w:p>
        </w:tc>
        <w:tc>
          <w:tcPr>
            <w:tcW w:w="720" w:type="dxa"/>
            <w:vAlign w:val="bottom"/>
          </w:tcPr>
          <w:p>
            <w:pPr>
              <w:ind w:left="100"/>
              <w:spacing w:after="0" w:line="189" w:lineRule="exact"/>
              <w:rPr>
                <w:sz w:val="20"/>
                <w:szCs w:val="20"/>
                <w:color w:val="auto"/>
              </w:rPr>
            </w:pPr>
            <w:r>
              <w:rPr>
                <w:rFonts w:ascii="Arial" w:cs="Arial" w:eastAsia="Arial" w:hAnsi="Arial"/>
                <w:sz w:val="18"/>
                <w:szCs w:val="18"/>
                <w:color w:val="auto"/>
              </w:rPr>
              <w:t>Form</w:t>
            </w:r>
          </w:p>
        </w:tc>
        <w:tc>
          <w:tcPr>
            <w:tcW w:w="1060" w:type="dxa"/>
            <w:vAlign w:val="bottom"/>
          </w:tcPr>
          <w:p>
            <w:pPr>
              <w:ind w:left="220"/>
              <w:spacing w:after="0" w:line="189" w:lineRule="exact"/>
              <w:rPr>
                <w:sz w:val="20"/>
                <w:szCs w:val="20"/>
                <w:color w:val="auto"/>
              </w:rPr>
            </w:pPr>
            <w:r>
              <w:rPr>
                <w:rFonts w:ascii="Arial" w:cs="Arial" w:eastAsia="Arial" w:hAnsi="Arial"/>
                <w:sz w:val="18"/>
                <w:szCs w:val="18"/>
                <w:color w:val="auto"/>
              </w:rPr>
              <w:t>File No.</w:t>
            </w:r>
          </w:p>
        </w:tc>
        <w:tc>
          <w:tcPr>
            <w:tcW w:w="3280" w:type="dxa"/>
            <w:vAlign w:val="bottom"/>
          </w:tcPr>
          <w:p>
            <w:pPr>
              <w:ind w:left="240"/>
              <w:spacing w:after="0" w:line="189" w:lineRule="exact"/>
              <w:rPr>
                <w:sz w:val="20"/>
                <w:szCs w:val="20"/>
                <w:color w:val="auto"/>
              </w:rPr>
            </w:pPr>
            <w:r>
              <w:rPr>
                <w:rFonts w:ascii="Arial" w:cs="Arial" w:eastAsia="Arial" w:hAnsi="Arial"/>
                <w:sz w:val="18"/>
                <w:szCs w:val="18"/>
                <w:color w:val="auto"/>
              </w:rPr>
              <w:t>Exhibit No.  Filing Date   Filed</w:t>
            </w:r>
          </w:p>
        </w:tc>
        <w:tc>
          <w:tcPr>
            <w:tcW w:w="0" w:type="dxa"/>
            <w:vAlign w:val="bottom"/>
          </w:tcPr>
          <w:p>
            <w:pPr>
              <w:spacing w:after="0"/>
              <w:rPr>
                <w:sz w:val="1"/>
                <w:szCs w:val="1"/>
                <w:color w:val="auto"/>
              </w:rPr>
            </w:pPr>
          </w:p>
        </w:tc>
      </w:tr>
      <w:tr>
        <w:trPr>
          <w:trHeight w:val="217"/>
        </w:trPr>
        <w:tc>
          <w:tcPr>
            <w:tcW w:w="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9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Description</w:t>
            </w:r>
          </w:p>
        </w:tc>
        <w:tc>
          <w:tcPr>
            <w:tcW w:w="7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tcPr>
          <w:p>
            <w:pPr>
              <w:ind w:left="2280"/>
              <w:spacing w:after="0"/>
              <w:rPr>
                <w:sz w:val="20"/>
                <w:szCs w:val="20"/>
                <w:color w:val="auto"/>
              </w:rPr>
            </w:pPr>
            <w:r>
              <w:rPr>
                <w:rFonts w:ascii="Arial" w:cs="Arial" w:eastAsia="Arial" w:hAnsi="Arial"/>
                <w:sz w:val="18"/>
                <w:szCs w:val="18"/>
                <w:color w:val="auto"/>
              </w:rPr>
              <w:t>Herewith</w:t>
            </w:r>
          </w:p>
        </w:tc>
        <w:tc>
          <w:tcPr>
            <w:tcW w:w="0" w:type="dxa"/>
            <w:vAlign w:val="bottom"/>
          </w:tcPr>
          <w:p>
            <w:pPr>
              <w:spacing w:after="0"/>
              <w:rPr>
                <w:sz w:val="1"/>
                <w:szCs w:val="1"/>
                <w:color w:val="auto"/>
              </w:rPr>
            </w:pPr>
          </w:p>
        </w:tc>
      </w:tr>
      <w:tr>
        <w:trPr>
          <w:trHeight w:val="182"/>
        </w:trPr>
        <w:tc>
          <w:tcPr>
            <w:tcW w:w="1280" w:type="dxa"/>
            <w:vAlign w:val="bottom"/>
            <w:tcBorders>
              <w:left w:val="single" w:sz="8" w:color="auto"/>
            </w:tcBorders>
            <w:gridSpan w:val="3"/>
            <w:vMerge w:val="restart"/>
          </w:tcPr>
          <w:p>
            <w:pPr>
              <w:ind w:left="40"/>
              <w:spacing w:after="0"/>
              <w:rPr>
                <w:sz w:val="20"/>
                <w:szCs w:val="20"/>
                <w:color w:val="auto"/>
              </w:rPr>
            </w:pPr>
            <w:r>
              <w:rPr>
                <w:rFonts w:ascii="Arial" w:cs="Arial" w:eastAsia="Arial" w:hAnsi="Arial"/>
                <w:sz w:val="18"/>
                <w:szCs w:val="18"/>
                <w:color w:val="0000FF"/>
              </w:rPr>
              <w:t>31.1</w:t>
            </w:r>
          </w:p>
        </w:tc>
        <w:tc>
          <w:tcPr>
            <w:tcW w:w="4900" w:type="dxa"/>
            <w:vAlign w:val="bottom"/>
          </w:tcPr>
          <w:p>
            <w:pPr>
              <w:ind w:left="80"/>
              <w:spacing w:after="0" w:line="182" w:lineRule="exact"/>
              <w:rPr>
                <w:sz w:val="20"/>
                <w:szCs w:val="20"/>
                <w:color w:val="auto"/>
              </w:rPr>
            </w:pPr>
            <w:r>
              <w:rPr>
                <w:rFonts w:ascii="Arial" w:cs="Arial" w:eastAsia="Arial" w:hAnsi="Arial"/>
                <w:sz w:val="18"/>
                <w:szCs w:val="18"/>
                <w:color w:val="auto"/>
                <w:w w:val="93"/>
              </w:rPr>
              <w:t>Certification of the Chief Executive Officer pursuant to Rule 13a-</w:t>
            </w: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80" w:type="dxa"/>
            <w:vAlign w:val="bottom"/>
            <w:tcBorders>
              <w:left w:val="single" w:sz="8" w:color="auto"/>
            </w:tcBorders>
            <w:gridSpan w:val="3"/>
            <w:vMerge w:val="continue"/>
          </w:tcPr>
          <w:p>
            <w:pPr>
              <w:spacing w:after="0"/>
              <w:rPr>
                <w:sz w:val="15"/>
                <w:szCs w:val="15"/>
                <w:color w:val="auto"/>
              </w:rPr>
            </w:pPr>
          </w:p>
        </w:tc>
        <w:tc>
          <w:tcPr>
            <w:tcW w:w="4900" w:type="dxa"/>
            <w:vAlign w:val="bottom"/>
          </w:tcPr>
          <w:p>
            <w:pPr>
              <w:ind w:left="80"/>
              <w:spacing w:after="0" w:line="157" w:lineRule="exact"/>
              <w:rPr>
                <w:sz w:val="20"/>
                <w:szCs w:val="20"/>
                <w:color w:val="auto"/>
              </w:rPr>
            </w:pPr>
            <w:r>
              <w:rPr>
                <w:rFonts w:ascii="Arial" w:cs="Arial" w:eastAsia="Arial" w:hAnsi="Arial"/>
                <w:sz w:val="18"/>
                <w:szCs w:val="18"/>
                <w:color w:val="auto"/>
                <w:w w:val="99"/>
              </w:rPr>
              <w:t>14(a) and Rule 15d-14(a) of the Securities Exchange Act, as</w:t>
            </w: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80" w:type="dxa"/>
            <w:vAlign w:val="bottom"/>
            <w:tcBorders>
              <w:right w:val="single" w:sz="8" w:color="auto"/>
            </w:tcBorders>
          </w:tcPr>
          <w:p>
            <w:pPr>
              <w:ind w:left="2280"/>
              <w:spacing w:after="0" w:line="157"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9"/>
        </w:trPr>
        <w:tc>
          <w:tcPr>
            <w:tcW w:w="40" w:type="dxa"/>
            <w:vAlign w:val="bottom"/>
            <w:tcBorders>
              <w:left w:val="single" w:sz="8" w:color="auto"/>
              <w:bottom w:val="single" w:sz="8" w:color="auto"/>
            </w:tcBorders>
          </w:tcPr>
          <w:p>
            <w:pPr>
              <w:spacing w:after="0"/>
              <w:rPr>
                <w:sz w:val="18"/>
                <w:szCs w:val="18"/>
                <w:color w:val="auto"/>
              </w:rPr>
            </w:pPr>
          </w:p>
        </w:tc>
        <w:tc>
          <w:tcPr>
            <w:tcW w:w="320" w:type="dxa"/>
            <w:vAlign w:val="bottom"/>
            <w:tcBorders>
              <w:top w:val="single" w:sz="8" w:color="0000FF"/>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9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amended</w:t>
            </w:r>
          </w:p>
        </w:tc>
        <w:tc>
          <w:tcPr>
            <w:tcW w:w="7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2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280" w:type="dxa"/>
            <w:vAlign w:val="bottom"/>
            <w:tcBorders>
              <w:left w:val="single" w:sz="8" w:color="auto"/>
            </w:tcBorders>
            <w:gridSpan w:val="3"/>
            <w:vMerge w:val="restart"/>
          </w:tcPr>
          <w:p>
            <w:pPr>
              <w:ind w:left="40"/>
              <w:spacing w:after="0"/>
              <w:rPr>
                <w:sz w:val="20"/>
                <w:szCs w:val="20"/>
                <w:color w:val="auto"/>
              </w:rPr>
            </w:pPr>
            <w:r>
              <w:rPr>
                <w:rFonts w:ascii="Arial" w:cs="Arial" w:eastAsia="Arial" w:hAnsi="Arial"/>
                <w:sz w:val="18"/>
                <w:szCs w:val="18"/>
                <w:color w:val="0000FF"/>
              </w:rPr>
              <w:t>31.2</w:t>
            </w:r>
          </w:p>
        </w:tc>
        <w:tc>
          <w:tcPr>
            <w:tcW w:w="4900" w:type="dxa"/>
            <w:vAlign w:val="bottom"/>
          </w:tcPr>
          <w:p>
            <w:pPr>
              <w:ind w:left="80"/>
              <w:spacing w:after="0" w:line="182" w:lineRule="exact"/>
              <w:rPr>
                <w:sz w:val="20"/>
                <w:szCs w:val="20"/>
                <w:color w:val="auto"/>
              </w:rPr>
            </w:pPr>
            <w:r>
              <w:rPr>
                <w:rFonts w:ascii="Arial" w:cs="Arial" w:eastAsia="Arial" w:hAnsi="Arial"/>
                <w:sz w:val="18"/>
                <w:szCs w:val="18"/>
                <w:color w:val="auto"/>
                <w:w w:val="95"/>
              </w:rPr>
              <w:t>Certification of the Chief Financial Officer pursuant to Rule 13a-</w:t>
            </w: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80" w:type="dxa"/>
            <w:vAlign w:val="bottom"/>
            <w:tcBorders>
              <w:left w:val="single" w:sz="8" w:color="auto"/>
            </w:tcBorders>
            <w:gridSpan w:val="3"/>
            <w:vMerge w:val="continue"/>
          </w:tcPr>
          <w:p>
            <w:pPr>
              <w:spacing w:after="0"/>
              <w:rPr>
                <w:sz w:val="15"/>
                <w:szCs w:val="15"/>
                <w:color w:val="auto"/>
              </w:rPr>
            </w:pPr>
          </w:p>
        </w:tc>
        <w:tc>
          <w:tcPr>
            <w:tcW w:w="4900" w:type="dxa"/>
            <w:vAlign w:val="bottom"/>
          </w:tcPr>
          <w:p>
            <w:pPr>
              <w:ind w:left="80"/>
              <w:spacing w:after="0" w:line="157" w:lineRule="exact"/>
              <w:rPr>
                <w:sz w:val="20"/>
                <w:szCs w:val="20"/>
                <w:color w:val="auto"/>
              </w:rPr>
            </w:pPr>
            <w:r>
              <w:rPr>
                <w:rFonts w:ascii="Arial" w:cs="Arial" w:eastAsia="Arial" w:hAnsi="Arial"/>
                <w:sz w:val="18"/>
                <w:szCs w:val="18"/>
                <w:color w:val="auto"/>
                <w:w w:val="99"/>
              </w:rPr>
              <w:t>14(a) and Rule 15d-14(a) of the Securities Exchange Act, as</w:t>
            </w: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80" w:type="dxa"/>
            <w:vAlign w:val="bottom"/>
            <w:tcBorders>
              <w:right w:val="single" w:sz="8" w:color="auto"/>
            </w:tcBorders>
          </w:tcPr>
          <w:p>
            <w:pPr>
              <w:ind w:left="2280"/>
              <w:spacing w:after="0" w:line="157"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9"/>
        </w:trPr>
        <w:tc>
          <w:tcPr>
            <w:tcW w:w="40" w:type="dxa"/>
            <w:vAlign w:val="bottom"/>
            <w:tcBorders>
              <w:left w:val="single" w:sz="8" w:color="auto"/>
              <w:bottom w:val="single" w:sz="8" w:color="auto"/>
            </w:tcBorders>
          </w:tcPr>
          <w:p>
            <w:pPr>
              <w:spacing w:after="0"/>
              <w:rPr>
                <w:sz w:val="18"/>
                <w:szCs w:val="18"/>
                <w:color w:val="auto"/>
              </w:rPr>
            </w:pPr>
          </w:p>
        </w:tc>
        <w:tc>
          <w:tcPr>
            <w:tcW w:w="320" w:type="dxa"/>
            <w:vAlign w:val="bottom"/>
            <w:tcBorders>
              <w:top w:val="single" w:sz="8" w:color="0000FF"/>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9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amended</w:t>
            </w:r>
          </w:p>
        </w:tc>
        <w:tc>
          <w:tcPr>
            <w:tcW w:w="7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2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280" w:type="dxa"/>
            <w:vAlign w:val="bottom"/>
            <w:tcBorders>
              <w:left w:val="single" w:sz="8" w:color="auto"/>
            </w:tcBorders>
            <w:gridSpan w:val="3"/>
            <w:vMerge w:val="restart"/>
          </w:tcPr>
          <w:p>
            <w:pPr>
              <w:ind w:left="40"/>
              <w:spacing w:after="0"/>
              <w:rPr>
                <w:sz w:val="20"/>
                <w:szCs w:val="20"/>
                <w:color w:val="auto"/>
              </w:rPr>
            </w:pPr>
            <w:r>
              <w:rPr>
                <w:rFonts w:ascii="Arial" w:cs="Arial" w:eastAsia="Arial" w:hAnsi="Arial"/>
                <w:sz w:val="18"/>
                <w:szCs w:val="18"/>
                <w:color w:val="0000FF"/>
              </w:rPr>
              <w:t>32.1</w:t>
            </w:r>
          </w:p>
        </w:tc>
        <w:tc>
          <w:tcPr>
            <w:tcW w:w="4900" w:type="dxa"/>
            <w:vAlign w:val="bottom"/>
          </w:tcPr>
          <w:p>
            <w:pPr>
              <w:ind w:left="80"/>
              <w:spacing w:after="0" w:line="182" w:lineRule="exact"/>
              <w:rPr>
                <w:sz w:val="20"/>
                <w:szCs w:val="20"/>
                <w:color w:val="auto"/>
              </w:rPr>
            </w:pPr>
            <w:r>
              <w:rPr>
                <w:rFonts w:ascii="Arial" w:cs="Arial" w:eastAsia="Arial" w:hAnsi="Arial"/>
                <w:sz w:val="18"/>
                <w:szCs w:val="18"/>
                <w:color w:val="auto"/>
                <w:w w:val="93"/>
              </w:rPr>
              <w:t>Certification of the Chief Executive Officer pursuant to 18 U.S.C.</w:t>
            </w: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80" w:type="dxa"/>
            <w:vAlign w:val="bottom"/>
            <w:tcBorders>
              <w:left w:val="single" w:sz="8" w:color="auto"/>
            </w:tcBorders>
            <w:gridSpan w:val="3"/>
            <w:vMerge w:val="continue"/>
          </w:tcPr>
          <w:p>
            <w:pPr>
              <w:spacing w:after="0"/>
              <w:rPr>
                <w:sz w:val="15"/>
                <w:szCs w:val="15"/>
                <w:color w:val="auto"/>
              </w:rPr>
            </w:pPr>
          </w:p>
        </w:tc>
        <w:tc>
          <w:tcPr>
            <w:tcW w:w="4900" w:type="dxa"/>
            <w:vAlign w:val="bottom"/>
          </w:tcPr>
          <w:p>
            <w:pPr>
              <w:ind w:left="80"/>
              <w:spacing w:after="0" w:line="157" w:lineRule="exact"/>
              <w:rPr>
                <w:sz w:val="20"/>
                <w:szCs w:val="20"/>
                <w:color w:val="auto"/>
              </w:rPr>
            </w:pPr>
            <w:r>
              <w:rPr>
                <w:rFonts w:ascii="Arial" w:cs="Arial" w:eastAsia="Arial" w:hAnsi="Arial"/>
                <w:sz w:val="18"/>
                <w:szCs w:val="18"/>
                <w:color w:val="auto"/>
                <w:w w:val="92"/>
              </w:rPr>
              <w:t>1350, as adopted pursuant to Section 906 of the Sarbanes-Oxley</w:t>
            </w: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80" w:type="dxa"/>
            <w:vAlign w:val="bottom"/>
            <w:tcBorders>
              <w:right w:val="single" w:sz="8" w:color="auto"/>
            </w:tcBorders>
          </w:tcPr>
          <w:p>
            <w:pPr>
              <w:ind w:left="2280"/>
              <w:spacing w:after="0" w:line="157"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9"/>
        </w:trPr>
        <w:tc>
          <w:tcPr>
            <w:tcW w:w="40" w:type="dxa"/>
            <w:vAlign w:val="bottom"/>
            <w:tcBorders>
              <w:left w:val="single" w:sz="8" w:color="auto"/>
              <w:bottom w:val="single" w:sz="8" w:color="auto"/>
            </w:tcBorders>
          </w:tcPr>
          <w:p>
            <w:pPr>
              <w:spacing w:after="0"/>
              <w:rPr>
                <w:sz w:val="18"/>
                <w:szCs w:val="18"/>
                <w:color w:val="auto"/>
              </w:rPr>
            </w:pPr>
          </w:p>
        </w:tc>
        <w:tc>
          <w:tcPr>
            <w:tcW w:w="320" w:type="dxa"/>
            <w:vAlign w:val="bottom"/>
            <w:tcBorders>
              <w:top w:val="single" w:sz="8" w:color="0000FF"/>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9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Act of 2002</w:t>
            </w:r>
          </w:p>
        </w:tc>
        <w:tc>
          <w:tcPr>
            <w:tcW w:w="7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2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280" w:type="dxa"/>
            <w:vAlign w:val="bottom"/>
            <w:tcBorders>
              <w:left w:val="single" w:sz="8" w:color="auto"/>
            </w:tcBorders>
            <w:gridSpan w:val="3"/>
            <w:vMerge w:val="restart"/>
          </w:tcPr>
          <w:p>
            <w:pPr>
              <w:ind w:left="40"/>
              <w:spacing w:after="0"/>
              <w:rPr>
                <w:sz w:val="20"/>
                <w:szCs w:val="20"/>
                <w:color w:val="auto"/>
              </w:rPr>
            </w:pPr>
            <w:r>
              <w:rPr>
                <w:rFonts w:ascii="Arial" w:cs="Arial" w:eastAsia="Arial" w:hAnsi="Arial"/>
                <w:sz w:val="18"/>
                <w:szCs w:val="18"/>
                <w:color w:val="0000FF"/>
              </w:rPr>
              <w:t>32.2</w:t>
            </w:r>
          </w:p>
        </w:tc>
        <w:tc>
          <w:tcPr>
            <w:tcW w:w="4900" w:type="dxa"/>
            <w:vAlign w:val="bottom"/>
          </w:tcPr>
          <w:p>
            <w:pPr>
              <w:ind w:left="80"/>
              <w:spacing w:after="0" w:line="182" w:lineRule="exact"/>
              <w:rPr>
                <w:sz w:val="20"/>
                <w:szCs w:val="20"/>
                <w:color w:val="auto"/>
              </w:rPr>
            </w:pPr>
            <w:r>
              <w:rPr>
                <w:rFonts w:ascii="Arial" w:cs="Arial" w:eastAsia="Arial" w:hAnsi="Arial"/>
                <w:sz w:val="18"/>
                <w:szCs w:val="18"/>
                <w:color w:val="auto"/>
                <w:w w:val="95"/>
              </w:rPr>
              <w:t>Certification of the Chief Financial Officer pursuant to 18 U.S.C.</w:t>
            </w: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80" w:type="dxa"/>
            <w:vAlign w:val="bottom"/>
            <w:tcBorders>
              <w:left w:val="single" w:sz="8" w:color="auto"/>
            </w:tcBorders>
            <w:gridSpan w:val="3"/>
            <w:vMerge w:val="continue"/>
          </w:tcPr>
          <w:p>
            <w:pPr>
              <w:spacing w:after="0"/>
              <w:rPr>
                <w:sz w:val="15"/>
                <w:szCs w:val="15"/>
                <w:color w:val="auto"/>
              </w:rPr>
            </w:pPr>
          </w:p>
        </w:tc>
        <w:tc>
          <w:tcPr>
            <w:tcW w:w="4900" w:type="dxa"/>
            <w:vAlign w:val="bottom"/>
          </w:tcPr>
          <w:p>
            <w:pPr>
              <w:ind w:left="80"/>
              <w:spacing w:after="0" w:line="157" w:lineRule="exact"/>
              <w:rPr>
                <w:sz w:val="20"/>
                <w:szCs w:val="20"/>
                <w:color w:val="auto"/>
              </w:rPr>
            </w:pPr>
            <w:r>
              <w:rPr>
                <w:rFonts w:ascii="Arial" w:cs="Arial" w:eastAsia="Arial" w:hAnsi="Arial"/>
                <w:sz w:val="18"/>
                <w:szCs w:val="18"/>
                <w:color w:val="auto"/>
                <w:w w:val="92"/>
              </w:rPr>
              <w:t>1350, as adopted pursuant to Section 906 of the Sarbanes-Oxley</w:t>
            </w: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80" w:type="dxa"/>
            <w:vAlign w:val="bottom"/>
            <w:tcBorders>
              <w:right w:val="single" w:sz="8" w:color="auto"/>
            </w:tcBorders>
          </w:tcPr>
          <w:p>
            <w:pPr>
              <w:ind w:left="2280"/>
              <w:spacing w:after="0" w:line="157"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9"/>
        </w:trPr>
        <w:tc>
          <w:tcPr>
            <w:tcW w:w="40" w:type="dxa"/>
            <w:vAlign w:val="bottom"/>
            <w:tcBorders>
              <w:left w:val="single" w:sz="8" w:color="auto"/>
              <w:bottom w:val="single" w:sz="8" w:color="auto"/>
            </w:tcBorders>
          </w:tcPr>
          <w:p>
            <w:pPr>
              <w:spacing w:after="0"/>
              <w:rPr>
                <w:sz w:val="18"/>
                <w:szCs w:val="18"/>
                <w:color w:val="auto"/>
              </w:rPr>
            </w:pPr>
          </w:p>
        </w:tc>
        <w:tc>
          <w:tcPr>
            <w:tcW w:w="320" w:type="dxa"/>
            <w:vAlign w:val="bottom"/>
            <w:tcBorders>
              <w:top w:val="single" w:sz="8" w:color="0000FF"/>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9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Act of 2002</w:t>
            </w:r>
          </w:p>
        </w:tc>
        <w:tc>
          <w:tcPr>
            <w:tcW w:w="7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2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900" w:type="dxa"/>
            <w:vAlign w:val="bottom"/>
          </w:tcPr>
          <w:p>
            <w:pPr>
              <w:ind w:left="80"/>
              <w:spacing w:after="0"/>
              <w:rPr>
                <w:sz w:val="20"/>
                <w:szCs w:val="20"/>
                <w:color w:val="auto"/>
              </w:rPr>
            </w:pPr>
            <w:r>
              <w:rPr>
                <w:rFonts w:ascii="Arial" w:cs="Arial" w:eastAsia="Arial" w:hAnsi="Arial"/>
                <w:sz w:val="18"/>
                <w:szCs w:val="18"/>
                <w:color w:val="212529"/>
                <w:w w:val="99"/>
              </w:rPr>
              <w:t>XBRL Instance Document - The instance document does not</w:t>
            </w:r>
          </w:p>
        </w:tc>
        <w:tc>
          <w:tcPr>
            <w:tcW w:w="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280" w:type="dxa"/>
            <w:vAlign w:val="bottom"/>
            <w:tcBorders>
              <w:left w:val="single" w:sz="8" w:color="auto"/>
            </w:tcBorders>
            <w:gridSpan w:val="3"/>
          </w:tcPr>
          <w:p>
            <w:pPr>
              <w:ind w:left="40"/>
              <w:spacing w:after="0" w:line="202" w:lineRule="exact"/>
              <w:rPr>
                <w:sz w:val="20"/>
                <w:szCs w:val="20"/>
                <w:color w:val="auto"/>
              </w:rPr>
            </w:pPr>
            <w:r>
              <w:rPr>
                <w:rFonts w:ascii="Arial" w:cs="Arial" w:eastAsia="Arial" w:hAnsi="Arial"/>
                <w:sz w:val="18"/>
                <w:szCs w:val="18"/>
                <w:color w:val="auto"/>
              </w:rPr>
              <w:t>101.INS</w:t>
            </w:r>
          </w:p>
        </w:tc>
        <w:tc>
          <w:tcPr>
            <w:tcW w:w="4900" w:type="dxa"/>
            <w:vAlign w:val="bottom"/>
          </w:tcPr>
          <w:p>
            <w:pPr>
              <w:ind w:left="80"/>
              <w:spacing w:after="0" w:line="202" w:lineRule="exact"/>
              <w:rPr>
                <w:sz w:val="20"/>
                <w:szCs w:val="20"/>
                <w:color w:val="auto"/>
              </w:rPr>
            </w:pPr>
            <w:r>
              <w:rPr>
                <w:rFonts w:ascii="Arial" w:cs="Arial" w:eastAsia="Arial" w:hAnsi="Arial"/>
                <w:sz w:val="18"/>
                <w:szCs w:val="18"/>
                <w:color w:val="212529"/>
              </w:rPr>
              <w:t>appear in the interactive data file because its XBRL tags are</w:t>
            </w: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80" w:type="dxa"/>
            <w:vAlign w:val="bottom"/>
            <w:tcBorders>
              <w:right w:val="single" w:sz="8" w:color="auto"/>
            </w:tcBorders>
          </w:tcPr>
          <w:p>
            <w:pPr>
              <w:ind w:left="2280"/>
              <w:spacing w:after="0" w:line="202"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7"/>
        </w:trPr>
        <w:tc>
          <w:tcPr>
            <w:tcW w:w="40" w:type="dxa"/>
            <w:vAlign w:val="bottom"/>
            <w:tcBorders>
              <w:left w:val="single" w:sz="8" w:color="auto"/>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9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212529"/>
              </w:rPr>
              <w:t>embedded within the Inline XBRL document</w:t>
            </w:r>
          </w:p>
        </w:tc>
        <w:tc>
          <w:tcPr>
            <w:tcW w:w="7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2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80" w:type="dxa"/>
            <w:vAlign w:val="bottom"/>
            <w:tcBorders>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color w:val="auto"/>
              </w:rPr>
              <w:t>101.SCH</w:t>
            </w:r>
          </w:p>
        </w:tc>
        <w:tc>
          <w:tcPr>
            <w:tcW w:w="49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XBRL Taxonomy Extension Schema</w:t>
            </w:r>
          </w:p>
        </w:tc>
        <w:tc>
          <w:tcPr>
            <w:tcW w:w="7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280" w:type="dxa"/>
            <w:vAlign w:val="bottom"/>
            <w:tcBorders>
              <w:bottom w:val="single" w:sz="8" w:color="auto"/>
              <w:right w:val="single" w:sz="8" w:color="auto"/>
            </w:tcBorders>
          </w:tcPr>
          <w:p>
            <w:pPr>
              <w:ind w:left="22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9"/>
        </w:trPr>
        <w:tc>
          <w:tcPr>
            <w:tcW w:w="1280" w:type="dxa"/>
            <w:vAlign w:val="bottom"/>
            <w:tcBorders>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color w:val="auto"/>
              </w:rPr>
              <w:t>101.CAL</w:t>
            </w:r>
          </w:p>
        </w:tc>
        <w:tc>
          <w:tcPr>
            <w:tcW w:w="49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XBRL Taxonomy Extension Calculation Linkbase</w:t>
            </w:r>
          </w:p>
        </w:tc>
        <w:tc>
          <w:tcPr>
            <w:tcW w:w="7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280" w:type="dxa"/>
            <w:vAlign w:val="bottom"/>
            <w:tcBorders>
              <w:bottom w:val="single" w:sz="8" w:color="auto"/>
              <w:right w:val="single" w:sz="8" w:color="auto"/>
            </w:tcBorders>
          </w:tcPr>
          <w:p>
            <w:pPr>
              <w:ind w:left="22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3"/>
        </w:trPr>
        <w:tc>
          <w:tcPr>
            <w:tcW w:w="1280" w:type="dxa"/>
            <w:vAlign w:val="bottom"/>
            <w:tcBorders>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color w:val="auto"/>
              </w:rPr>
              <w:t>101.DEF</w:t>
            </w:r>
          </w:p>
        </w:tc>
        <w:tc>
          <w:tcPr>
            <w:tcW w:w="49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XBRL Taxonomy Extension Definition Linkbase Document</w:t>
            </w:r>
          </w:p>
        </w:tc>
        <w:tc>
          <w:tcPr>
            <w:tcW w:w="7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280" w:type="dxa"/>
            <w:vAlign w:val="bottom"/>
            <w:tcBorders>
              <w:bottom w:val="single" w:sz="8" w:color="auto"/>
              <w:right w:val="single" w:sz="8" w:color="auto"/>
            </w:tcBorders>
          </w:tcPr>
          <w:p>
            <w:pPr>
              <w:ind w:left="22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1280" w:type="dxa"/>
            <w:vAlign w:val="bottom"/>
            <w:tcBorders>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color w:val="auto"/>
              </w:rPr>
              <w:t>101.LAB</w:t>
            </w:r>
          </w:p>
        </w:tc>
        <w:tc>
          <w:tcPr>
            <w:tcW w:w="49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XBRL Taxonomy Extension Label Linkbase</w:t>
            </w:r>
          </w:p>
        </w:tc>
        <w:tc>
          <w:tcPr>
            <w:tcW w:w="7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280" w:type="dxa"/>
            <w:vAlign w:val="bottom"/>
            <w:tcBorders>
              <w:bottom w:val="single" w:sz="8" w:color="auto"/>
              <w:right w:val="single" w:sz="8" w:color="auto"/>
            </w:tcBorders>
          </w:tcPr>
          <w:p>
            <w:pPr>
              <w:ind w:left="22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9"/>
        </w:trPr>
        <w:tc>
          <w:tcPr>
            <w:tcW w:w="1280" w:type="dxa"/>
            <w:vAlign w:val="bottom"/>
            <w:tcBorders>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color w:val="auto"/>
              </w:rPr>
              <w:t>101.PRE</w:t>
            </w:r>
          </w:p>
        </w:tc>
        <w:tc>
          <w:tcPr>
            <w:tcW w:w="49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XBRL Taxonomy Extension Presentation Linkbase</w:t>
            </w:r>
          </w:p>
        </w:tc>
        <w:tc>
          <w:tcPr>
            <w:tcW w:w="7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280" w:type="dxa"/>
            <w:vAlign w:val="bottom"/>
            <w:tcBorders>
              <w:bottom w:val="single" w:sz="8" w:color="auto"/>
              <w:right w:val="single" w:sz="8" w:color="auto"/>
            </w:tcBorders>
          </w:tcPr>
          <w:p>
            <w:pPr>
              <w:ind w:left="22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gridSpan w:val="2"/>
            <w:vMerge w:val="restart"/>
          </w:tcPr>
          <w:p>
            <w:pPr>
              <w:ind w:left="40"/>
              <w:spacing w:after="0"/>
              <w:rPr>
                <w:sz w:val="20"/>
                <w:szCs w:val="20"/>
                <w:color w:val="auto"/>
              </w:rPr>
            </w:pPr>
            <w:r>
              <w:rPr>
                <w:rFonts w:ascii="Arial" w:cs="Arial" w:eastAsia="Arial" w:hAnsi="Arial"/>
                <w:sz w:val="18"/>
                <w:szCs w:val="18"/>
                <w:color w:val="auto"/>
                <w:w w:val="99"/>
              </w:rPr>
              <w:t>104</w:t>
            </w:r>
          </w:p>
        </w:tc>
        <w:tc>
          <w:tcPr>
            <w:tcW w:w="920" w:type="dxa"/>
            <w:vAlign w:val="bottom"/>
          </w:tcPr>
          <w:p>
            <w:pPr>
              <w:spacing w:after="0"/>
              <w:rPr>
                <w:sz w:val="14"/>
                <w:szCs w:val="14"/>
                <w:color w:val="auto"/>
              </w:rPr>
            </w:pPr>
          </w:p>
        </w:tc>
        <w:tc>
          <w:tcPr>
            <w:tcW w:w="4900" w:type="dxa"/>
            <w:vAlign w:val="bottom"/>
          </w:tcPr>
          <w:p>
            <w:pPr>
              <w:ind w:left="80"/>
              <w:spacing w:after="0" w:line="169" w:lineRule="exact"/>
              <w:rPr>
                <w:sz w:val="20"/>
                <w:szCs w:val="20"/>
                <w:color w:val="auto"/>
              </w:rPr>
            </w:pPr>
            <w:r>
              <w:rPr>
                <w:rFonts w:ascii="Arial" w:cs="Arial" w:eastAsia="Arial" w:hAnsi="Arial"/>
                <w:sz w:val="18"/>
                <w:szCs w:val="18"/>
                <w:color w:val="auto"/>
                <w:w w:val="95"/>
              </w:rPr>
              <w:t>Cover page Interactive Data File (formatted as Inline XBRL and</w:t>
            </w: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80" w:type="dxa"/>
            <w:vAlign w:val="bottom"/>
            <w:tcBorders>
              <w:right w:val="single" w:sz="8" w:color="auto"/>
            </w:tcBorders>
            <w:vMerge w:val="restart"/>
          </w:tcPr>
          <w:p>
            <w:pPr>
              <w:ind w:left="22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48"/>
        </w:trPr>
        <w:tc>
          <w:tcPr>
            <w:tcW w:w="360" w:type="dxa"/>
            <w:vAlign w:val="bottom"/>
            <w:tcBorders>
              <w:left w:val="single" w:sz="8" w:color="auto"/>
            </w:tcBorders>
            <w:gridSpan w:val="2"/>
            <w:vMerge w:val="continue"/>
          </w:tcPr>
          <w:p>
            <w:pPr>
              <w:spacing w:after="0"/>
              <w:rPr>
                <w:sz w:val="12"/>
                <w:szCs w:val="12"/>
                <w:color w:val="auto"/>
              </w:rPr>
            </w:pPr>
          </w:p>
        </w:tc>
        <w:tc>
          <w:tcPr>
            <w:tcW w:w="920" w:type="dxa"/>
            <w:vAlign w:val="bottom"/>
          </w:tcPr>
          <w:p>
            <w:pPr>
              <w:spacing w:after="0"/>
              <w:rPr>
                <w:sz w:val="12"/>
                <w:szCs w:val="12"/>
                <w:color w:val="auto"/>
              </w:rPr>
            </w:pPr>
          </w:p>
        </w:tc>
        <w:tc>
          <w:tcPr>
            <w:tcW w:w="4900" w:type="dxa"/>
            <w:vAlign w:val="bottom"/>
            <w:vMerge w:val="restart"/>
          </w:tcPr>
          <w:p>
            <w:pPr>
              <w:ind w:left="80"/>
              <w:spacing w:after="0"/>
              <w:rPr>
                <w:sz w:val="20"/>
                <w:szCs w:val="20"/>
                <w:color w:val="auto"/>
              </w:rPr>
            </w:pPr>
            <w:r>
              <w:rPr>
                <w:rFonts w:ascii="Arial" w:cs="Arial" w:eastAsia="Arial" w:hAnsi="Arial"/>
                <w:sz w:val="18"/>
                <w:szCs w:val="18"/>
                <w:color w:val="auto"/>
              </w:rPr>
              <w:t>contained in Exhibit 101)</w:t>
            </w: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2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40" w:type="dxa"/>
            <w:vAlign w:val="bottom"/>
            <w:tcBorders>
              <w:left w:val="single" w:sz="8" w:color="auto"/>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4900" w:type="dxa"/>
            <w:vAlign w:val="bottom"/>
            <w:tcBorders>
              <w:bottom w:val="single" w:sz="8" w:color="auto"/>
            </w:tcBorders>
            <w:vMerge w:val="continue"/>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50"/>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900" w:type="dxa"/>
            <w:vAlign w:val="bottom"/>
          </w:tcPr>
          <w:p>
            <w:pPr>
              <w:ind w:left="4260"/>
              <w:spacing w:after="0"/>
              <w:rPr>
                <w:sz w:val="20"/>
                <w:szCs w:val="20"/>
                <w:color w:val="auto"/>
              </w:rPr>
            </w:pPr>
            <w:r>
              <w:rPr>
                <w:rFonts w:ascii="Arial" w:cs="Arial" w:eastAsia="Arial" w:hAnsi="Arial"/>
                <w:sz w:val="18"/>
                <w:szCs w:val="18"/>
                <w:color w:val="auto"/>
              </w:rPr>
              <w:t>59</w:t>
            </w: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49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220" w:type="dxa"/>
            <w:vAlign w:val="bottom"/>
          </w:tcPr>
          <w:p>
            <w:pPr>
              <w:spacing w:after="0"/>
              <w:rPr>
                <w:sz w:val="17"/>
                <w:szCs w:val="17"/>
                <w:color w:val="auto"/>
              </w:rPr>
            </w:pPr>
          </w:p>
        </w:tc>
        <w:tc>
          <w:tcPr>
            <w:tcW w:w="6000" w:type="dxa"/>
            <w:vAlign w:val="bottom"/>
          </w:tcPr>
          <w:p>
            <w:pPr>
              <w:ind w:left="20"/>
              <w:spacing w:after="0"/>
              <w:rPr>
                <w:sz w:val="20"/>
                <w:szCs w:val="20"/>
                <w:color w:val="auto"/>
              </w:rPr>
            </w:pPr>
            <w:r>
              <w:rPr>
                <w:rFonts w:ascii="Arial" w:cs="Arial" w:eastAsia="Arial" w:hAnsi="Arial"/>
                <w:sz w:val="18"/>
                <w:szCs w:val="18"/>
                <w:color w:val="auto"/>
              </w:rPr>
              <w:t>FACTSET RESEARCH SYSTEMS INC.</w:t>
            </w:r>
          </w:p>
        </w:tc>
      </w:tr>
      <w:tr>
        <w:trPr>
          <w:trHeight w:val="230"/>
        </w:trPr>
        <w:tc>
          <w:tcPr>
            <w:tcW w:w="522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Arial" w:cs="Arial" w:eastAsia="Arial" w:hAnsi="Arial"/>
                <w:sz w:val="18"/>
                <w:szCs w:val="18"/>
                <w:color w:val="auto"/>
              </w:rPr>
              <w:t>(Registrant)</w:t>
            </w:r>
          </w:p>
        </w:tc>
      </w:tr>
      <w:tr>
        <w:trPr>
          <w:trHeight w:val="472"/>
        </w:trPr>
        <w:tc>
          <w:tcPr>
            <w:tcW w:w="5220" w:type="dxa"/>
            <w:vAlign w:val="bottom"/>
          </w:tcPr>
          <w:p>
            <w:pPr>
              <w:spacing w:after="0"/>
              <w:rPr>
                <w:sz w:val="20"/>
                <w:szCs w:val="20"/>
                <w:color w:val="auto"/>
              </w:rPr>
            </w:pPr>
            <w:r>
              <w:rPr>
                <w:rFonts w:ascii="Arial" w:cs="Arial" w:eastAsia="Arial" w:hAnsi="Arial"/>
                <w:sz w:val="18"/>
                <w:szCs w:val="18"/>
                <w:color w:val="auto"/>
              </w:rPr>
              <w:t>Date: July 3, 2023</w:t>
            </w:r>
          </w:p>
        </w:tc>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LINDA S. HUBER</w:t>
            </w:r>
          </w:p>
        </w:tc>
      </w:tr>
      <w:tr>
        <w:trPr>
          <w:trHeight w:val="224"/>
        </w:trPr>
        <w:tc>
          <w:tcPr>
            <w:tcW w:w="5220" w:type="dxa"/>
            <w:vAlign w:val="bottom"/>
          </w:tcPr>
          <w:p>
            <w:pPr>
              <w:spacing w:after="0"/>
              <w:rPr>
                <w:sz w:val="19"/>
                <w:szCs w:val="19"/>
                <w:color w:val="auto"/>
              </w:rPr>
            </w:pPr>
          </w:p>
        </w:tc>
        <w:tc>
          <w:tcPr>
            <w:tcW w:w="6000" w:type="dxa"/>
            <w:vAlign w:val="bottom"/>
          </w:tcPr>
          <w:p>
            <w:pPr>
              <w:ind w:left="20"/>
              <w:spacing w:after="0"/>
              <w:rPr>
                <w:sz w:val="20"/>
                <w:szCs w:val="20"/>
                <w:color w:val="auto"/>
              </w:rPr>
            </w:pPr>
            <w:r>
              <w:rPr>
                <w:rFonts w:ascii="Arial" w:cs="Arial" w:eastAsia="Arial" w:hAnsi="Arial"/>
                <w:sz w:val="18"/>
                <w:szCs w:val="18"/>
                <w:color w:val="auto"/>
              </w:rPr>
              <w:t>Linda S. Huber</w:t>
            </w:r>
          </w:p>
        </w:tc>
      </w:tr>
      <w:tr>
        <w:trPr>
          <w:trHeight w:val="241"/>
        </w:trPr>
        <w:tc>
          <w:tcPr>
            <w:tcW w:w="522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Arial" w:cs="Arial" w:eastAsia="Arial" w:hAnsi="Arial"/>
                <w:sz w:val="18"/>
                <w:szCs w:val="18"/>
                <w:color w:val="auto"/>
              </w:rPr>
              <w:t>Executive Vice President, Chief Financial Officer</w:t>
            </w:r>
          </w:p>
        </w:tc>
      </w:tr>
      <w:tr>
        <w:trPr>
          <w:trHeight w:val="230"/>
        </w:trPr>
        <w:tc>
          <w:tcPr>
            <w:tcW w:w="522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486"/>
        </w:trPr>
        <w:tc>
          <w:tcPr>
            <w:tcW w:w="5220" w:type="dxa"/>
            <w:vAlign w:val="bottom"/>
          </w:tcPr>
          <w:p>
            <w:pPr>
              <w:spacing w:after="0"/>
              <w:rPr>
                <w:sz w:val="24"/>
                <w:szCs w:val="24"/>
                <w:color w:val="auto"/>
              </w:rPr>
            </w:pPr>
          </w:p>
        </w:tc>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GREGORY T. MOSKOFF</w:t>
            </w:r>
          </w:p>
        </w:tc>
      </w:tr>
      <w:tr>
        <w:trPr>
          <w:trHeight w:val="224"/>
        </w:trPr>
        <w:tc>
          <w:tcPr>
            <w:tcW w:w="5220" w:type="dxa"/>
            <w:vAlign w:val="bottom"/>
          </w:tcPr>
          <w:p>
            <w:pPr>
              <w:spacing w:after="0"/>
              <w:rPr>
                <w:sz w:val="19"/>
                <w:szCs w:val="19"/>
                <w:color w:val="auto"/>
              </w:rPr>
            </w:pPr>
          </w:p>
        </w:tc>
        <w:tc>
          <w:tcPr>
            <w:tcW w:w="6000" w:type="dxa"/>
            <w:vAlign w:val="bottom"/>
          </w:tcPr>
          <w:p>
            <w:pPr>
              <w:ind w:left="20"/>
              <w:spacing w:after="0"/>
              <w:rPr>
                <w:sz w:val="20"/>
                <w:szCs w:val="20"/>
                <w:color w:val="auto"/>
              </w:rPr>
            </w:pPr>
            <w:r>
              <w:rPr>
                <w:rFonts w:ascii="Arial" w:cs="Arial" w:eastAsia="Arial" w:hAnsi="Arial"/>
                <w:sz w:val="18"/>
                <w:szCs w:val="18"/>
                <w:color w:val="auto"/>
              </w:rPr>
              <w:t>Gregory T. Moskoff</w:t>
            </w:r>
          </w:p>
        </w:tc>
      </w:tr>
      <w:tr>
        <w:trPr>
          <w:trHeight w:val="241"/>
        </w:trPr>
        <w:tc>
          <w:tcPr>
            <w:tcW w:w="522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Arial" w:cs="Arial" w:eastAsia="Arial" w:hAnsi="Arial"/>
                <w:sz w:val="18"/>
                <w:szCs w:val="18"/>
                <w:color w:val="auto"/>
              </w:rPr>
              <w:t>Managing Director, Controller and Chief Accounting Officer</w:t>
            </w:r>
          </w:p>
        </w:tc>
      </w:tr>
      <w:tr>
        <w:trPr>
          <w:trHeight w:val="230"/>
        </w:trPr>
        <w:tc>
          <w:tcPr>
            <w:tcW w:w="522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25"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ind w:left="340" w:right="2000"/>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EXCHANGE ACT RULE 13a-14(a)/15d-14(a) AS ADOPTED PURSUANT TO SECTION 302 OF 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F. Philip Snow, certify that:</w:t>
      </w:r>
    </w:p>
    <w:p>
      <w:pPr>
        <w:spacing w:after="0" w:line="185" w:lineRule="exact"/>
        <w:rPr>
          <w:sz w:val="20"/>
          <w:szCs w:val="20"/>
          <w:color w:val="auto"/>
        </w:rPr>
      </w:pPr>
    </w:p>
    <w:p>
      <w:pPr>
        <w:ind w:left="500" w:hanging="492"/>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FactSet Research Systems Inc.;</w:t>
      </w:r>
    </w:p>
    <w:p>
      <w:pPr>
        <w:spacing w:after="0" w:line="184"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980" w:hanging="486"/>
        <w:spacing w:after="0" w:line="308" w:lineRule="auto"/>
        <w:tabs>
          <w:tab w:leader="none" w:pos="980" w:val="left"/>
        </w:tabs>
        <w:numPr>
          <w:ilvl w:val="1"/>
          <w:numId w:val="3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05" w:lineRule="exact"/>
        <w:rPr>
          <w:rFonts w:ascii="Arial" w:cs="Arial" w:eastAsia="Arial" w:hAnsi="Arial"/>
          <w:sz w:val="17"/>
          <w:szCs w:val="17"/>
          <w:color w:val="auto"/>
        </w:rPr>
      </w:pPr>
    </w:p>
    <w:p>
      <w:pPr>
        <w:ind w:left="980" w:hanging="486"/>
        <w:spacing w:after="0" w:line="342" w:lineRule="auto"/>
        <w:tabs>
          <w:tab w:leader="none" w:pos="980" w:val="left"/>
        </w:tabs>
        <w:numPr>
          <w:ilvl w:val="1"/>
          <w:numId w:val="3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96" w:lineRule="exact"/>
        <w:rPr>
          <w:rFonts w:ascii="Arial" w:cs="Arial" w:eastAsia="Arial" w:hAnsi="Arial"/>
          <w:sz w:val="16"/>
          <w:szCs w:val="16"/>
          <w:color w:val="auto"/>
        </w:rPr>
      </w:pPr>
    </w:p>
    <w:p>
      <w:pPr>
        <w:ind w:left="500" w:hanging="492"/>
        <w:spacing w:after="0" w:line="308" w:lineRule="auto"/>
        <w:tabs>
          <w:tab w:leader="none" w:pos="5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980" w:hanging="486"/>
        <w:spacing w:after="0" w:line="308" w:lineRule="auto"/>
        <w:tabs>
          <w:tab w:leader="none" w:pos="980" w:val="left"/>
        </w:tabs>
        <w:numPr>
          <w:ilvl w:val="1"/>
          <w:numId w:val="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left="980" w:hanging="486"/>
        <w:spacing w:after="0" w:line="277" w:lineRule="auto"/>
        <w:tabs>
          <w:tab w:leader="none" w:pos="9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any significant role in the registrant’s internal control over financial reporting.</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Date: July 3, 2023</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F. PHILIP SNOW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14605</wp:posOffset>
            </wp:positionV>
            <wp:extent cx="34544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 Philip Snow</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ind w:left="340" w:right="2000"/>
        <w:spacing w:after="0" w:line="266" w:lineRule="auto"/>
        <w:rPr>
          <w:sz w:val="20"/>
          <w:szCs w:val="20"/>
          <w:color w:val="auto"/>
        </w:rPr>
      </w:pPr>
      <w:r>
        <w:rPr>
          <w:rFonts w:ascii="Arial" w:cs="Arial" w:eastAsia="Arial" w:hAnsi="Arial"/>
          <w:sz w:val="18"/>
          <w:szCs w:val="18"/>
          <w:b w:val="1"/>
          <w:bCs w:val="1"/>
          <w:color w:val="auto"/>
        </w:rPr>
        <w:t>CERTIFICATION OF PRINCIPAL FINANCIAL OFFICER PURSUANT TO EXCHANGE ACT RULE 13a-14(a)/15d-14(a) AS ADOPTED PURSUANT TO SECTION 302 OF THE SARBANES-OXLEY ACT OF 2002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 Linda S. Huber, certify that:</w:t>
      </w:r>
    </w:p>
    <w:p>
      <w:pPr>
        <w:spacing w:after="0" w:line="185" w:lineRule="exact"/>
        <w:rPr>
          <w:sz w:val="20"/>
          <w:szCs w:val="20"/>
          <w:color w:val="auto"/>
        </w:rPr>
      </w:pP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FactSet Research Systems Inc.;</w:t>
      </w:r>
    </w:p>
    <w:p>
      <w:pPr>
        <w:spacing w:after="0" w:line="198"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980" w:hanging="486"/>
        <w:spacing w:after="0" w:line="308" w:lineRule="auto"/>
        <w:tabs>
          <w:tab w:leader="none" w:pos="980" w:val="left"/>
        </w:tabs>
        <w:numPr>
          <w:ilvl w:val="1"/>
          <w:numId w:val="3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19" w:lineRule="exact"/>
        <w:rPr>
          <w:rFonts w:ascii="Arial" w:cs="Arial" w:eastAsia="Arial" w:hAnsi="Arial"/>
          <w:sz w:val="17"/>
          <w:szCs w:val="17"/>
          <w:color w:val="auto"/>
        </w:rPr>
      </w:pPr>
    </w:p>
    <w:p>
      <w:pPr>
        <w:ind w:left="980" w:hanging="486"/>
        <w:spacing w:after="0" w:line="342" w:lineRule="auto"/>
        <w:tabs>
          <w:tab w:leader="none" w:pos="980" w:val="left"/>
        </w:tabs>
        <w:numPr>
          <w:ilvl w:val="1"/>
          <w:numId w:val="3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83" w:lineRule="exact"/>
        <w:rPr>
          <w:rFonts w:ascii="Arial" w:cs="Arial" w:eastAsia="Arial" w:hAnsi="Arial"/>
          <w:sz w:val="16"/>
          <w:szCs w:val="16"/>
          <w:color w:val="auto"/>
        </w:rPr>
      </w:pPr>
    </w:p>
    <w:p>
      <w:pPr>
        <w:ind w:left="500" w:hanging="492"/>
        <w:spacing w:after="0" w:line="308" w:lineRule="auto"/>
        <w:tabs>
          <w:tab w:leader="none" w:pos="5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980" w:hanging="486"/>
        <w:spacing w:after="0" w:line="308" w:lineRule="auto"/>
        <w:tabs>
          <w:tab w:leader="none" w:pos="980" w:val="left"/>
        </w:tabs>
        <w:numPr>
          <w:ilvl w:val="1"/>
          <w:numId w:val="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7"/>
          <w:szCs w:val="17"/>
          <w:color w:val="auto"/>
        </w:rPr>
      </w:pPr>
    </w:p>
    <w:p>
      <w:pPr>
        <w:ind w:left="980" w:hanging="486"/>
        <w:spacing w:after="0" w:line="277" w:lineRule="auto"/>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any significant role in the registrant’s internal control over financial reporting.</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 July 3, 2023</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LINDA S. HUBER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23495</wp:posOffset>
            </wp:positionV>
            <wp:extent cx="34544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Linda S. Huber</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Executive Vice President, Chief Financial Officer</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066"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18 U.S.C. SECTION 1350, AS ADOPTED PURSUANT TO SECTION 906 OF THE SARBANES-OXLEY ACT OF 2002</w:t>
      </w:r>
    </w:p>
    <w:p>
      <w:pPr>
        <w:spacing w:after="0" w:line="15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Quarterly Report of FactSet Research Systems Inc. (the “Company”) on Form 10-Q for the quarter ended May 31, 2023, as filed with the Securities and Exchange Commission on the date hereof (the “Report”), I, F. Philip Snow, do hereby certify, pursuant to 18 U.S.C. §1350, as adopted pursuant to §906 of the Sarbanes-Oxley Act of 2002, that:</w:t>
      </w:r>
    </w:p>
    <w:p>
      <w:pPr>
        <w:spacing w:after="0" w:line="143" w:lineRule="exact"/>
        <w:rPr>
          <w:sz w:val="20"/>
          <w:szCs w:val="20"/>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F. PHILIP SNOW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14605</wp:posOffset>
            </wp:positionV>
            <wp:extent cx="34544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F.Philip Snow</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Chief Executive Officer</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July 3, 2023</w:t>
      </w:r>
    </w:p>
    <w:p>
      <w:pPr>
        <w:sectPr>
          <w:pgSz w:w="11900" w:h="16838" w:orient="portrait"/>
          <w:cols w:equalWidth="0" w:num="1">
            <w:col w:w="11240"/>
          </w:cols>
          <w:pgMar w:left="320" w:top="891"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Quarterly Report of FactSet Research Systems Inc. (the “Company”) on Form 10-Q for the quarter ended May 31, 2023, as filed with the Securities and Exchange Commission on the date hereof (the “Report”), I, Linda S. Huber, do hereby certify, pursuant to 18 U.S.C. §1350, as adopted pursuant to §906 of the Sarbanes-Oxley Act of 2002, that:</w:t>
      </w:r>
    </w:p>
    <w:p>
      <w:pPr>
        <w:spacing w:after="0" w:line="143" w:lineRule="exact"/>
        <w:rPr>
          <w:sz w:val="20"/>
          <w:szCs w:val="20"/>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 LINDA S. HUBER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34544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Linda S. Huber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Executive Vice President, Chief Financial Officer</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(Principal Financial Officer)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July 3, 2023</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x"/>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lvl w:ilvl="1">
      <w:lvlJc w:val="left"/>
      <w:lvlText w:val="◦"/>
      <w:numFmt w:val="bullet"/>
      <w:start w:val="1"/>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1"/>
      <w:numFmt w:val="decimal"/>
      <w:start w:val="1"/>
    </w:lvl>
    <w:lvl w:ilvl="1">
      <w:lvlJc w:val="left"/>
      <w:lvlText w:val="(%2)"/>
      <w:numFmt w:val="decimal"/>
      <w:start w:val="1"/>
    </w:lvl>
  </w:abstractNum>
  <w:abstractNum w:abstractNumId="10">
    <w:nsid w:val="75A2A8D4"/>
    <w:multiLevelType w:val="hybridMultilevel"/>
    <w:lvl w:ilvl="0">
      <w:lvlJc w:val="left"/>
      <w:lvlText w:val="%1."/>
      <w:numFmt w:val="decimal"/>
      <w:start w:val="15"/>
    </w:lvl>
    <w:lvl w:ilvl="1">
      <w:lvlJc w:val="left"/>
      <w:lvlText w:val="%2"/>
      <w:numFmt w:val="decimal"/>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1)"/>
      <w:numFmt w:val="decimal"/>
      <w:start w:val="1"/>
    </w:lvl>
  </w:abstractNum>
  <w:abstractNum w:abstractNumId="13">
    <w:nsid w:val="4353D0CD"/>
    <w:multiLevelType w:val="hybridMultilevel"/>
    <w:lvl w:ilvl="0">
      <w:lvlJc w:val="left"/>
      <w:lvlText w:val="(%1)"/>
      <w:numFmt w:val="decimal"/>
      <w:start w:val="1"/>
    </w:lvl>
  </w:abstractNum>
  <w:abstractNum w:abstractNumId="14">
    <w:nsid w:val="B03E0C6"/>
    <w:multiLevelType w:val="hybridMultilevel"/>
    <w:lvl w:ilvl="0">
      <w:lvlJc w:val="left"/>
      <w:lvlText w:val="(%1)"/>
      <w:numFmt w:val="decimal"/>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amp;"/>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lvl w:ilvl="1">
      <w:lvlJc w:val="left"/>
      <w:lvlText w:val="◦"/>
      <w:numFmt w:val="bullet"/>
      <w:start w:val="1"/>
    </w:lvl>
  </w:abstractNum>
  <w:abstractNum w:abstractNumId="19">
    <w:nsid w:val="836C40E"/>
    <w:multiLevelType w:val="hybridMultilevel"/>
    <w:lvl w:ilvl="0">
      <w:lvlJc w:val="left"/>
      <w:lvlText w:val="\endash "/>
      <w:numFmt w:val="bullet"/>
      <w:start w:val="1"/>
    </w:lvl>
  </w:abstractNum>
  <w:abstractNum w:abstractNumId="20">
    <w:nsid w:val="2901D82"/>
    <w:multiLevelType w:val="hybridMultilevel"/>
    <w:lvl w:ilvl="0">
      <w:lvlJc w:val="left"/>
      <w:lvlText w:val="(%1)"/>
      <w:numFmt w:val="decimal"/>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1)"/>
      <w:numFmt w:val="decimal"/>
      <w:start w:val="1"/>
    </w:lvl>
  </w:abstractNum>
  <w:abstractNum w:abstractNumId="29">
    <w:nsid w:val="3006C83E"/>
    <w:multiLevelType w:val="hybridMultilevel"/>
    <w:lvl w:ilvl="0">
      <w:lvlJc w:val="left"/>
      <w:lvlText w:val="(%1)"/>
      <w:numFmt w:val="decimal"/>
      <w:start w:val="1"/>
    </w:lvl>
  </w:abstractNum>
  <w:abstractNum w:abstractNumId="30">
    <w:nsid w:val="614FD4A1"/>
    <w:multiLevelType w:val="hybridMultilevel"/>
    <w:lvl w:ilvl="0">
      <w:lvlJc w:val="left"/>
      <w:lvlText w:val="(%1)"/>
      <w:numFmt w:val="decimal"/>
      <w:start w:val="5"/>
    </w:lvl>
  </w:abstractNum>
  <w:abstractNum w:abstractNumId="31">
    <w:nsid w:val="419AC241"/>
    <w:multiLevelType w:val="hybridMultilevel"/>
    <w:lvl w:ilvl="0">
      <w:lvlJc w:val="left"/>
      <w:lvlText w:val="(%1)"/>
      <w:numFmt w:val="lowerRoman"/>
      <w:start w:val="1"/>
    </w:lvl>
  </w:abstractNum>
  <w:abstractNum w:abstractNumId="32">
    <w:nsid w:val="5577F8E1"/>
    <w:multiLevelType w:val="hybridMultilevel"/>
    <w:lvl w:ilvl="0">
      <w:lvlJc w:val="left"/>
      <w:lvlText w:val="(%1)"/>
      <w:numFmt w:val="decimal"/>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2023-07-03T06:56:00Z</dcterms:created>
  <dcterms:modified xsi:type="dcterms:W3CDTF">2023-07-03T06:56:00Z</dcterms:modified>
</cp:coreProperties>
</file>