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526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438785</wp:posOffset>
            </wp:positionV>
            <wp:extent cx="71526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1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33" w:lineRule="exact"/>
        <w:rPr>
          <w:sz w:val="24"/>
          <w:szCs w:val="24"/>
          <w:color w:val="auto"/>
        </w:rPr>
      </w:pPr>
    </w:p>
    <w:p>
      <w:pPr>
        <w:ind w:left="460" w:hanging="453"/>
        <w:spacing w:after="0"/>
        <w:tabs>
          <w:tab w:leader="none" w:pos="46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 the quarterly period ended May 31, 2024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5" w:lineRule="exact"/>
        <w:rPr>
          <w:sz w:val="24"/>
          <w:szCs w:val="24"/>
          <w:color w:val="auto"/>
        </w:rPr>
      </w:pPr>
    </w:p>
    <w:p>
      <w:pPr>
        <w:ind w:left="4160" w:right="3020" w:hanging="4153"/>
        <w:spacing w:after="0" w:line="431" w:lineRule="auto"/>
        <w:tabs>
          <w:tab w:leader="none" w:pos="455"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 xml:space="preserve">TRANSITION REPORT PURSUANT TO SECTION 13 OR 15(d) OF THE SECURITIES EXCHANGE ACT OF 1934 </w:t>
      </w:r>
      <w:r>
        <w:rPr>
          <w:rFonts w:ascii="Times New Roman" w:cs="Times New Roman" w:eastAsia="Times New Roman" w:hAnsi="Times New Roman"/>
          <w:sz w:val="15"/>
          <w:szCs w:val="15"/>
          <w:color w:val="auto"/>
        </w:rPr>
        <w:t>For the transition period from ______to 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1-11869</w:t>
      </w:r>
    </w:p>
    <w:p>
      <w:pPr>
        <w:spacing w:after="0" w:line="2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jc w:val="center"/>
        <w:spacing w:after="0"/>
        <w:rPr>
          <w:sz w:val="20"/>
          <w:szCs w:val="20"/>
          <w:color w:val="auto"/>
        </w:rPr>
      </w:pPr>
      <w:r>
        <w:rPr>
          <w:rFonts w:ascii="Times New Roman" w:cs="Times New Roman" w:eastAsia="Times New Roman" w:hAnsi="Times New Roman"/>
          <w:sz w:val="24"/>
          <w:szCs w:val="24"/>
          <w:b w:val="1"/>
          <w:bCs w:val="1"/>
          <w:color w:val="auto"/>
        </w:rPr>
        <w:t>FACTSET RESEARCH SYSTEMS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69850</wp:posOffset>
            </wp:positionV>
            <wp:extent cx="1202055" cy="218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2055" cy="21844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460" w:type="dxa"/>
        <w:tblCellMar>
          <w:top w:w="0" w:type="dxa"/>
          <w:left w:w="0" w:type="dxa"/>
          <w:bottom w:w="0" w:type="dxa"/>
          <w:right w:w="0" w:type="dxa"/>
        </w:tblCellMar>
      </w:tblPr>
      <w:tr>
        <w:trPr>
          <w:trHeight w:val="179"/>
        </w:trPr>
        <w:tc>
          <w:tcPr>
            <w:tcW w:w="6320" w:type="dxa"/>
            <w:vAlign w:val="bottom"/>
          </w:tcPr>
          <w:p>
            <w:pPr>
              <w:jc w:val="right"/>
              <w:ind w:right="385"/>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tc>
        <w:tc>
          <w:tcPr>
            <w:tcW w:w="1220" w:type="dxa"/>
            <w:vAlign w:val="bottom"/>
          </w:tcPr>
          <w:p>
            <w:pPr>
              <w:spacing w:after="0"/>
              <w:rPr>
                <w:sz w:val="15"/>
                <w:szCs w:val="15"/>
                <w:color w:val="auto"/>
              </w:rPr>
            </w:pPr>
          </w:p>
        </w:tc>
      </w:tr>
      <w:tr>
        <w:trPr>
          <w:trHeight w:val="219"/>
        </w:trPr>
        <w:tc>
          <w:tcPr>
            <w:tcW w:w="6320" w:type="dxa"/>
            <w:vAlign w:val="bottom"/>
          </w:tcPr>
          <w:p>
            <w:pPr>
              <w:jc w:val="center"/>
              <w:ind w:right="3585"/>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13-3362547</w:t>
            </w:r>
          </w:p>
        </w:tc>
      </w:tr>
      <w:tr>
        <w:trPr>
          <w:trHeight w:val="152"/>
        </w:trPr>
        <w:tc>
          <w:tcPr>
            <w:tcW w:w="6320" w:type="dxa"/>
            <w:vAlign w:val="bottom"/>
          </w:tcPr>
          <w:p>
            <w:pPr>
              <w:jc w:val="center"/>
              <w:ind w:right="3585"/>
              <w:spacing w:after="0" w:line="152" w:lineRule="exact"/>
              <w:rPr>
                <w:sz w:val="20"/>
                <w:szCs w:val="20"/>
                <w:color w:val="auto"/>
              </w:rPr>
            </w:pPr>
            <w:r>
              <w:rPr>
                <w:rFonts w:ascii="Times New Roman" w:cs="Times New Roman" w:eastAsia="Times New Roman" w:hAnsi="Times New Roman"/>
                <w:sz w:val="15"/>
                <w:szCs w:val="15"/>
                <w:color w:val="auto"/>
              </w:rPr>
              <w:t>(State or other jurisdiction of</w:t>
            </w:r>
          </w:p>
        </w:tc>
        <w:tc>
          <w:tcPr>
            <w:tcW w:w="1220" w:type="dxa"/>
            <w:vAlign w:val="bottom"/>
          </w:tcPr>
          <w:p>
            <w:pPr>
              <w:jc w:val="center"/>
              <w:ind w:left="4"/>
              <w:spacing w:after="0" w:line="152" w:lineRule="exact"/>
              <w:rPr>
                <w:sz w:val="20"/>
                <w:szCs w:val="20"/>
                <w:color w:val="auto"/>
              </w:rPr>
            </w:pPr>
            <w:r>
              <w:rPr>
                <w:rFonts w:ascii="Times New Roman" w:cs="Times New Roman" w:eastAsia="Times New Roman" w:hAnsi="Times New Roman"/>
                <w:sz w:val="15"/>
                <w:szCs w:val="15"/>
                <w:color w:val="auto"/>
              </w:rPr>
              <w:t>(I.R.S. Employer</w:t>
            </w:r>
          </w:p>
        </w:tc>
      </w:tr>
      <w:tr>
        <w:trPr>
          <w:trHeight w:val="198"/>
        </w:trPr>
        <w:tc>
          <w:tcPr>
            <w:tcW w:w="6320" w:type="dxa"/>
            <w:vAlign w:val="bottom"/>
          </w:tcPr>
          <w:p>
            <w:pPr>
              <w:jc w:val="center"/>
              <w:ind w:right="3565"/>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122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307"/>
        </w:trPr>
        <w:tc>
          <w:tcPr>
            <w:tcW w:w="6320" w:type="dxa"/>
            <w:vAlign w:val="bottom"/>
          </w:tcPr>
          <w:p>
            <w:pPr>
              <w:jc w:val="center"/>
              <w:ind w:right="3565"/>
              <w:spacing w:after="0"/>
              <w:rPr>
                <w:sz w:val="20"/>
                <w:szCs w:val="20"/>
                <w:color w:val="auto"/>
              </w:rPr>
            </w:pPr>
            <w:r>
              <w:rPr>
                <w:rFonts w:ascii="Times New Roman" w:cs="Times New Roman" w:eastAsia="Times New Roman" w:hAnsi="Times New Roman"/>
                <w:sz w:val="15"/>
                <w:szCs w:val="15"/>
                <w:b w:val="1"/>
                <w:bCs w:val="1"/>
                <w:color w:val="auto"/>
              </w:rPr>
              <w:t>45 Glover Avenue, Norwalk, Connecticut</w:t>
            </w:r>
          </w:p>
        </w:tc>
        <w:tc>
          <w:tcPr>
            <w:tcW w:w="122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06850</w:t>
            </w:r>
          </w:p>
        </w:tc>
      </w:tr>
      <w:tr>
        <w:trPr>
          <w:trHeight w:val="218"/>
        </w:trPr>
        <w:tc>
          <w:tcPr>
            <w:tcW w:w="6320" w:type="dxa"/>
            <w:vAlign w:val="bottom"/>
          </w:tcPr>
          <w:p>
            <w:pPr>
              <w:jc w:val="center"/>
              <w:ind w:right="3585"/>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122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99"/>
              </w:rPr>
              <w:t>(Zip Code)</w:t>
            </w:r>
          </w:p>
        </w:tc>
      </w:tr>
      <w:tr>
        <w:trPr>
          <w:trHeight w:val="264"/>
        </w:trPr>
        <w:tc>
          <w:tcPr>
            <w:tcW w:w="6320" w:type="dxa"/>
            <w:vAlign w:val="bottom"/>
          </w:tcPr>
          <w:p>
            <w:pPr>
              <w:jc w:val="center"/>
              <w:ind w:left="1925"/>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(203) 810-1000</w:t>
            </w:r>
          </w:p>
        </w:tc>
        <w:tc>
          <w:tcPr>
            <w:tcW w:w="1220" w:type="dxa"/>
            <w:vAlign w:val="bottom"/>
          </w:tcPr>
          <w:p>
            <w:pPr>
              <w:spacing w:after="0"/>
              <w:rPr>
                <w:sz w:val="22"/>
                <w:szCs w:val="22"/>
                <w:color w:val="auto"/>
              </w:rPr>
            </w:pP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 None</w:t>
      </w:r>
    </w:p>
    <w:p>
      <w:pPr>
        <w:spacing w:after="0" w:line="8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Title of each class</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Trading Symbols(s)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201"/>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2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FDS</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New York Stock Exchange LLC</w:t>
            </w:r>
          </w:p>
        </w:tc>
        <w:tc>
          <w:tcPr>
            <w:tcW w:w="0" w:type="dxa"/>
            <w:vAlign w:val="bottom"/>
          </w:tcPr>
          <w:p>
            <w:pPr>
              <w:spacing w:after="0"/>
              <w:rPr>
                <w:sz w:val="1"/>
                <w:szCs w:val="1"/>
                <w:color w:val="auto"/>
              </w:rPr>
            </w:pPr>
          </w:p>
        </w:tc>
      </w:tr>
      <w:tr>
        <w:trPr>
          <w:trHeight w:val="92"/>
        </w:trPr>
        <w:tc>
          <w:tcPr>
            <w:tcW w:w="3240" w:type="dxa"/>
            <w:vAlign w:val="bottom"/>
            <w:tcBorders>
              <w:left w:val="single" w:sz="8" w:color="auto"/>
              <w:right w:val="single" w:sz="8" w:color="auto"/>
            </w:tcBorders>
            <w:vMerge w:val="continue"/>
          </w:tcPr>
          <w:p>
            <w:pPr>
              <w:spacing w:after="0"/>
              <w:rPr>
                <w:sz w:val="7"/>
                <w:szCs w:val="7"/>
                <w:color w:val="auto"/>
              </w:rPr>
            </w:pPr>
          </w:p>
        </w:tc>
        <w:tc>
          <w:tcPr>
            <w:tcW w:w="2980" w:type="dxa"/>
            <w:vAlign w:val="bottom"/>
            <w:tcBorders>
              <w:right w:val="single" w:sz="8" w:color="auto"/>
            </w:tcBorders>
            <w:vMerge w:val="continue"/>
          </w:tcPr>
          <w:p>
            <w:pPr>
              <w:spacing w:after="0"/>
              <w:rPr>
                <w:sz w:val="7"/>
                <w:szCs w:val="7"/>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The Nasdaq Stock Market</w:t>
            </w:r>
          </w:p>
        </w:tc>
        <w:tc>
          <w:tcPr>
            <w:tcW w:w="0" w:type="dxa"/>
            <w:vAlign w:val="bottom"/>
          </w:tcPr>
          <w:p>
            <w:pPr>
              <w:spacing w:after="0"/>
              <w:rPr>
                <w:sz w:val="1"/>
                <w:szCs w:val="1"/>
                <w:color w:val="auto"/>
              </w:rPr>
            </w:pPr>
          </w:p>
        </w:tc>
      </w:tr>
      <w:tr>
        <w:trPr>
          <w:trHeight w:val="120"/>
        </w:trPr>
        <w:tc>
          <w:tcPr>
            <w:tcW w:w="3240" w:type="dxa"/>
            <w:vAlign w:val="bottom"/>
            <w:tcBorders>
              <w:left w:val="single" w:sz="8" w:color="auto"/>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spacing w:after="0"/>
              <w:rPr>
                <w:sz w:val="10"/>
                <w:szCs w:val="10"/>
                <w:color w:val="auto"/>
              </w:rPr>
            </w:pPr>
          </w:p>
        </w:tc>
        <w:tc>
          <w:tcPr>
            <w:tcW w:w="4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1" w:lineRule="exact"/>
        <w:rPr>
          <w:sz w:val="24"/>
          <w:szCs w:val="24"/>
          <w:color w:val="auto"/>
        </w:rPr>
      </w:pPr>
    </w:p>
    <w:p>
      <w:pPr>
        <w:ind w:right="20"/>
        <w:spacing w:after="0" w:line="20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5"/>
          <w:szCs w:val="15"/>
          <w:b w:val="1"/>
          <w:bCs w:val="1"/>
          <w:color w:val="auto"/>
        </w:rPr>
        <w:t>Yes</w:t>
      </w:r>
      <w:r>
        <w:rPr>
          <w:rFonts w:ascii="Times New Roman" w:cs="Times New Roman" w:eastAsia="Times New Roman" w:hAnsi="Times New Roman"/>
          <w:sz w:val="15"/>
          <w:szCs w:val="15"/>
          <w:color w:val="auto"/>
        </w:rPr>
        <w:t xml:space="preserve">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w:t>
      </w: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highlight w:val="black"/>
        </w:rPr>
        <w:t>☐</w:t>
      </w:r>
    </w:p>
    <w:p>
      <w:pPr>
        <w:spacing w:after="0" w:line="53" w:lineRule="exact"/>
        <w:rPr>
          <w:sz w:val="24"/>
          <w:szCs w:val="24"/>
          <w:color w:val="auto"/>
        </w:rPr>
      </w:pPr>
    </w:p>
    <w:p>
      <w:pPr>
        <w:spacing w:after="0" w:line="20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5"/>
          <w:szCs w:val="15"/>
          <w:b w:val="1"/>
          <w:bCs w:val="1"/>
          <w:color w:val="auto"/>
        </w:rPr>
        <w:t>Yes</w:t>
      </w:r>
      <w:r>
        <w:rPr>
          <w:rFonts w:ascii="Times New Roman" w:cs="Times New Roman" w:eastAsia="Times New Roman" w:hAnsi="Times New Roman"/>
          <w:sz w:val="15"/>
          <w:szCs w:val="15"/>
          <w:color w:val="auto"/>
        </w:rPr>
        <w:t xml:space="preserve">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w:t>
      </w: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highlight w:val="black"/>
        </w:rPr>
        <w:t>☐</w:t>
      </w:r>
    </w:p>
    <w:p>
      <w:pPr>
        <w:spacing w:after="0" w:line="53" w:lineRule="exact"/>
        <w:rPr>
          <w:sz w:val="24"/>
          <w:szCs w:val="24"/>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Large accelerated filer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b w:val="1"/>
          <w:bCs w:val="1"/>
          <w:color w:val="auto"/>
        </w:rPr>
        <w:t xml:space="preserve"> Accelerated filer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b w:val="1"/>
          <w:bCs w:val="1"/>
          <w:color w:val="auto"/>
        </w:rPr>
        <w:t xml:space="preserve"> Non-accelerated filer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b w:val="1"/>
          <w:bCs w:val="1"/>
          <w:color w:val="auto"/>
        </w:rPr>
        <w:t xml:space="preserve"> Smaller reporting company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b w:val="1"/>
          <w:bCs w:val="1"/>
          <w:color w:val="auto"/>
        </w:rPr>
        <w:t xml:space="preserve"> Emerging growth company </w:t>
      </w:r>
      <w:r>
        <w:rPr>
          <w:rFonts w:ascii="MS PGothic" w:cs="MS PGothic" w:eastAsia="MS PGothic" w:hAnsi="MS PGothic"/>
          <w:sz w:val="15"/>
          <w:szCs w:val="15"/>
          <w:color w:val="auto"/>
          <w:highlight w:val="black"/>
        </w:rPr>
        <w:t>☐</w:t>
      </w:r>
    </w:p>
    <w:p>
      <w:pPr>
        <w:spacing w:after="0" w:line="88" w:lineRule="exact"/>
        <w:rPr>
          <w:sz w:val="24"/>
          <w:szCs w:val="24"/>
          <w:color w:val="auto"/>
        </w:rPr>
      </w:pPr>
    </w:p>
    <w:p>
      <w:pPr>
        <w:spacing w:after="0" w:line="20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2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b w:val="1"/>
          <w:bCs w:val="1"/>
          <w:color w:val="auto"/>
        </w:rPr>
        <w:t xml:space="preserve"> No </w:t>
      </w:r>
      <w:r>
        <w:rPr>
          <w:rFonts w:ascii="Wingdings" w:cs="Wingdings" w:eastAsia="Wingdings" w:hAnsi="Wingdings"/>
          <w:sz w:val="15"/>
          <w:szCs w:val="15"/>
          <w:b w:val="1"/>
          <w:bCs w:val="1"/>
          <w:color w:val="auto"/>
        </w:rPr>
        <w:t>x</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issuer's classes of common stock, as of the latest practicable date: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outstanding of the registrant’s common stock, $.01 par value, as of June 27, 2024 was 38,039,989.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506095</wp:posOffset>
            </wp:positionV>
            <wp:extent cx="717804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w w:val="98"/>
              </w:rPr>
              <w:t>Table of Contents</w:t>
            </w:r>
          </w:p>
        </w:tc>
        <w:tc>
          <w:tcPr>
            <w:tcW w:w="8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6"/>
        </w:trPr>
        <w:tc>
          <w:tcPr>
            <w:tcW w:w="98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FactSet Research Systems Inc.</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Form 10-Q</w:t>
            </w:r>
          </w:p>
        </w:tc>
        <w:tc>
          <w:tcPr>
            <w:tcW w:w="26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8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For the Quarter Ended May 31, 2024</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Index</w:t>
            </w:r>
          </w:p>
        </w:tc>
        <w:tc>
          <w:tcPr>
            <w:tcW w:w="2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9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38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Page</w:t>
            </w:r>
          </w:p>
        </w:tc>
        <w:tc>
          <w:tcPr>
            <w:tcW w:w="0" w:type="dxa"/>
            <w:vAlign w:val="bottom"/>
          </w:tcPr>
          <w:p>
            <w:pPr>
              <w:spacing w:after="0"/>
              <w:rPr>
                <w:sz w:val="1"/>
                <w:szCs w:val="1"/>
                <w:color w:val="auto"/>
              </w:rPr>
            </w:pPr>
          </w:p>
        </w:tc>
      </w:tr>
      <w:tr>
        <w:trPr>
          <w:trHeight w:val="195"/>
        </w:trPr>
        <w:tc>
          <w:tcPr>
            <w:tcW w:w="820" w:type="dxa"/>
            <w:vAlign w:val="bottom"/>
            <w:vMerge w:val="continue"/>
          </w:tcPr>
          <w:p>
            <w:pPr>
              <w:spacing w:after="0"/>
              <w:rPr>
                <w:sz w:val="16"/>
                <w:szCs w:val="16"/>
                <w:color w:val="auto"/>
              </w:rPr>
            </w:pPr>
          </w:p>
        </w:tc>
        <w:tc>
          <w:tcPr>
            <w:tcW w:w="9060" w:type="dxa"/>
            <w:vAlign w:val="bottom"/>
            <w:gridSpan w:val="2"/>
            <w:vMerge w:val="continue"/>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w:t>
            </w: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Financial Statements</w:t>
            </w: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Consolidated Statements of Income for the three and nine months ended May 31, 2024 and May 31, 2023</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16"/>
                <w:szCs w:val="16"/>
                <w:color w:val="auto"/>
              </w:rPr>
            </w:pP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Consolidated Statements of Comprehensive Income for the three and nine months ended May 31, 2024 and May 31, 2023</w:t>
            </w:r>
          </w:p>
        </w:tc>
        <w:tc>
          <w:tcPr>
            <w:tcW w:w="1380" w:type="dxa"/>
            <w:vAlign w:val="bottom"/>
            <w:shd w:val="clear" w:color="auto" w:fill="CCEEFF"/>
          </w:tcPr>
          <w:p>
            <w:pPr>
              <w:jc w:val="center"/>
              <w:ind w:left="704"/>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Consolidated Balance Sheets at May 31, 2024 and August 31, 2023</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16"/>
                <w:szCs w:val="16"/>
                <w:color w:val="auto"/>
              </w:rPr>
            </w:pP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Consolidated Statements of Cash Flows for the nine months ended May 31, 2024 and May 31, 2023</w:t>
            </w:r>
          </w:p>
        </w:tc>
        <w:tc>
          <w:tcPr>
            <w:tcW w:w="1380" w:type="dxa"/>
            <w:vAlign w:val="bottom"/>
            <w:shd w:val="clear" w:color="auto" w:fill="CCEEFF"/>
          </w:tcPr>
          <w:p>
            <w:pPr>
              <w:jc w:val="center"/>
              <w:ind w:left="704"/>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Consolidated Statements of Changes in Stockholders’ Equity for the three and nine months ended May 31, 2024 and May 31, 2023</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16"/>
                <w:szCs w:val="16"/>
                <w:color w:val="auto"/>
              </w:rPr>
            </w:pP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Notes to the Consolidated Financial Statements</w:t>
            </w:r>
          </w:p>
        </w:tc>
        <w:tc>
          <w:tcPr>
            <w:tcW w:w="1380" w:type="dxa"/>
            <w:vAlign w:val="bottom"/>
            <w:shd w:val="clear" w:color="auto" w:fill="CCEEFF"/>
          </w:tcPr>
          <w:p>
            <w:pPr>
              <w:jc w:val="center"/>
              <w:ind w:left="704"/>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3.</w:t>
            </w: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Quantitative and Qualitative Disclosures About Market Risk</w:t>
            </w:r>
          </w:p>
        </w:tc>
        <w:tc>
          <w:tcPr>
            <w:tcW w:w="1380" w:type="dxa"/>
            <w:vAlign w:val="bottom"/>
            <w:shd w:val="clear" w:color="auto" w:fill="CCEEFF"/>
          </w:tcPr>
          <w:p>
            <w:pPr>
              <w:jc w:val="center"/>
              <w:ind w:left="704"/>
              <w:spacing w:after="0"/>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Controls and Procedures</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Part II</w:t>
            </w: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Legal Proceedings</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1A.</w:t>
            </w: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Risk Factors</w:t>
            </w:r>
          </w:p>
        </w:tc>
        <w:tc>
          <w:tcPr>
            <w:tcW w:w="1380" w:type="dxa"/>
            <w:vAlign w:val="bottom"/>
            <w:shd w:val="clear" w:color="auto" w:fill="CCEEFF"/>
          </w:tcPr>
          <w:p>
            <w:pPr>
              <w:jc w:val="center"/>
              <w:ind w:left="704"/>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Unregistered Sales of Equity Securities and Use of Proceeds</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3.</w:t>
            </w: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Defaults Upon Senior Securities</w:t>
            </w:r>
          </w:p>
        </w:tc>
        <w:tc>
          <w:tcPr>
            <w:tcW w:w="1380" w:type="dxa"/>
            <w:vAlign w:val="bottom"/>
            <w:shd w:val="clear" w:color="auto" w:fill="CCEEFF"/>
          </w:tcPr>
          <w:p>
            <w:pPr>
              <w:jc w:val="center"/>
              <w:ind w:left="704"/>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Mine Safety Disclosures</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5.</w:t>
            </w: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Information</w:t>
            </w:r>
          </w:p>
        </w:tc>
        <w:tc>
          <w:tcPr>
            <w:tcW w:w="1380" w:type="dxa"/>
            <w:vAlign w:val="bottom"/>
            <w:shd w:val="clear" w:color="auto" w:fill="CCEEFF"/>
          </w:tcPr>
          <w:p>
            <w:pPr>
              <w:jc w:val="center"/>
              <w:ind w:left="704"/>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Exhibits</w:t>
            </w:r>
          </w:p>
        </w:tc>
        <w:tc>
          <w:tcPr>
            <w:tcW w:w="1380" w:type="dxa"/>
            <w:vAlign w:val="bottom"/>
          </w:tcPr>
          <w:p>
            <w:pPr>
              <w:jc w:val="center"/>
              <w:ind w:left="704"/>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195"/>
        </w:trPr>
        <w:tc>
          <w:tcPr>
            <w:tcW w:w="820" w:type="dxa"/>
            <w:vAlign w:val="bottom"/>
            <w:shd w:val="clear" w:color="auto" w:fill="CCEEFF"/>
          </w:tcPr>
          <w:p>
            <w:pPr>
              <w:spacing w:after="0"/>
              <w:rPr>
                <w:sz w:val="16"/>
                <w:szCs w:val="16"/>
                <w:color w:val="auto"/>
              </w:rPr>
            </w:pPr>
          </w:p>
        </w:tc>
        <w:tc>
          <w:tcPr>
            <w:tcW w:w="9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Signatures</w:t>
            </w:r>
          </w:p>
        </w:tc>
        <w:tc>
          <w:tcPr>
            <w:tcW w:w="1380" w:type="dxa"/>
            <w:vAlign w:val="bottom"/>
            <w:shd w:val="clear" w:color="auto" w:fill="CCEEFF"/>
          </w:tcPr>
          <w:p>
            <w:pPr>
              <w:jc w:val="center"/>
              <w:ind w:left="704"/>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5"/>
          <w:szCs w:val="15"/>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5"/>
          <w:szCs w:val="15"/>
          <w:u w:val="single" w:color="auto"/>
          <w:color w:val="auto"/>
        </w:rPr>
        <w:t>https://investor.factset.com)</w:t>
      </w:r>
      <w:r>
        <w:rPr>
          <w:rFonts w:ascii="Times New Roman" w:cs="Times New Roman" w:eastAsia="Times New Roman" w:hAnsi="Times New Roman"/>
          <w:sz w:val="15"/>
          <w:szCs w:val="15"/>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FactSet Research Systems Inc. has made statements under the captions Part I, Item 2. </w:t>
      </w:r>
      <w:r>
        <w:rPr>
          <w:rFonts w:ascii="Times New Roman" w:cs="Times New Roman" w:eastAsia="Times New Roman" w:hAnsi="Times New Roman"/>
          <w:sz w:val="15"/>
          <w:szCs w:val="15"/>
          <w:i w:val="1"/>
          <w:iCs w:val="1"/>
          <w:color w:val="auto"/>
        </w:rPr>
        <w:t>Management’s Discussion and Analysis of Financial Condition and Results of Operations,</w:t>
      </w:r>
      <w:r>
        <w:rPr>
          <w:rFonts w:ascii="Times New Roman" w:cs="Times New Roman" w:eastAsia="Times New Roman" w:hAnsi="Times New Roman"/>
          <w:sz w:val="15"/>
          <w:szCs w:val="15"/>
          <w:color w:val="auto"/>
        </w:rPr>
        <w:t xml:space="preserve"> Part II, Item 1A.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xml:space="preserve"> and in other sections of this Quarterly Report on Form 10-Q for the three and nine months ended May 31, 2024,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Part I, Item 1A.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xml:space="preserve"> in our Annual Report on Form 10-K for the fiscal year ended August 31, 2023, that should be specifically considered.</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1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 – FINANCIAL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FactSet Research Systems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784"/>
              <w:spacing w:after="0"/>
              <w:rPr>
                <w:sz w:val="20"/>
                <w:szCs w:val="20"/>
                <w:color w:val="auto"/>
              </w:rPr>
            </w:pPr>
            <w:r>
              <w:rPr>
                <w:rFonts w:ascii="Times New Roman" w:cs="Times New Roman" w:eastAsia="Times New Roman" w:hAnsi="Times New Roman"/>
                <w:sz w:val="15"/>
                <w:szCs w:val="15"/>
                <w:color w:val="auto"/>
              </w:rPr>
              <w:t>Three Months Ended</w:t>
            </w:r>
          </w:p>
        </w:tc>
        <w:tc>
          <w:tcPr>
            <w:tcW w:w="340" w:type="dxa"/>
            <w:vAlign w:val="bottom"/>
          </w:tcPr>
          <w:p>
            <w:pPr>
              <w:spacing w:after="0"/>
              <w:rPr>
                <w:sz w:val="16"/>
                <w:szCs w:val="16"/>
                <w:color w:val="auto"/>
              </w:rPr>
            </w:pPr>
          </w:p>
        </w:tc>
        <w:tc>
          <w:tcPr>
            <w:tcW w:w="2640" w:type="dxa"/>
            <w:vAlign w:val="bottom"/>
            <w:gridSpan w:val="3"/>
          </w:tcPr>
          <w:p>
            <w:pPr>
              <w:jc w:val="right"/>
              <w:ind w:right="804"/>
              <w:spacing w:after="0"/>
              <w:rPr>
                <w:sz w:val="20"/>
                <w:szCs w:val="20"/>
                <w:color w:val="auto"/>
              </w:rPr>
            </w:pPr>
            <w:r>
              <w:rPr>
                <w:rFonts w:ascii="Times New Roman" w:cs="Times New Roman" w:eastAsia="Times New Roman" w:hAnsi="Times New Roman"/>
                <w:sz w:val="15"/>
                <w:szCs w:val="15"/>
                <w:color w:val="auto"/>
              </w:rPr>
              <w:t>Nine Months Ended</w:t>
            </w:r>
          </w:p>
        </w:tc>
      </w:tr>
      <w:tr>
        <w:trPr>
          <w:trHeight w:val="198"/>
        </w:trPr>
        <w:tc>
          <w:tcPr>
            <w:tcW w:w="5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May 31,</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May 31,</w:t>
            </w:r>
          </w:p>
        </w:tc>
        <w:tc>
          <w:tcPr>
            <w:tcW w:w="1080" w:type="dxa"/>
            <w:vAlign w:val="bottom"/>
          </w:tcPr>
          <w:p>
            <w:pPr>
              <w:spacing w:after="0"/>
              <w:rPr>
                <w:sz w:val="17"/>
                <w:szCs w:val="17"/>
                <w:color w:val="auto"/>
              </w:rPr>
            </w:pPr>
          </w:p>
        </w:tc>
      </w:tr>
      <w:tr>
        <w:trPr>
          <w:trHeight w:val="229"/>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2023</w:t>
            </w:r>
          </w:p>
        </w:tc>
      </w:tr>
      <w:tr>
        <w:trPr>
          <w:trHeight w:val="18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552,708</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529,811</w:t>
            </w: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1,640,869</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1,549,711</w:t>
            </w:r>
          </w:p>
        </w:tc>
      </w:tr>
      <w:tr>
        <w:trPr>
          <w:trHeight w:val="195"/>
        </w:trPr>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Cost of services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246,986</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241,689</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753,749</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709,537</w:t>
            </w:r>
          </w:p>
        </w:tc>
      </w:tr>
      <w:tr>
        <w:trPr>
          <w:trHeight w:val="195"/>
        </w:trPr>
        <w:tc>
          <w:tcPr>
            <w:tcW w:w="5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103,098</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115,725</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312,616</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325,903</w:t>
            </w:r>
          </w:p>
        </w:tc>
      </w:tr>
      <w:tr>
        <w:trPr>
          <w:trHeight w:val="195"/>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Asset impairments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w:t>
            </w:r>
          </w:p>
        </w:tc>
      </w:tr>
      <w:tr>
        <w:trPr>
          <w:trHeight w:val="186"/>
        </w:trPr>
        <w:tc>
          <w:tcPr>
            <w:tcW w:w="5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350,249</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357,852</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1,067,428</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1,036,607</w:t>
            </w:r>
          </w:p>
        </w:tc>
      </w:tr>
      <w:tr>
        <w:trPr>
          <w:trHeight w:val="229"/>
        </w:trPr>
        <w:tc>
          <w:tcPr>
            <w:tcW w:w="5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95"/>
        </w:trPr>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202,459</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171,959</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573,441</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513,104</w:t>
            </w:r>
          </w:p>
        </w:tc>
      </w:tr>
      <w:tr>
        <w:trPr>
          <w:trHeight w:val="229"/>
        </w:trPr>
        <w:tc>
          <w:tcPr>
            <w:tcW w:w="5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95"/>
        </w:trPr>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income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4,568</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3,083</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10,427</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8,191</w:t>
            </w:r>
          </w:p>
        </w:tc>
      </w:tr>
      <w:tr>
        <w:trPr>
          <w:trHeight w:val="195"/>
        </w:trPr>
        <w:tc>
          <w:tcPr>
            <w:tcW w:w="5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Interest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(16,894)</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(16,354)</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(50,231)</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(49,628)</w:t>
            </w:r>
          </w:p>
        </w:tc>
      </w:tr>
      <w:tr>
        <w:trPr>
          <w:trHeight w:val="195"/>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income (expense), net</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3,310</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4,978</w:t>
            </w:r>
          </w:p>
        </w:tc>
      </w:tr>
      <w:tr>
        <w:trPr>
          <w:trHeight w:val="186"/>
        </w:trPr>
        <w:tc>
          <w:tcPr>
            <w:tcW w:w="5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(11,927)</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(9,961)</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(39,068)</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(36,459)</w:t>
            </w:r>
          </w:p>
        </w:tc>
      </w:tr>
      <w:tr>
        <w:trPr>
          <w:trHeight w:val="229"/>
        </w:trPr>
        <w:tc>
          <w:tcPr>
            <w:tcW w:w="5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95"/>
        </w:trPr>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190,532</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161,998</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534,373</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476,645</w:t>
            </w:r>
          </w:p>
        </w:tc>
      </w:tr>
      <w:tr>
        <w:trPr>
          <w:trHeight w:val="229"/>
        </w:trPr>
        <w:tc>
          <w:tcPr>
            <w:tcW w:w="5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95"/>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32,397</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27,335</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86,743</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73,591</w:t>
            </w:r>
          </w:p>
        </w:tc>
      </w:tr>
      <w:tr>
        <w:trPr>
          <w:trHeight w:val="211"/>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158,135</w:t>
            </w: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134,663</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447,630</w:t>
            </w: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403,054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0"/>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earnings per common share</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53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Diluted earnings per common share</w:t>
            </w:r>
          </w:p>
        </w:tc>
        <w:tc>
          <w:tcPr>
            <w:tcW w:w="340" w:type="dxa"/>
            <w:vAlign w:val="bottom"/>
            <w:tcBorders>
              <w:bottom w:val="single" w:sz="8" w:color="auto"/>
            </w:tcBorders>
          </w:tcPr>
          <w:p>
            <w:pPr>
              <w:jc w:val="right"/>
              <w:ind w:right="1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4.09</w:t>
            </w:r>
          </w:p>
        </w:tc>
        <w:tc>
          <w:tcPr>
            <w:tcW w:w="420" w:type="dxa"/>
            <w:vAlign w:val="bottom"/>
            <w:tcBorders>
              <w:bottom w:val="single" w:sz="8" w:color="auto"/>
            </w:tcBorders>
          </w:tcPr>
          <w:p>
            <w:pPr>
              <w:jc w:val="right"/>
              <w:ind w:right="2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3.46</w:t>
            </w:r>
          </w:p>
        </w:tc>
        <w:tc>
          <w:tcPr>
            <w:tcW w:w="340" w:type="dxa"/>
            <w:vAlign w:val="bottom"/>
            <w:tcBorders>
              <w:bottom w:val="single" w:sz="8" w:color="auto"/>
            </w:tcBorders>
          </w:tcPr>
          <w:p>
            <w:pPr>
              <w:jc w:val="right"/>
              <w:ind w:right="1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11.58</w:t>
            </w:r>
          </w:p>
        </w:tc>
        <w:tc>
          <w:tcPr>
            <w:tcW w:w="420" w:type="dxa"/>
            <w:vAlign w:val="bottom"/>
            <w:tcBorders>
              <w:bottom w:val="single" w:sz="8" w:color="auto"/>
            </w:tcBorders>
          </w:tcPr>
          <w:p>
            <w:pPr>
              <w:jc w:val="right"/>
              <w:ind w:right="2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10.35</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2"/>
        </w:trPr>
        <w:tc>
          <w:tcPr>
            <w:tcW w:w="5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Basic weighted average common shares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38,089</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38,278</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38,069</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38,227</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6"/>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weighted average common shares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38,640</w:t>
            </w: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38,912</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38,644</w:t>
            </w: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38,936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 w:name="page5"/>
    <w:bookmarkEnd w:id="4"/>
    <w:tbl>
      <w:tblPr>
        <w:tblLayout w:type="fixed"/>
        <w:tblInd w:w="8" w:type="dxa"/>
        <w:tblCellMar>
          <w:top w:w="0" w:type="dxa"/>
          <w:left w:w="0" w:type="dxa"/>
          <w:bottom w:w="0" w:type="dxa"/>
          <w:right w:w="0" w:type="dxa"/>
        </w:tblCellMar>
      </w:tblPr>
      <w:tr>
        <w:trPr>
          <w:trHeight w:val="172"/>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Table of Contents</w:t>
            </w:r>
          </w:p>
        </w:tc>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650"/>
        </w:trPr>
        <w:tc>
          <w:tcPr>
            <w:tcW w:w="5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FactSet Research Systems Inc.</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2"/>
        </w:trPr>
        <w:tc>
          <w:tcPr>
            <w:tcW w:w="5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 – Unaudited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jc w:val="right"/>
              <w:ind w:right="664"/>
              <w:spacing w:after="0"/>
              <w:rPr>
                <w:sz w:val="20"/>
                <w:szCs w:val="20"/>
                <w:color w:val="auto"/>
              </w:rPr>
            </w:pPr>
            <w:r>
              <w:rPr>
                <w:rFonts w:ascii="Times New Roman" w:cs="Times New Roman" w:eastAsia="Times New Roman" w:hAnsi="Times New Roman"/>
                <w:sz w:val="15"/>
                <w:szCs w:val="15"/>
                <w:color w:val="auto"/>
              </w:rPr>
              <w:t>Three Months Ended</w:t>
            </w:r>
          </w:p>
        </w:tc>
        <w:tc>
          <w:tcPr>
            <w:tcW w:w="320" w:type="dxa"/>
            <w:vAlign w:val="bottom"/>
          </w:tcPr>
          <w:p>
            <w:pPr>
              <w:spacing w:after="0"/>
              <w:rPr>
                <w:sz w:val="18"/>
                <w:szCs w:val="18"/>
                <w:color w:val="auto"/>
              </w:rPr>
            </w:pPr>
          </w:p>
        </w:tc>
        <w:tc>
          <w:tcPr>
            <w:tcW w:w="2460" w:type="dxa"/>
            <w:vAlign w:val="bottom"/>
            <w:gridSpan w:val="3"/>
          </w:tcPr>
          <w:p>
            <w:pPr>
              <w:jc w:val="right"/>
              <w:ind w:right="704"/>
              <w:spacing w:after="0"/>
              <w:rPr>
                <w:sz w:val="20"/>
                <w:szCs w:val="20"/>
                <w:color w:val="auto"/>
              </w:rPr>
            </w:pPr>
            <w:r>
              <w:rPr>
                <w:rFonts w:ascii="Times New Roman" w:cs="Times New Roman" w:eastAsia="Times New Roman" w:hAnsi="Times New Roman"/>
                <w:sz w:val="15"/>
                <w:szCs w:val="15"/>
                <w:color w:val="auto"/>
              </w:rPr>
              <w:t>Nine Months Ended</w:t>
            </w:r>
          </w:p>
        </w:tc>
      </w:tr>
      <w:tr>
        <w:trPr>
          <w:trHeight w:val="198"/>
        </w:trPr>
        <w:tc>
          <w:tcPr>
            <w:tcW w:w="10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w:t>
            </w:r>
          </w:p>
        </w:tc>
        <w:tc>
          <w:tcPr>
            <w:tcW w:w="1000" w:type="dxa"/>
            <w:vAlign w:val="bottom"/>
          </w:tcPr>
          <w:p>
            <w:pPr>
              <w:spacing w:after="0"/>
              <w:rPr>
                <w:sz w:val="17"/>
                <w:szCs w:val="17"/>
                <w:color w:val="auto"/>
              </w:rPr>
            </w:pPr>
          </w:p>
        </w:tc>
      </w:tr>
      <w:tr>
        <w:trPr>
          <w:trHeight w:val="229"/>
        </w:trPr>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2023</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2023</w:t>
            </w:r>
          </w:p>
        </w:tc>
      </w:tr>
      <w:tr>
        <w:trPr>
          <w:trHeight w:val="18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158,135</w:t>
            </w: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134,663</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447,630</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403,054</w:t>
            </w:r>
          </w:p>
        </w:tc>
      </w:tr>
      <w:tr>
        <w:trPr>
          <w:trHeight w:val="195"/>
        </w:trPr>
        <w:tc>
          <w:tcPr>
            <w:tcW w:w="5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income (loss), net of tax</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572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5"/>
                <w:szCs w:val="15"/>
                <w:color w:val="auto"/>
              </w:rPr>
              <w:t>Net unrealized gain (loss) on cash flow hedges</w:t>
            </w:r>
            <w:r>
              <w:rPr>
                <w:rFonts w:ascii="Times New Roman" w:cs="Times New Roman" w:eastAsia="Times New Roman" w:hAnsi="Times New Roman"/>
                <w:sz w:val="19"/>
                <w:szCs w:val="19"/>
                <w:color w:val="auto"/>
                <w:vertAlign w:val="superscript"/>
              </w:rPr>
              <w:t>(1)</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(3,175)</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2,257</w:t>
            </w:r>
          </w:p>
        </w:tc>
      </w:tr>
      <w:tr>
        <w:trPr>
          <w:trHeight w:val="195"/>
        </w:trPr>
        <w:tc>
          <w:tcPr>
            <w:tcW w:w="57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color w:val="auto"/>
              </w:rPr>
              <w:t>Foreign currency translation adjustment gains (losses)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(1,282)</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(2,330)</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16,782</w:t>
            </w:r>
          </w:p>
        </w:tc>
      </w:tr>
      <w:tr>
        <w:trPr>
          <w:trHeight w:val="186"/>
        </w:trPr>
        <w:tc>
          <w:tcPr>
            <w:tcW w:w="5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(1,617)</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2,899</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(5,505)</w:t>
            </w:r>
          </w:p>
        </w:tc>
        <w:tc>
          <w:tcPr>
            <w:tcW w:w="4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19,039</w:t>
            </w:r>
          </w:p>
        </w:tc>
      </w:tr>
      <w:tr>
        <w:trPr>
          <w:trHeight w:val="186"/>
        </w:trPr>
        <w:tc>
          <w:tcPr>
            <w:tcW w:w="57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Comprehensive income</w:t>
            </w: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156,518</w:t>
            </w: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137,562</w:t>
            </w: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442,125</w:t>
            </w: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422,093</w:t>
            </w:r>
          </w:p>
        </w:tc>
      </w:tr>
      <w:tr>
        <w:trPr>
          <w:trHeight w:val="20"/>
        </w:trPr>
        <w:tc>
          <w:tcPr>
            <w:tcW w:w="10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08" w:hanging="208"/>
        <w:spacing w:after="0" w:line="265" w:lineRule="auto"/>
        <w:tabs>
          <w:tab w:leader="none" w:pos="19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net of a tax benefit of $119 thousand and $704 thousand for the three months ended May 31, 2024 and May 31, 2023, respectively. Presented net of a tax benefit of $1,126 thousand and a tax expense of $781 thousand for the nine months ended May 31, 2024 and May 31, 2023, respectively.</w:t>
      </w: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Table of Contents</w:t>
            </w:r>
          </w:p>
        </w:tc>
        <w:tc>
          <w:tcPr>
            <w:tcW w:w="6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650"/>
        </w:trPr>
        <w:tc>
          <w:tcPr>
            <w:tcW w:w="7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FactSet Research Systems Inc.</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2"/>
        </w:trPr>
        <w:tc>
          <w:tcPr>
            <w:tcW w:w="7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CONSOLIDATED BALANCE SHEETS – Unaudited</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2"/>
        </w:trPr>
        <w:tc>
          <w:tcPr>
            <w:tcW w:w="7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(in thousands, except share data)</w:t>
            </w: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May 31, 2024</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August 31, 2023</w:t>
            </w:r>
          </w:p>
        </w:tc>
      </w:tr>
      <w:tr>
        <w:trPr>
          <w:trHeight w:val="18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95"/>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453,144</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425,444</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68,890</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32,210</w:t>
            </w:r>
          </w:p>
        </w:tc>
      </w:tr>
      <w:tr>
        <w:trPr>
          <w:trHeight w:val="229"/>
        </w:trPr>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Accounts receivable, net of reserves of $10,484 at May 31, 2024 and $7,769 at August 31, 2023</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240,096</w:t>
            </w:r>
          </w:p>
        </w:tc>
        <w:tc>
          <w:tcPr>
            <w:tcW w:w="200" w:type="dxa"/>
            <w:vAlign w:val="bottom"/>
          </w:tcPr>
          <w:p>
            <w:pPr>
              <w:spacing w:after="0"/>
              <w:rPr>
                <w:sz w:val="19"/>
                <w:szCs w:val="19"/>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237,665</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taxes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44,416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24,206</w:t>
            </w:r>
          </w:p>
        </w:tc>
      </w:tr>
      <w:tr>
        <w:trPr>
          <w:trHeight w:val="195"/>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51,729</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50,610</w:t>
            </w:r>
          </w:p>
        </w:tc>
      </w:tr>
      <w:tr>
        <w:trPr>
          <w:trHeight w:val="186"/>
        </w:trPr>
        <w:tc>
          <w:tcPr>
            <w:tcW w:w="7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assets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858,275</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770,135</w:t>
            </w:r>
          </w:p>
        </w:tc>
      </w:tr>
      <w:tr>
        <w:trPr>
          <w:trHeight w:val="195"/>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Property, equipment and leasehold improvements, net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80,843</w:t>
            </w:r>
          </w:p>
        </w:tc>
        <w:tc>
          <w:tcPr>
            <w:tcW w:w="200" w:type="dxa"/>
            <w:vAlign w:val="bottom"/>
          </w:tcPr>
          <w:p>
            <w:pPr>
              <w:spacing w:after="0"/>
              <w:rPr>
                <w:sz w:val="16"/>
                <w:szCs w:val="16"/>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86,107</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Goodwill</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1,004,749</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1,004,736</w:t>
            </w:r>
          </w:p>
        </w:tc>
      </w:tr>
      <w:tr>
        <w:trPr>
          <w:trHeight w:val="195"/>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Intangible assets, net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1,851,395</w:t>
            </w:r>
          </w:p>
        </w:tc>
        <w:tc>
          <w:tcPr>
            <w:tcW w:w="200" w:type="dxa"/>
            <w:vAlign w:val="bottom"/>
          </w:tcPr>
          <w:p>
            <w:pPr>
              <w:spacing w:after="0"/>
              <w:rPr>
                <w:sz w:val="16"/>
                <w:szCs w:val="16"/>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1,859,202</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taxes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36,739</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27,229</w:t>
            </w:r>
          </w:p>
        </w:tc>
      </w:tr>
      <w:tr>
        <w:trPr>
          <w:trHeight w:val="195"/>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Lease right-of-use assets, net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137,229</w:t>
            </w:r>
          </w:p>
        </w:tc>
        <w:tc>
          <w:tcPr>
            <w:tcW w:w="200" w:type="dxa"/>
            <w:vAlign w:val="bottom"/>
          </w:tcPr>
          <w:p>
            <w:pPr>
              <w:spacing w:after="0"/>
              <w:rPr>
                <w:sz w:val="16"/>
                <w:szCs w:val="16"/>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141,837</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70,471</w:t>
            </w: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73,676</w:t>
            </w:r>
          </w:p>
        </w:tc>
      </w:tr>
      <w:tr>
        <w:trPr>
          <w:trHeight w:val="186"/>
        </w:trPr>
        <w:tc>
          <w:tcPr>
            <w:tcW w:w="776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4,039,701</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3,962,922</w:t>
            </w: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8"/>
        </w:trPr>
        <w:tc>
          <w:tcPr>
            <w:tcW w:w="776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95"/>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138,381</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121,816</w:t>
            </w:r>
          </w:p>
        </w:tc>
      </w:tr>
      <w:tr>
        <w:trPr>
          <w:trHeight w:val="195"/>
        </w:trPr>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Current debt</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187,144</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95"/>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Current lease liabilities</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30,130</w:t>
            </w:r>
          </w:p>
        </w:tc>
        <w:tc>
          <w:tcPr>
            <w:tcW w:w="200" w:type="dxa"/>
            <w:vAlign w:val="bottom"/>
          </w:tcPr>
          <w:p>
            <w:pPr>
              <w:spacing w:after="0"/>
              <w:rPr>
                <w:sz w:val="16"/>
                <w:szCs w:val="16"/>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28,839</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compensation</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79,383</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112,892</w:t>
            </w:r>
          </w:p>
        </w:tc>
      </w:tr>
      <w:tr>
        <w:trPr>
          <w:trHeight w:val="229"/>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Deferred revenues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168,053</w:t>
            </w:r>
          </w:p>
        </w:tc>
        <w:tc>
          <w:tcPr>
            <w:tcW w:w="200" w:type="dxa"/>
            <w:vAlign w:val="bottom"/>
          </w:tcPr>
          <w:p>
            <w:pPr>
              <w:spacing w:after="0"/>
              <w:rPr>
                <w:sz w:val="19"/>
                <w:szCs w:val="19"/>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152,430</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Current taxes payable</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28,825</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31,009</w:t>
            </w:r>
          </w:p>
        </w:tc>
      </w:tr>
      <w:tr>
        <w:trPr>
          <w:trHeight w:val="195"/>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Dividends payable</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39,589</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37,265</w:t>
            </w:r>
          </w:p>
        </w:tc>
      </w:tr>
      <w:tr>
        <w:trPr>
          <w:trHeight w:val="186"/>
        </w:trPr>
        <w:tc>
          <w:tcPr>
            <w:tcW w:w="7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671,505</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484,251</w:t>
            </w:r>
          </w:p>
        </w:tc>
      </w:tr>
      <w:tr>
        <w:trPr>
          <w:trHeight w:val="195"/>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Long-term debt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1,240,626</w:t>
            </w:r>
          </w:p>
        </w:tc>
        <w:tc>
          <w:tcPr>
            <w:tcW w:w="200" w:type="dxa"/>
            <w:vAlign w:val="bottom"/>
          </w:tcPr>
          <w:p>
            <w:pPr>
              <w:spacing w:after="0"/>
              <w:rPr>
                <w:sz w:val="16"/>
                <w:szCs w:val="16"/>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1,612,700</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taxes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7,944</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6,737</w:t>
            </w:r>
          </w:p>
        </w:tc>
      </w:tr>
      <w:tr>
        <w:trPr>
          <w:trHeight w:val="229"/>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Deferred revenues, non-current</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1,928</w:t>
            </w:r>
          </w:p>
        </w:tc>
        <w:tc>
          <w:tcPr>
            <w:tcW w:w="200" w:type="dxa"/>
            <w:vAlign w:val="bottom"/>
          </w:tcPr>
          <w:p>
            <w:pPr>
              <w:spacing w:after="0"/>
              <w:rPr>
                <w:sz w:val="19"/>
                <w:szCs w:val="19"/>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3,734</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Taxes payable</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36,748</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30,344</w:t>
            </w:r>
          </w:p>
        </w:tc>
      </w:tr>
      <w:tr>
        <w:trPr>
          <w:trHeight w:val="195"/>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Long-term lease liabilities</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183,642</w:t>
            </w:r>
          </w:p>
        </w:tc>
        <w:tc>
          <w:tcPr>
            <w:tcW w:w="200" w:type="dxa"/>
            <w:vAlign w:val="bottom"/>
          </w:tcPr>
          <w:p>
            <w:pPr>
              <w:spacing w:after="0"/>
              <w:rPr>
                <w:sz w:val="16"/>
                <w:szCs w:val="16"/>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198,382</w:t>
            </w:r>
          </w:p>
        </w:tc>
      </w:tr>
      <w:tr>
        <w:trPr>
          <w:trHeight w:val="229"/>
        </w:trPr>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6,904</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6,844</w:t>
            </w:r>
          </w:p>
        </w:tc>
      </w:tr>
      <w:tr>
        <w:trPr>
          <w:trHeight w:val="186"/>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2,149,297</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2,342,992</w:t>
            </w: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Borders>
              <w:bottom w:val="single" w:sz="8" w:color="CCEEFF"/>
            </w:tcBorders>
            <w:gridSpan w:val="2"/>
            <w:shd w:val="clear" w:color="auto" w:fill="CCEEFF"/>
          </w:tcPr>
          <w:p>
            <w:pPr>
              <w:ind w:left="100"/>
              <w:spacing w:after="0" w:line="169" w:lineRule="exact"/>
              <w:rPr>
                <w:sz w:val="20"/>
                <w:szCs w:val="20"/>
                <w:color w:val="auto"/>
              </w:rPr>
            </w:pPr>
            <w:r>
              <w:rPr>
                <w:rFonts w:ascii="Times New Roman" w:cs="Times New Roman" w:eastAsia="Times New Roman" w:hAnsi="Times New Roman"/>
                <w:sz w:val="15"/>
                <w:szCs w:val="15"/>
                <w:color w:val="auto"/>
              </w:rPr>
              <w:t>Commitments and contingencies (see Note 11)</w:t>
            </w:r>
          </w:p>
        </w:tc>
        <w:tc>
          <w:tcPr>
            <w:tcW w:w="3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r>
      <w:tr>
        <w:trPr>
          <w:trHeight w:val="195"/>
        </w:trPr>
        <w:tc>
          <w:tcPr>
            <w:tcW w:w="7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5"/>
        </w:trPr>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Preferred stock, $0.01 par value, 10,000,000 shares authorized, none issued</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49"/>
        </w:trPr>
        <w:tc>
          <w:tcPr>
            <w:tcW w:w="7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5"/>
                <w:szCs w:val="15"/>
                <w:color w:val="auto"/>
              </w:rPr>
              <w:t>Common stock, $0.01 par value; 150,000,000 shares authorized; 42,556,827 and 42,096,628 shares issued; 38,066,195 and</w:t>
            </w: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6"/>
        </w:trPr>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38,025,372 shares outstanding at May 31, 2024 and August 31, 2023, respectively</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20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421</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1,453,830</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1,323,631</w:t>
            </w:r>
          </w:p>
        </w:tc>
      </w:tr>
      <w:tr>
        <w:trPr>
          <w:trHeight w:val="195"/>
        </w:trPr>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Treasury stock, at cost: 4,490,632 and 4,071,256 shares at May 31, 2024 and August 31, 2023, respectively</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(1,309,684)</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(1,122,077)</w:t>
            </w:r>
          </w:p>
        </w:tc>
      </w:tr>
      <w:tr>
        <w:trPr>
          <w:trHeight w:val="195"/>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Retained earnings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1,838,478</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1,505,096</w:t>
            </w:r>
          </w:p>
        </w:tc>
      </w:tr>
      <w:tr>
        <w:trPr>
          <w:trHeight w:val="195"/>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(92,646)</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(87,141)</w:t>
            </w:r>
          </w:p>
        </w:tc>
      </w:tr>
      <w:tr>
        <w:trPr>
          <w:trHeight w:val="186"/>
        </w:trPr>
        <w:tc>
          <w:tcPr>
            <w:tcW w:w="7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1,890,404</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1,619,930</w:t>
            </w:r>
          </w:p>
        </w:tc>
      </w:tr>
      <w:tr>
        <w:trPr>
          <w:trHeight w:val="186"/>
        </w:trPr>
        <w:tc>
          <w:tcPr>
            <w:tcW w:w="7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4,039,701</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3,962,922</w:t>
            </w:r>
          </w:p>
        </w:tc>
      </w:tr>
      <w:tr>
        <w:trPr>
          <w:trHeight w:val="20"/>
        </w:trPr>
        <w:tc>
          <w:tcPr>
            <w:tcW w:w="10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Table of Contents</w:t>
            </w:r>
          </w:p>
        </w:tc>
        <w:tc>
          <w:tcPr>
            <w:tcW w:w="7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0"/>
        </w:trPr>
        <w:tc>
          <w:tcPr>
            <w:tcW w:w="8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 – Unaudited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gridSpan w:val="3"/>
          </w:tcPr>
          <w:p>
            <w:pPr>
              <w:jc w:val="right"/>
              <w:ind w:right="624"/>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195"/>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00" w:type="dxa"/>
            <w:vAlign w:val="bottom"/>
          </w:tcPr>
          <w:p>
            <w:pPr>
              <w:spacing w:after="0"/>
              <w:rPr>
                <w:sz w:val="16"/>
                <w:szCs w:val="16"/>
                <w:color w:val="auto"/>
              </w:rPr>
            </w:pPr>
          </w:p>
        </w:tc>
        <w:tc>
          <w:tcPr>
            <w:tcW w:w="14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May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2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447,630</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403,054</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91,154</w:t>
            </w:r>
          </w:p>
        </w:tc>
        <w:tc>
          <w:tcPr>
            <w:tcW w:w="38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78,681</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Amortization of lease right-of-use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22,846</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29,245</w:t>
            </w:r>
          </w:p>
        </w:tc>
        <w:tc>
          <w:tcPr>
            <w:tcW w:w="0" w:type="dxa"/>
            <w:vAlign w:val="bottom"/>
          </w:tcPr>
          <w:p>
            <w:pPr>
              <w:spacing w:after="0"/>
              <w:rPr>
                <w:sz w:val="1"/>
                <w:szCs w:val="1"/>
                <w:color w:val="auto"/>
              </w:rPr>
            </w:pPr>
          </w:p>
        </w:tc>
      </w:tr>
      <w:tr>
        <w:trPr>
          <w:trHeight w:val="195"/>
        </w:trPr>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46,707</w:t>
            </w:r>
          </w:p>
        </w:tc>
        <w:tc>
          <w:tcPr>
            <w:tcW w:w="38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44,365</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(6,979)</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(12,716)</w:t>
            </w:r>
          </w:p>
        </w:tc>
        <w:tc>
          <w:tcPr>
            <w:tcW w:w="0" w:type="dxa"/>
            <w:vAlign w:val="bottom"/>
          </w:tcPr>
          <w:p>
            <w:pPr>
              <w:spacing w:after="0"/>
              <w:rPr>
                <w:sz w:val="1"/>
                <w:szCs w:val="1"/>
                <w:color w:val="auto"/>
              </w:rPr>
            </w:pPr>
          </w:p>
        </w:tc>
      </w:tr>
      <w:tr>
        <w:trPr>
          <w:trHeight w:val="195"/>
        </w:trPr>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Asset impairments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38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1,167</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assets and liabilities, net of effects of acquisitions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Accounts receivable, net of reserves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(7,176)</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(37,879)</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17,296</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5,870</w:t>
            </w:r>
          </w:p>
        </w:tc>
        <w:tc>
          <w:tcPr>
            <w:tcW w:w="0" w:type="dxa"/>
            <w:vAlign w:val="bottom"/>
          </w:tcPr>
          <w:p>
            <w:pPr>
              <w:spacing w:after="0"/>
              <w:rPr>
                <w:sz w:val="1"/>
                <w:szCs w:val="1"/>
                <w:color w:val="auto"/>
              </w:rPr>
            </w:pPr>
          </w:p>
        </w:tc>
      </w:tr>
      <w:tr>
        <w:trPr>
          <w:trHeight w:val="195"/>
        </w:trPr>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Accrued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(33,329)</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(39,935)</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Deferred revenues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13,817</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(3,861)</w:t>
            </w:r>
          </w:p>
        </w:tc>
        <w:tc>
          <w:tcPr>
            <w:tcW w:w="0" w:type="dxa"/>
            <w:vAlign w:val="bottom"/>
          </w:tcPr>
          <w:p>
            <w:pPr>
              <w:spacing w:after="0"/>
              <w:rPr>
                <w:sz w:val="1"/>
                <w:szCs w:val="1"/>
                <w:color w:val="auto"/>
              </w:rPr>
            </w:pPr>
          </w:p>
        </w:tc>
      </w:tr>
      <w:tr>
        <w:trPr>
          <w:trHeight w:val="195"/>
        </w:trPr>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Taxes payable, net of prepaid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(15,992)</w:t>
            </w:r>
          </w:p>
        </w:tc>
        <w:tc>
          <w:tcPr>
            <w:tcW w:w="38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19,112</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Lease liabilities, net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(31,687)</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(34,041)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Other, net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(8,173)</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36,841</w:t>
            </w:r>
          </w:p>
        </w:tc>
        <w:tc>
          <w:tcPr>
            <w:tcW w:w="0" w:type="dxa"/>
            <w:vAlign w:val="bottom"/>
          </w:tcPr>
          <w:p>
            <w:pPr>
              <w:spacing w:after="0"/>
              <w:rPr>
                <w:sz w:val="1"/>
                <w:szCs w:val="1"/>
                <w:color w:val="auto"/>
              </w:rPr>
            </w:pPr>
          </w:p>
        </w:tc>
      </w:tr>
      <w:tr>
        <w:trPr>
          <w:trHeight w:val="186"/>
        </w:trPr>
        <w:tc>
          <w:tcPr>
            <w:tcW w:w="8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537,177</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489,903</w:t>
            </w:r>
          </w:p>
        </w:tc>
        <w:tc>
          <w:tcPr>
            <w:tcW w:w="0" w:type="dxa"/>
            <w:vAlign w:val="bottom"/>
          </w:tcPr>
          <w:p>
            <w:pPr>
              <w:spacing w:after="0"/>
              <w:rPr>
                <w:sz w:val="1"/>
                <w:szCs w:val="1"/>
                <w:color w:val="auto"/>
              </w:rPr>
            </w:pPr>
          </w:p>
        </w:tc>
      </w:tr>
      <w:tr>
        <w:trPr>
          <w:trHeight w:val="229"/>
        </w:trPr>
        <w:tc>
          <w:tcPr>
            <w:tcW w:w="862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Purchases of property, equipment, leasehold improvements and capitalized internal-use software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(59,722)</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(61,421)</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investments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(44,936)</w:t>
            </w: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(10,889)</w:t>
            </w:r>
          </w:p>
        </w:tc>
        <w:tc>
          <w:tcPr>
            <w:tcW w:w="0" w:type="dxa"/>
            <w:vAlign w:val="bottom"/>
          </w:tcPr>
          <w:p>
            <w:pPr>
              <w:spacing w:after="0"/>
              <w:rPr>
                <w:sz w:val="1"/>
                <w:szCs w:val="1"/>
                <w:color w:val="auto"/>
              </w:rPr>
            </w:pPr>
          </w:p>
        </w:tc>
      </w:tr>
      <w:tr>
        <w:trPr>
          <w:trHeight w:val="186"/>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(104,658)</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(72,310)</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of debt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(187,500)</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(312,500)</w:t>
            </w:r>
          </w:p>
        </w:tc>
        <w:tc>
          <w:tcPr>
            <w:tcW w:w="0" w:type="dxa"/>
            <w:vAlign w:val="bottom"/>
          </w:tcPr>
          <w:p>
            <w:pPr>
              <w:spacing w:after="0"/>
              <w:rPr>
                <w:sz w:val="1"/>
                <w:szCs w:val="1"/>
                <w:color w:val="auto"/>
              </w:rPr>
            </w:pPr>
          </w:p>
        </w:tc>
      </w:tr>
      <w:tr>
        <w:trPr>
          <w:trHeight w:val="195"/>
        </w:trPr>
        <w:tc>
          <w:tcPr>
            <w:tcW w:w="8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Dividend payments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(111,297)</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(101,377)</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employee stock plans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83,497</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55,885</w:t>
            </w:r>
          </w:p>
        </w:tc>
        <w:tc>
          <w:tcPr>
            <w:tcW w:w="0" w:type="dxa"/>
            <w:vAlign w:val="bottom"/>
          </w:tcPr>
          <w:p>
            <w:pPr>
              <w:spacing w:after="0"/>
              <w:rPr>
                <w:sz w:val="1"/>
                <w:szCs w:val="1"/>
                <w:color w:val="auto"/>
              </w:rPr>
            </w:pPr>
          </w:p>
        </w:tc>
      </w:tr>
      <w:tr>
        <w:trPr>
          <w:trHeight w:val="195"/>
        </w:trPr>
        <w:tc>
          <w:tcPr>
            <w:tcW w:w="8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(171,918)</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(67,092)</w:t>
            </w:r>
          </w:p>
        </w:tc>
        <w:tc>
          <w:tcPr>
            <w:tcW w:w="0" w:type="dxa"/>
            <w:vAlign w:val="bottom"/>
          </w:tcPr>
          <w:p>
            <w:pPr>
              <w:spacing w:after="0"/>
              <w:rPr>
                <w:sz w:val="1"/>
                <w:szCs w:val="1"/>
                <w:color w:val="auto"/>
              </w:rPr>
            </w:pPr>
          </w:p>
        </w:tc>
      </w:tr>
      <w:tr>
        <w:trPr>
          <w:trHeight w:val="195"/>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(15,690)</w:t>
            </w: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(12,273)</w:t>
            </w:r>
          </w:p>
        </w:tc>
        <w:tc>
          <w:tcPr>
            <w:tcW w:w="0" w:type="dxa"/>
            <w:vAlign w:val="bottom"/>
          </w:tcPr>
          <w:p>
            <w:pPr>
              <w:spacing w:after="0"/>
              <w:rPr>
                <w:sz w:val="1"/>
                <w:szCs w:val="1"/>
                <w:color w:val="auto"/>
              </w:rPr>
            </w:pPr>
          </w:p>
        </w:tc>
      </w:tr>
      <w:tr>
        <w:trPr>
          <w:trHeight w:val="186"/>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(402,908)</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(437,357)</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(1,911)</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3,118</w:t>
            </w:r>
          </w:p>
        </w:tc>
        <w:tc>
          <w:tcPr>
            <w:tcW w:w="0" w:type="dxa"/>
            <w:vAlign w:val="bottom"/>
          </w:tcPr>
          <w:p>
            <w:pPr>
              <w:spacing w:after="0"/>
              <w:rPr>
                <w:sz w:val="1"/>
                <w:szCs w:val="1"/>
                <w:color w:val="auto"/>
              </w:rPr>
            </w:pPr>
          </w:p>
        </w:tc>
      </w:tr>
      <w:tr>
        <w:trPr>
          <w:trHeight w:val="18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27,700</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(16,646)</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425,444</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503,273</w:t>
            </w:r>
          </w:p>
        </w:tc>
        <w:tc>
          <w:tcPr>
            <w:tcW w:w="0" w:type="dxa"/>
            <w:vAlign w:val="bottom"/>
          </w:tcPr>
          <w:p>
            <w:pPr>
              <w:spacing w:after="0"/>
              <w:rPr>
                <w:sz w:val="1"/>
                <w:szCs w:val="1"/>
                <w:color w:val="auto"/>
              </w:rPr>
            </w:pPr>
          </w:p>
        </w:tc>
      </w:tr>
      <w:tr>
        <w:trPr>
          <w:trHeight w:val="211"/>
        </w:trPr>
        <w:tc>
          <w:tcPr>
            <w:tcW w:w="8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453,144</w:t>
            </w: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486,627</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FactSet Research Systems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STOCKHOLDERS’ EQUITY- 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For the Three Months Ended May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00" w:type="dxa"/>
            <w:vAlign w:val="bottom"/>
          </w:tcPr>
          <w:p>
            <w:pPr>
              <w:spacing w:after="0"/>
              <w:rPr>
                <w:sz w:val="13"/>
                <w:szCs w:val="13"/>
                <w:color w:val="auto"/>
              </w:rPr>
            </w:pPr>
          </w:p>
        </w:tc>
        <w:tc>
          <w:tcPr>
            <w:tcW w:w="1680" w:type="dxa"/>
            <w:vAlign w:val="bottom"/>
            <w:gridSpan w:val="2"/>
          </w:tcPr>
          <w:p>
            <w:pPr>
              <w:jc w:val="right"/>
              <w:ind w:right="279"/>
              <w:spacing w:after="0"/>
              <w:rPr>
                <w:sz w:val="20"/>
                <w:szCs w:val="20"/>
                <w:color w:val="auto"/>
              </w:rPr>
            </w:pPr>
            <w:r>
              <w:rPr>
                <w:rFonts w:ascii="Times New Roman" w:cs="Times New Roman" w:eastAsia="Times New Roman" w:hAnsi="Times New Roman"/>
                <w:sz w:val="12"/>
                <w:szCs w:val="12"/>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2"/>
                <w:szCs w:val="12"/>
                <w:color w:val="auto"/>
              </w:rPr>
              <w:t>Additional</w:t>
            </w:r>
          </w:p>
        </w:tc>
        <w:tc>
          <w:tcPr>
            <w:tcW w:w="2060" w:type="dxa"/>
            <w:vAlign w:val="bottom"/>
            <w:gridSpan w:val="3"/>
          </w:tcPr>
          <w:p>
            <w:pPr>
              <w:jc w:val="right"/>
              <w:ind w:right="599"/>
              <w:spacing w:after="0"/>
              <w:rPr>
                <w:sz w:val="20"/>
                <w:szCs w:val="20"/>
                <w:color w:val="auto"/>
              </w:rPr>
            </w:pPr>
            <w:r>
              <w:rPr>
                <w:rFonts w:ascii="Times New Roman" w:cs="Times New Roman" w:eastAsia="Times New Roman" w:hAnsi="Times New Roman"/>
                <w:sz w:val="12"/>
                <w:szCs w:val="12"/>
                <w:color w:val="auto"/>
              </w:rPr>
              <w:t>Treasury Stock</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auto"/>
                <w:w w:val="99"/>
              </w:rPr>
              <w:t>Accumulated</w:t>
            </w:r>
          </w:p>
        </w:tc>
        <w:tc>
          <w:tcPr>
            <w:tcW w:w="160" w:type="dxa"/>
            <w:vAlign w:val="bottom"/>
          </w:tcPr>
          <w:p>
            <w:pPr>
              <w:spacing w:after="0"/>
              <w:rPr>
                <w:sz w:val="13"/>
                <w:szCs w:val="13"/>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8"/>
        </w:trPr>
        <w:tc>
          <w:tcPr>
            <w:tcW w:w="2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vMerge w:val="restart"/>
          </w:tcPr>
          <w:p>
            <w:pPr>
              <w:jc w:val="right"/>
              <w:ind w:right="259"/>
              <w:spacing w:after="0"/>
              <w:rPr>
                <w:sz w:val="20"/>
                <w:szCs w:val="20"/>
                <w:color w:val="auto"/>
              </w:rPr>
            </w:pPr>
            <w:r>
              <w:rPr>
                <w:rFonts w:ascii="Times New Roman" w:cs="Times New Roman" w:eastAsia="Times New Roman" w:hAnsi="Times New Roman"/>
                <w:sz w:val="12"/>
                <w:szCs w:val="12"/>
                <w:color w:val="auto"/>
              </w:rPr>
              <w:t>Retained</w:t>
            </w:r>
          </w:p>
        </w:tc>
        <w:tc>
          <w:tcPr>
            <w:tcW w:w="1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color w:val="auto"/>
              </w:rPr>
              <w:t>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Par Value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259"/>
              <w:spacing w:after="0" w:line="126" w:lineRule="exact"/>
              <w:rPr>
                <w:sz w:val="20"/>
                <w:szCs w:val="20"/>
                <w:color w:val="auto"/>
              </w:rPr>
            </w:pPr>
            <w:r>
              <w:rPr>
                <w:rFonts w:ascii="Times New Roman" w:cs="Times New Roman" w:eastAsia="Times New Roman" w:hAnsi="Times New Roman"/>
                <w:sz w:val="12"/>
                <w:szCs w:val="12"/>
                <w:color w:val="auto"/>
              </w:rPr>
              <w:t>Paid-in</w:t>
            </w: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color w:val="auto"/>
              </w:rPr>
              <w:t>Shares</w:t>
            </w:r>
          </w:p>
        </w:tc>
        <w:tc>
          <w:tcPr>
            <w:tcW w:w="220" w:type="dxa"/>
            <w:vAlign w:val="bottom"/>
          </w:tcPr>
          <w:p>
            <w:pPr>
              <w:spacing w:after="0"/>
              <w:rPr>
                <w:sz w:val="10"/>
                <w:szCs w:val="10"/>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2"/>
                <w:szCs w:val="12"/>
                <w:color w:val="auto"/>
              </w:rPr>
              <w:t>Amount</w:t>
            </w: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0"/>
                <w:szCs w:val="10"/>
                <w:color w:val="auto"/>
              </w:rPr>
            </w:pPr>
          </w:p>
        </w:tc>
        <w:tc>
          <w:tcPr>
            <w:tcW w:w="980" w:type="dxa"/>
            <w:vAlign w:val="bottom"/>
          </w:tcPr>
          <w:p>
            <w:pPr>
              <w:jc w:val="center"/>
              <w:ind w:right="79"/>
              <w:spacing w:after="0" w:line="126" w:lineRule="exact"/>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164"/>
        </w:trPr>
        <w:tc>
          <w:tcPr>
            <w:tcW w:w="28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rPr>
              <w:t>Capital</w:t>
            </w: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rPr>
              <w:t>Earnings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2"/>
                <w:szCs w:val="12"/>
                <w:color w:val="auto"/>
              </w:rPr>
              <w:t>Comprehensive Loss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February 29,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42,475,726</w:t>
            </w:r>
          </w:p>
        </w:tc>
        <w:tc>
          <w:tcPr>
            <w:tcW w:w="7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425</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1,421,133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4,352,639</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(1,248,707)</w:t>
            </w: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1,719,932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(91,029)</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1,801,754</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158,135</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158,135</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74,963</w:t>
            </w:r>
          </w:p>
        </w:tc>
        <w:tc>
          <w:tcPr>
            <w:tcW w:w="7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16,952</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16,730</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6,138</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135,150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(59,753)</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(59,753)</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15,745</w:t>
            </w: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15,745</w:t>
            </w:r>
          </w:p>
        </w:tc>
        <w:tc>
          <w:tcPr>
            <w:tcW w:w="0" w:type="dxa"/>
            <w:vAlign w:val="bottom"/>
          </w:tcPr>
          <w:p>
            <w:pPr>
              <w:spacing w:after="0"/>
              <w:rPr>
                <w:sz w:val="1"/>
                <w:szCs w:val="1"/>
                <w:color w:val="auto"/>
              </w:rPr>
            </w:pPr>
          </w:p>
        </w:tc>
      </w:tr>
      <w:tr>
        <w:trPr>
          <w:trHeight w:val="166"/>
        </w:trPr>
        <w:tc>
          <w:tcPr>
            <w:tcW w:w="2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Dividends declared</w:t>
            </w:r>
          </w:p>
        </w:tc>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(39,589)</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(39,589)</w:t>
            </w:r>
          </w:p>
        </w:tc>
        <w:tc>
          <w:tcPr>
            <w:tcW w:w="0" w:type="dxa"/>
            <w:vAlign w:val="bottom"/>
          </w:tcPr>
          <w:p>
            <w:pPr>
              <w:spacing w:after="0"/>
              <w:rPr>
                <w:sz w:val="1"/>
                <w:szCs w:val="1"/>
                <w:color w:val="auto"/>
              </w:rPr>
            </w:pPr>
          </w:p>
        </w:tc>
      </w:tr>
      <w:tr>
        <w:trPr>
          <w:trHeight w:val="189"/>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May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42,556,827</w:t>
            </w:r>
          </w:p>
        </w:tc>
        <w:tc>
          <w:tcPr>
            <w:tcW w:w="74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426</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1,453,830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4,490,632</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(1,309,684)</w:t>
            </w: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1,838,478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(92,646)</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1,890,404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For the Nine Months Ended May 31,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68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2"/>
                <w:szCs w:val="12"/>
                <w:color w:val="auto"/>
              </w:rPr>
              <w:t>Common Stock</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gridSpan w:val="3"/>
            <w:vMerge w:val="restart"/>
          </w:tcPr>
          <w:p>
            <w:pPr>
              <w:jc w:val="right"/>
              <w:ind w:right="599"/>
              <w:spacing w:after="0"/>
              <w:rPr>
                <w:sz w:val="20"/>
                <w:szCs w:val="20"/>
                <w:color w:val="auto"/>
              </w:rPr>
            </w:pPr>
            <w:r>
              <w:rPr>
                <w:rFonts w:ascii="Times New Roman" w:cs="Times New Roman" w:eastAsia="Times New Roman" w:hAnsi="Times New Roman"/>
                <w:sz w:val="12"/>
                <w:szCs w:val="12"/>
                <w:color w:val="auto"/>
              </w:rPr>
              <w:t>Treasury Stock</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2"/>
                <w:szCs w:val="12"/>
                <w:color w:val="auto"/>
                <w:w w:val="99"/>
              </w:rPr>
              <w:t>Accumulated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80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restart"/>
          </w:tcPr>
          <w:p>
            <w:pPr>
              <w:jc w:val="right"/>
              <w:ind w:right="159"/>
              <w:spacing w:after="0" w:line="106" w:lineRule="exact"/>
              <w:rPr>
                <w:sz w:val="20"/>
                <w:szCs w:val="20"/>
                <w:color w:val="auto"/>
              </w:rPr>
            </w:pPr>
            <w:r>
              <w:rPr>
                <w:rFonts w:ascii="Times New Roman" w:cs="Times New Roman" w:eastAsia="Times New Roman" w:hAnsi="Times New Roman"/>
                <w:sz w:val="12"/>
                <w:szCs w:val="12"/>
                <w:color w:val="auto"/>
              </w:rPr>
              <w:t>Additional</w:t>
            </w:r>
          </w:p>
        </w:tc>
        <w:tc>
          <w:tcPr>
            <w:tcW w:w="20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99"/>
              <w:spacing w:after="0" w:line="106" w:lineRule="exact"/>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6"/>
                <w:szCs w:val="6"/>
                <w:color w:val="auto"/>
              </w:rPr>
            </w:pPr>
          </w:p>
        </w:tc>
        <w:tc>
          <w:tcPr>
            <w:tcW w:w="980" w:type="dxa"/>
            <w:vAlign w:val="bottom"/>
            <w:vMerge w:val="restart"/>
          </w:tcPr>
          <w:p>
            <w:pPr>
              <w:jc w:val="center"/>
              <w:ind w:right="99"/>
              <w:spacing w:after="0" w:line="106"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8"/>
        </w:trPr>
        <w:tc>
          <w:tcPr>
            <w:tcW w:w="2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vMerge w:val="restart"/>
          </w:tcPr>
          <w:p>
            <w:pPr>
              <w:jc w:val="right"/>
              <w:ind w:right="259"/>
              <w:spacing w:after="0"/>
              <w:rPr>
                <w:sz w:val="20"/>
                <w:szCs w:val="20"/>
                <w:color w:val="auto"/>
              </w:rPr>
            </w:pPr>
            <w:r>
              <w:rPr>
                <w:rFonts w:ascii="Times New Roman" w:cs="Times New Roman" w:eastAsia="Times New Roman" w:hAnsi="Times New Roman"/>
                <w:sz w:val="12"/>
                <w:szCs w:val="12"/>
                <w:color w:val="auto"/>
              </w:rPr>
              <w:t>Retained</w:t>
            </w: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color w:val="auto"/>
              </w:rPr>
              <w:t>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Par Value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259"/>
              <w:spacing w:after="0" w:line="123" w:lineRule="exact"/>
              <w:rPr>
                <w:sz w:val="20"/>
                <w:szCs w:val="20"/>
                <w:color w:val="auto"/>
              </w:rPr>
            </w:pPr>
            <w:r>
              <w:rPr>
                <w:rFonts w:ascii="Times New Roman" w:cs="Times New Roman" w:eastAsia="Times New Roman" w:hAnsi="Times New Roman"/>
                <w:sz w:val="12"/>
                <w:szCs w:val="12"/>
                <w:color w:val="auto"/>
              </w:rPr>
              <w:t>Paid-in</w:t>
            </w: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color w:val="auto"/>
              </w:rPr>
              <w:t>Shares</w:t>
            </w:r>
          </w:p>
        </w:tc>
        <w:tc>
          <w:tcPr>
            <w:tcW w:w="220" w:type="dxa"/>
            <w:vAlign w:val="bottom"/>
          </w:tcPr>
          <w:p>
            <w:pPr>
              <w:spacing w:after="0"/>
              <w:rPr>
                <w:sz w:val="10"/>
                <w:szCs w:val="10"/>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2"/>
                <w:szCs w:val="12"/>
                <w:color w:val="auto"/>
              </w:rPr>
              <w:t>Amount</w:t>
            </w: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99"/>
              <w:spacing w:after="0" w:line="123" w:lineRule="exact"/>
              <w:rPr>
                <w:sz w:val="20"/>
                <w:szCs w:val="20"/>
                <w:color w:val="auto"/>
              </w:rPr>
            </w:pPr>
            <w:r>
              <w:rPr>
                <w:rFonts w:ascii="Times New Roman" w:cs="Times New Roman" w:eastAsia="Times New Roman" w:hAnsi="Times New Roman"/>
                <w:sz w:val="12"/>
                <w:szCs w:val="12"/>
                <w:color w:val="auto"/>
              </w:rPr>
              <w:t>Comprehensive</w:t>
            </w:r>
          </w:p>
        </w:tc>
        <w:tc>
          <w:tcPr>
            <w:tcW w:w="160" w:type="dxa"/>
            <w:vAlign w:val="bottom"/>
          </w:tcPr>
          <w:p>
            <w:pPr>
              <w:spacing w:after="0"/>
              <w:rPr>
                <w:sz w:val="10"/>
                <w:szCs w:val="10"/>
                <w:color w:val="auto"/>
              </w:rPr>
            </w:pPr>
          </w:p>
        </w:tc>
        <w:tc>
          <w:tcPr>
            <w:tcW w:w="980" w:type="dxa"/>
            <w:vAlign w:val="bottom"/>
          </w:tcPr>
          <w:p>
            <w:pPr>
              <w:jc w:val="center"/>
              <w:ind w:right="79"/>
              <w:spacing w:after="0" w:line="123" w:lineRule="exact"/>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167"/>
        </w:trPr>
        <w:tc>
          <w:tcPr>
            <w:tcW w:w="28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rPr>
              <w:t>Capital</w:t>
            </w: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rPr>
              <w:t>Earnings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2"/>
                <w:szCs w:val="12"/>
                <w:color w:val="auto"/>
              </w:rPr>
              <w:t>Loss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August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42,096,628</w:t>
            </w:r>
          </w:p>
        </w:tc>
        <w:tc>
          <w:tcPr>
            <w:tcW w:w="7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421</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1,323,631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4,071,256</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(1,122,077)</w:t>
            </w: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1,505,096</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(87,141)</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1,619,930</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447,630</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447,630</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(5,505)</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(5,505)</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372,311</w:t>
            </w:r>
          </w:p>
        </w:tc>
        <w:tc>
          <w:tcPr>
            <w:tcW w:w="7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83,493</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83,121</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87,888</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34,395</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(15,313)</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(15,313)</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384,150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(171,918)</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(171,918)</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46,707</w:t>
            </w: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46,707</w:t>
            </w:r>
          </w:p>
        </w:tc>
        <w:tc>
          <w:tcPr>
            <w:tcW w:w="0" w:type="dxa"/>
            <w:vAlign w:val="bottom"/>
          </w:tcPr>
          <w:p>
            <w:pPr>
              <w:spacing w:after="0"/>
              <w:rPr>
                <w:sz w:val="1"/>
                <w:szCs w:val="1"/>
                <w:color w:val="auto"/>
              </w:rPr>
            </w:pPr>
          </w:p>
        </w:tc>
      </w:tr>
      <w:tr>
        <w:trPr>
          <w:trHeight w:val="166"/>
        </w:trPr>
        <w:tc>
          <w:tcPr>
            <w:tcW w:w="2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Dividends declared</w:t>
            </w:r>
          </w:p>
        </w:tc>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(114,248)</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(114,248)</w:t>
            </w:r>
          </w:p>
        </w:tc>
        <w:tc>
          <w:tcPr>
            <w:tcW w:w="0" w:type="dxa"/>
            <w:vAlign w:val="bottom"/>
          </w:tcPr>
          <w:p>
            <w:pPr>
              <w:spacing w:after="0"/>
              <w:rPr>
                <w:sz w:val="1"/>
                <w:szCs w:val="1"/>
                <w:color w:val="auto"/>
              </w:rPr>
            </w:pPr>
          </w:p>
        </w:tc>
      </w:tr>
      <w:tr>
        <w:trPr>
          <w:trHeight w:val="189"/>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May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42,556,827</w:t>
            </w:r>
          </w:p>
        </w:tc>
        <w:tc>
          <w:tcPr>
            <w:tcW w:w="74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426</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1,453,830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4,490,632</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(1,309,684)</w:t>
            </w: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1,838,478</w:t>
            </w:r>
          </w:p>
        </w:tc>
        <w:tc>
          <w:tcPr>
            <w:tcW w:w="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(92,646)</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1,890,404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FactSet Research Systems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STOCKHOLDERS’ EQUITY-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For the Three Months Ended May 31,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920" w:type="dxa"/>
            <w:vAlign w:val="bottom"/>
            <w:gridSpan w:val="3"/>
            <w:vMerge w:val="restart"/>
          </w:tcPr>
          <w:p>
            <w:pPr>
              <w:jc w:val="right"/>
              <w:ind w:right="519"/>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tcPr>
          <w:p>
            <w:pPr>
              <w:spacing w:after="0"/>
              <w:rPr>
                <w:sz w:val="12"/>
                <w:szCs w:val="12"/>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2"/>
                <w:szCs w:val="12"/>
                <w:color w:val="auto"/>
              </w:rPr>
              <w:t>Additional</w:t>
            </w:r>
          </w:p>
        </w:tc>
        <w:tc>
          <w:tcPr>
            <w:tcW w:w="2060" w:type="dxa"/>
            <w:vAlign w:val="bottom"/>
            <w:gridSpan w:val="3"/>
            <w:vMerge w:val="restart"/>
          </w:tcPr>
          <w:p>
            <w:pPr>
              <w:jc w:val="right"/>
              <w:ind w:right="599"/>
              <w:spacing w:after="0"/>
              <w:rPr>
                <w:sz w:val="20"/>
                <w:szCs w:val="20"/>
                <w:color w:val="auto"/>
              </w:rPr>
            </w:pPr>
            <w:r>
              <w:rPr>
                <w:rFonts w:ascii="Times New Roman" w:cs="Times New Roman" w:eastAsia="Times New Roman" w:hAnsi="Times New Roman"/>
                <w:sz w:val="12"/>
                <w:szCs w:val="12"/>
                <w:color w:val="auto"/>
              </w:rPr>
              <w:t>Treasury Stock</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2"/>
                <w:szCs w:val="12"/>
                <w:color w:val="auto"/>
                <w:w w:val="99"/>
              </w:rPr>
              <w:t>Accumulated</w:t>
            </w:r>
          </w:p>
        </w:tc>
        <w:tc>
          <w:tcPr>
            <w:tcW w:w="160" w:type="dxa"/>
            <w:vAlign w:val="bottom"/>
          </w:tcPr>
          <w:p>
            <w:pPr>
              <w:spacing w:after="0"/>
              <w:rPr>
                <w:sz w:val="12"/>
                <w:szCs w:val="12"/>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23"/>
        </w:trPr>
        <w:tc>
          <w:tcPr>
            <w:tcW w:w="28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99"/>
              <w:spacing w:after="0" w:line="123" w:lineRule="exact"/>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vMerge w:val="restart"/>
          </w:tcPr>
          <w:p>
            <w:pPr>
              <w:jc w:val="right"/>
              <w:ind w:right="259"/>
              <w:spacing w:after="0" w:line="126" w:lineRule="exact"/>
              <w:rPr>
                <w:sz w:val="20"/>
                <w:szCs w:val="20"/>
                <w:color w:val="auto"/>
              </w:rPr>
            </w:pPr>
            <w:r>
              <w:rPr>
                <w:rFonts w:ascii="Times New Roman" w:cs="Times New Roman" w:eastAsia="Times New Roman" w:hAnsi="Times New Roman"/>
                <w:sz w:val="12"/>
                <w:szCs w:val="12"/>
                <w:color w:val="auto"/>
              </w:rPr>
              <w:t>Paid-in</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vMerge w:val="restart"/>
          </w:tcPr>
          <w:p>
            <w:pPr>
              <w:jc w:val="right"/>
              <w:ind w:right="259"/>
              <w:spacing w:after="0" w:line="126" w:lineRule="exact"/>
              <w:rPr>
                <w:sz w:val="20"/>
                <w:szCs w:val="20"/>
                <w:color w:val="auto"/>
              </w:rPr>
            </w:pPr>
            <w:r>
              <w:rPr>
                <w:rFonts w:ascii="Times New Roman" w:cs="Times New Roman" w:eastAsia="Times New Roman" w:hAnsi="Times New Roman"/>
                <w:sz w:val="12"/>
                <w:szCs w:val="12"/>
                <w:color w:val="auto"/>
              </w:rPr>
              <w:t>Retained</w:t>
            </w:r>
          </w:p>
        </w:tc>
        <w:tc>
          <w:tcPr>
            <w:tcW w:w="180" w:type="dxa"/>
            <w:vAlign w:val="bottom"/>
          </w:tcPr>
          <w:p>
            <w:pPr>
              <w:spacing w:after="0" w:line="20" w:lineRule="exact"/>
              <w:rPr>
                <w:sz w:val="1"/>
                <w:szCs w:val="1"/>
                <w:color w:val="auto"/>
              </w:rPr>
            </w:pPr>
          </w:p>
        </w:tc>
        <w:tc>
          <w:tcPr>
            <w:tcW w:w="1080" w:type="dxa"/>
            <w:vAlign w:val="bottom"/>
            <w:vMerge w:val="restart"/>
          </w:tcPr>
          <w:p>
            <w:pPr>
              <w:jc w:val="center"/>
              <w:ind w:right="99"/>
              <w:spacing w:after="0" w:line="126" w:lineRule="exact"/>
              <w:rPr>
                <w:sz w:val="20"/>
                <w:szCs w:val="20"/>
                <w:color w:val="auto"/>
              </w:rPr>
            </w:pPr>
            <w:r>
              <w:rPr>
                <w:rFonts w:ascii="Times New Roman" w:cs="Times New Roman" w:eastAsia="Times New Roman" w:hAnsi="Times New Roman"/>
                <w:sz w:val="12"/>
                <w:szCs w:val="12"/>
                <w:color w:val="auto"/>
              </w:rPr>
              <w:t>Comprehensive</w:t>
            </w:r>
          </w:p>
        </w:tc>
        <w:tc>
          <w:tcPr>
            <w:tcW w:w="160" w:type="dxa"/>
            <w:vAlign w:val="bottom"/>
          </w:tcPr>
          <w:p>
            <w:pPr>
              <w:spacing w:after="0" w:line="20" w:lineRule="exact"/>
              <w:rPr>
                <w:sz w:val="1"/>
                <w:szCs w:val="1"/>
                <w:color w:val="auto"/>
              </w:rPr>
            </w:pPr>
          </w:p>
        </w:tc>
        <w:tc>
          <w:tcPr>
            <w:tcW w:w="980" w:type="dxa"/>
            <w:vAlign w:val="bottom"/>
            <w:vMerge w:val="restart"/>
          </w:tcPr>
          <w:p>
            <w:pPr>
              <w:jc w:val="center"/>
              <w:ind w:right="79"/>
              <w:spacing w:after="0" w:line="126" w:lineRule="exact"/>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83"/>
        </w:trPr>
        <w:tc>
          <w:tcPr>
            <w:tcW w:w="2800" w:type="dxa"/>
            <w:vAlign w:val="bottom"/>
            <w:vMerge w:val="continue"/>
          </w:tcPr>
          <w:p>
            <w:pPr>
              <w:spacing w:after="0"/>
              <w:rPr>
                <w:sz w:val="7"/>
                <w:szCs w:val="7"/>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color w:val="auto"/>
              </w:rPr>
              <w:t>Shares</w:t>
            </w:r>
          </w:p>
        </w:tc>
        <w:tc>
          <w:tcPr>
            <w:tcW w:w="180" w:type="dxa"/>
            <w:vAlign w:val="bottom"/>
          </w:tcPr>
          <w:p>
            <w:pPr>
              <w:spacing w:after="0"/>
              <w:rPr>
                <w:sz w:val="7"/>
                <w:szCs w:val="7"/>
                <w:color w:val="auto"/>
              </w:rPr>
            </w:pPr>
          </w:p>
        </w:tc>
        <w:tc>
          <w:tcPr>
            <w:tcW w:w="800" w:type="dxa"/>
            <w:vAlign w:val="bottom"/>
            <w:vMerge w:val="restart"/>
          </w:tcPr>
          <w:p>
            <w:pPr>
              <w:jc w:val="right"/>
              <w:ind w:right="179"/>
              <w:spacing w:after="0"/>
              <w:rPr>
                <w:sz w:val="20"/>
                <w:szCs w:val="20"/>
                <w:color w:val="auto"/>
              </w:rPr>
            </w:pPr>
            <w:r>
              <w:rPr>
                <w:rFonts w:ascii="Times New Roman" w:cs="Times New Roman" w:eastAsia="Times New Roman" w:hAnsi="Times New Roman"/>
                <w:sz w:val="12"/>
                <w:szCs w:val="12"/>
                <w:color w:val="auto"/>
              </w:rPr>
              <w:t>Par Value</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color w:val="auto"/>
              </w:rPr>
              <w:t>Shares</w:t>
            </w:r>
          </w:p>
        </w:tc>
        <w:tc>
          <w:tcPr>
            <w:tcW w:w="220" w:type="dxa"/>
            <w:vAlign w:val="bottom"/>
          </w:tcPr>
          <w:p>
            <w:pPr>
              <w:spacing w:after="0"/>
              <w:rPr>
                <w:sz w:val="7"/>
                <w:szCs w:val="7"/>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2"/>
                <w:szCs w:val="12"/>
                <w:color w:val="auto"/>
              </w:rPr>
              <w:t>Amount</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8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rPr>
              <w:t>Capital</w:t>
            </w: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rPr>
              <w:t>Earnings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2"/>
                <w:szCs w:val="12"/>
                <w:color w:val="auto"/>
              </w:rPr>
              <w:t>Loss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February 28,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41,949,883</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1,261,452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3,636,175</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(942,496)</w:t>
            </w: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1,380,021</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(92,243)</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1,607,154</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134,663</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134,663</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2,899</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2,899</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56,055</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12,279</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12,279</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3,161</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1,239</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165,950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(67,092)</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(67,092)</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16,865</w:t>
            </w: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16,865</w:t>
            </w:r>
          </w:p>
        </w:tc>
        <w:tc>
          <w:tcPr>
            <w:tcW w:w="0" w:type="dxa"/>
            <w:vAlign w:val="bottom"/>
          </w:tcPr>
          <w:p>
            <w:pPr>
              <w:spacing w:after="0"/>
              <w:rPr>
                <w:sz w:val="1"/>
                <w:szCs w:val="1"/>
                <w:color w:val="auto"/>
              </w:rPr>
            </w:pPr>
          </w:p>
        </w:tc>
      </w:tr>
      <w:tr>
        <w:trPr>
          <w:trHeight w:val="166"/>
        </w:trPr>
        <w:tc>
          <w:tcPr>
            <w:tcW w:w="2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Dividends declared</w:t>
            </w: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(37,442)</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(37,442)</w:t>
            </w:r>
          </w:p>
        </w:tc>
        <w:tc>
          <w:tcPr>
            <w:tcW w:w="0" w:type="dxa"/>
            <w:vAlign w:val="bottom"/>
          </w:tcPr>
          <w:p>
            <w:pPr>
              <w:spacing w:after="0"/>
              <w:rPr>
                <w:sz w:val="1"/>
                <w:szCs w:val="1"/>
                <w:color w:val="auto"/>
              </w:rPr>
            </w:pPr>
          </w:p>
        </w:tc>
      </w:tr>
      <w:tr>
        <w:trPr>
          <w:trHeight w:val="189"/>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May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42,009,099</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1,290,596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3,803,364</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(1,010,081)</w:t>
            </w: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1,477,242</w:t>
            </w:r>
          </w:p>
        </w:tc>
        <w:tc>
          <w:tcPr>
            <w:tcW w:w="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(89,344)</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1,668,833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For the Nine Months Ended May 31,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920" w:type="dxa"/>
            <w:vAlign w:val="bottom"/>
            <w:gridSpan w:val="3"/>
            <w:vMerge w:val="restart"/>
          </w:tcPr>
          <w:p>
            <w:pPr>
              <w:jc w:val="right"/>
              <w:ind w:right="519"/>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tcPr>
          <w:p>
            <w:pPr>
              <w:spacing w:after="0"/>
              <w:rPr>
                <w:sz w:val="12"/>
                <w:szCs w:val="12"/>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2"/>
                <w:szCs w:val="12"/>
                <w:color w:val="auto"/>
              </w:rPr>
              <w:t>Additional</w:t>
            </w:r>
          </w:p>
        </w:tc>
        <w:tc>
          <w:tcPr>
            <w:tcW w:w="2060" w:type="dxa"/>
            <w:vAlign w:val="bottom"/>
            <w:gridSpan w:val="3"/>
            <w:vMerge w:val="restart"/>
          </w:tcPr>
          <w:p>
            <w:pPr>
              <w:jc w:val="right"/>
              <w:ind w:right="599"/>
              <w:spacing w:after="0"/>
              <w:rPr>
                <w:sz w:val="20"/>
                <w:szCs w:val="20"/>
                <w:color w:val="auto"/>
              </w:rPr>
            </w:pPr>
            <w:r>
              <w:rPr>
                <w:rFonts w:ascii="Times New Roman" w:cs="Times New Roman" w:eastAsia="Times New Roman" w:hAnsi="Times New Roman"/>
                <w:sz w:val="12"/>
                <w:szCs w:val="12"/>
                <w:color w:val="auto"/>
              </w:rPr>
              <w:t>Treasury Stock</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2"/>
                <w:szCs w:val="12"/>
                <w:color w:val="auto"/>
                <w:w w:val="99"/>
              </w:rPr>
              <w:t>Accumulated</w:t>
            </w:r>
          </w:p>
        </w:tc>
        <w:tc>
          <w:tcPr>
            <w:tcW w:w="160" w:type="dxa"/>
            <w:vAlign w:val="bottom"/>
          </w:tcPr>
          <w:p>
            <w:pPr>
              <w:spacing w:after="0"/>
              <w:rPr>
                <w:sz w:val="12"/>
                <w:szCs w:val="12"/>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23"/>
        </w:trPr>
        <w:tc>
          <w:tcPr>
            <w:tcW w:w="28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99"/>
              <w:spacing w:after="0" w:line="123" w:lineRule="exact"/>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restart"/>
          </w:tcPr>
          <w:p>
            <w:pPr>
              <w:jc w:val="right"/>
              <w:ind w:right="259"/>
              <w:spacing w:after="0" w:line="126" w:lineRule="exact"/>
              <w:rPr>
                <w:sz w:val="20"/>
                <w:szCs w:val="20"/>
                <w:color w:val="auto"/>
              </w:rPr>
            </w:pPr>
            <w:r>
              <w:rPr>
                <w:rFonts w:ascii="Times New Roman" w:cs="Times New Roman" w:eastAsia="Times New Roman" w:hAnsi="Times New Roman"/>
                <w:sz w:val="12"/>
                <w:szCs w:val="12"/>
                <w:color w:val="auto"/>
              </w:rPr>
              <w:t>Paid-in</w:t>
            </w: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right"/>
              <w:ind w:right="259"/>
              <w:spacing w:after="0" w:line="126" w:lineRule="exact"/>
              <w:rPr>
                <w:sz w:val="20"/>
                <w:szCs w:val="20"/>
                <w:color w:val="auto"/>
              </w:rPr>
            </w:pPr>
            <w:r>
              <w:rPr>
                <w:rFonts w:ascii="Times New Roman" w:cs="Times New Roman" w:eastAsia="Times New Roman" w:hAnsi="Times New Roman"/>
                <w:sz w:val="12"/>
                <w:szCs w:val="12"/>
                <w:color w:val="auto"/>
              </w:rPr>
              <w:t>Retained</w:t>
            </w:r>
          </w:p>
        </w:tc>
        <w:tc>
          <w:tcPr>
            <w:tcW w:w="180" w:type="dxa"/>
            <w:vAlign w:val="bottom"/>
          </w:tcPr>
          <w:p>
            <w:pPr>
              <w:spacing w:after="0"/>
              <w:rPr>
                <w:sz w:val="3"/>
                <w:szCs w:val="3"/>
                <w:color w:val="auto"/>
              </w:rPr>
            </w:pPr>
          </w:p>
        </w:tc>
        <w:tc>
          <w:tcPr>
            <w:tcW w:w="1080" w:type="dxa"/>
            <w:vAlign w:val="bottom"/>
            <w:vMerge w:val="restart"/>
          </w:tcPr>
          <w:p>
            <w:pPr>
              <w:jc w:val="center"/>
              <w:ind w:right="99"/>
              <w:spacing w:after="0" w:line="126" w:lineRule="exact"/>
              <w:rPr>
                <w:sz w:val="20"/>
                <w:szCs w:val="20"/>
                <w:color w:val="auto"/>
              </w:rPr>
            </w:pPr>
            <w:r>
              <w:rPr>
                <w:rFonts w:ascii="Times New Roman" w:cs="Times New Roman" w:eastAsia="Times New Roman" w:hAnsi="Times New Roman"/>
                <w:sz w:val="12"/>
                <w:szCs w:val="12"/>
                <w:color w:val="auto"/>
              </w:rPr>
              <w:t>Comprehensive</w:t>
            </w:r>
          </w:p>
        </w:tc>
        <w:tc>
          <w:tcPr>
            <w:tcW w:w="160" w:type="dxa"/>
            <w:vAlign w:val="bottom"/>
          </w:tcPr>
          <w:p>
            <w:pPr>
              <w:spacing w:after="0"/>
              <w:rPr>
                <w:sz w:val="3"/>
                <w:szCs w:val="3"/>
                <w:color w:val="auto"/>
              </w:rPr>
            </w:pPr>
          </w:p>
        </w:tc>
        <w:tc>
          <w:tcPr>
            <w:tcW w:w="980" w:type="dxa"/>
            <w:vAlign w:val="bottom"/>
            <w:vMerge w:val="restart"/>
          </w:tcPr>
          <w:p>
            <w:pPr>
              <w:jc w:val="center"/>
              <w:ind w:right="79"/>
              <w:spacing w:after="0" w:line="126" w:lineRule="exact"/>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60"/>
        </w:trPr>
        <w:tc>
          <w:tcPr>
            <w:tcW w:w="2800" w:type="dxa"/>
            <w:vAlign w:val="bottom"/>
            <w:vMerge w:val="continue"/>
          </w:tcPr>
          <w:p>
            <w:pPr>
              <w:spacing w:after="0"/>
              <w:rPr>
                <w:sz w:val="5"/>
                <w:szCs w:val="5"/>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color w:val="auto"/>
              </w:rPr>
              <w:t>Shares</w:t>
            </w:r>
          </w:p>
        </w:tc>
        <w:tc>
          <w:tcPr>
            <w:tcW w:w="180" w:type="dxa"/>
            <w:vAlign w:val="bottom"/>
          </w:tcPr>
          <w:p>
            <w:pPr>
              <w:spacing w:after="0"/>
              <w:rPr>
                <w:sz w:val="5"/>
                <w:szCs w:val="5"/>
                <w:color w:val="auto"/>
              </w:rPr>
            </w:pPr>
          </w:p>
        </w:tc>
        <w:tc>
          <w:tcPr>
            <w:tcW w:w="800" w:type="dxa"/>
            <w:vAlign w:val="bottom"/>
            <w:vMerge w:val="restart"/>
          </w:tcPr>
          <w:p>
            <w:pPr>
              <w:jc w:val="right"/>
              <w:ind w:right="179"/>
              <w:spacing w:after="0"/>
              <w:rPr>
                <w:sz w:val="20"/>
                <w:szCs w:val="20"/>
                <w:color w:val="auto"/>
              </w:rPr>
            </w:pPr>
            <w:r>
              <w:rPr>
                <w:rFonts w:ascii="Times New Roman" w:cs="Times New Roman" w:eastAsia="Times New Roman" w:hAnsi="Times New Roman"/>
                <w:sz w:val="12"/>
                <w:szCs w:val="12"/>
                <w:color w:val="auto"/>
              </w:rPr>
              <w:t>Par Value</w:t>
            </w: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color w:val="auto"/>
              </w:rPr>
              <w:t>Shares</w:t>
            </w:r>
          </w:p>
        </w:tc>
        <w:tc>
          <w:tcPr>
            <w:tcW w:w="220" w:type="dxa"/>
            <w:vAlign w:val="bottom"/>
          </w:tcPr>
          <w:p>
            <w:pPr>
              <w:spacing w:after="0"/>
              <w:rPr>
                <w:sz w:val="5"/>
                <w:szCs w:val="5"/>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2"/>
                <w:szCs w:val="12"/>
                <w:color w:val="auto"/>
              </w:rPr>
              <w:t>Amount</w:t>
            </w:r>
          </w:p>
        </w:tc>
        <w:tc>
          <w:tcPr>
            <w:tcW w:w="2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rPr>
              <w:t>Capital</w:t>
            </w: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rPr>
              <w:t>Earnings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2"/>
                <w:szCs w:val="12"/>
                <w:color w:val="auto"/>
              </w:rPr>
              <w:t>Loss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August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41,653,218</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1,190,350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3,608,462</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(930,715)</w:t>
            </w: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1,179,739</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(108,383)</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1,331,408</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403,054</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403,054</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19,039</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19,039</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283,021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55,881</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55,717</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72,860</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28,542</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(12,108)</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(12,107)</w:t>
            </w:r>
          </w:p>
        </w:tc>
        <w:tc>
          <w:tcPr>
            <w:tcW w:w="0" w:type="dxa"/>
            <w:vAlign w:val="bottom"/>
          </w:tcPr>
          <w:p>
            <w:pPr>
              <w:spacing w:after="0"/>
              <w:rPr>
                <w:sz w:val="1"/>
                <w:szCs w:val="1"/>
                <w:color w:val="auto"/>
              </w:rPr>
            </w:pPr>
          </w:p>
        </w:tc>
      </w:tr>
      <w:tr>
        <w:trPr>
          <w:trHeight w:val="166"/>
        </w:trPr>
        <w:tc>
          <w:tcPr>
            <w:tcW w:w="2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165,950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(67,092)</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(67,092)</w:t>
            </w: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44,365</w:t>
            </w: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44,365</w:t>
            </w:r>
          </w:p>
        </w:tc>
        <w:tc>
          <w:tcPr>
            <w:tcW w:w="0" w:type="dxa"/>
            <w:vAlign w:val="bottom"/>
          </w:tcPr>
          <w:p>
            <w:pPr>
              <w:spacing w:after="0"/>
              <w:rPr>
                <w:sz w:val="1"/>
                <w:szCs w:val="1"/>
                <w:color w:val="auto"/>
              </w:rPr>
            </w:pPr>
          </w:p>
        </w:tc>
      </w:tr>
      <w:tr>
        <w:trPr>
          <w:trHeight w:val="166"/>
        </w:trPr>
        <w:tc>
          <w:tcPr>
            <w:tcW w:w="2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Dividends declared</w:t>
            </w: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(105,551)</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(105,551)</w:t>
            </w:r>
          </w:p>
        </w:tc>
        <w:tc>
          <w:tcPr>
            <w:tcW w:w="0" w:type="dxa"/>
            <w:vAlign w:val="bottom"/>
          </w:tcPr>
          <w:p>
            <w:pPr>
              <w:spacing w:after="0"/>
              <w:rPr>
                <w:sz w:val="1"/>
                <w:szCs w:val="1"/>
                <w:color w:val="auto"/>
              </w:rPr>
            </w:pPr>
          </w:p>
        </w:tc>
      </w:tr>
      <w:tr>
        <w:trPr>
          <w:trHeight w:val="189"/>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May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42,009,099</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1,290,596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3,803,364</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(1,010,081)</w:t>
            </w: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1,477,242</w:t>
            </w:r>
          </w:p>
        </w:tc>
        <w:tc>
          <w:tcPr>
            <w:tcW w:w="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(89,344)</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1,668,833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FactSet Research Systems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31, 2024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Page</w:t>
            </w:r>
          </w:p>
        </w:tc>
      </w:tr>
      <w:tr>
        <w:trPr>
          <w:trHeight w:val="161"/>
        </w:trPr>
        <w:tc>
          <w:tcPr>
            <w:tcW w:w="4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FF"/>
                <w:w w:val="93"/>
              </w:rPr>
              <w:t>Note 1</w:t>
            </w:r>
          </w:p>
        </w:tc>
        <w:tc>
          <w:tcPr>
            <w:tcW w:w="1400" w:type="dxa"/>
            <w:vAlign w:val="bottom"/>
            <w:tcBorders>
              <w:left w:val="single" w:sz="8" w:color="CCEEFF"/>
            </w:tcBorders>
            <w:gridSpan w:val="2"/>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280" w:type="dxa"/>
            <w:vAlign w:val="bottom"/>
            <w:gridSpan w:val="1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FF"/>
              </w:rPr>
              <w:t>Description of Business</w:t>
            </w:r>
          </w:p>
        </w:tc>
        <w:tc>
          <w:tcPr>
            <w:tcW w:w="2860" w:type="dxa"/>
            <w:vAlign w:val="bottom"/>
            <w:gridSpan w:val="3"/>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5"/>
                <w:szCs w:val="15"/>
                <w:color w:val="0000FF"/>
              </w:rPr>
              <w:t>11</w:t>
            </w:r>
          </w:p>
        </w:tc>
      </w:tr>
      <w:tr>
        <w:trPr>
          <w:trHeight w:val="34"/>
        </w:trPr>
        <w:tc>
          <w:tcPr>
            <w:tcW w:w="4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1"/>
        </w:trPr>
        <w:tc>
          <w:tcPr>
            <w:tcW w:w="4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0000FF"/>
                <w:w w:val="93"/>
              </w:rPr>
              <w:t>Note 2</w:t>
            </w:r>
          </w:p>
        </w:tc>
        <w:tc>
          <w:tcPr>
            <w:tcW w:w="140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2760" w:type="dxa"/>
            <w:vAlign w:val="bottom"/>
            <w:gridSpan w:val="11"/>
          </w:tcPr>
          <w:p>
            <w:pPr>
              <w:spacing w:after="0" w:line="161" w:lineRule="exact"/>
              <w:rPr>
                <w:sz w:val="20"/>
                <w:szCs w:val="20"/>
                <w:color w:val="auto"/>
              </w:rPr>
            </w:pPr>
            <w:r>
              <w:rPr>
                <w:rFonts w:ascii="Times New Roman" w:cs="Times New Roman" w:eastAsia="Times New Roman" w:hAnsi="Times New Roman"/>
                <w:sz w:val="15"/>
                <w:szCs w:val="15"/>
                <w:color w:val="0000FF"/>
              </w:rPr>
              <w:t>Summary of Significant Accounting Policies</w:t>
            </w:r>
          </w:p>
        </w:tc>
        <w:tc>
          <w:tcPr>
            <w:tcW w:w="2520" w:type="dxa"/>
            <w:vAlign w:val="bottom"/>
          </w:tcPr>
          <w:p>
            <w:pPr>
              <w:spacing w:after="0"/>
              <w:rPr>
                <w:sz w:val="13"/>
                <w:szCs w:val="13"/>
                <w:color w:val="auto"/>
              </w:rPr>
            </w:pPr>
          </w:p>
        </w:tc>
        <w:tc>
          <w:tcPr>
            <w:tcW w:w="2860" w:type="dxa"/>
            <w:vAlign w:val="bottom"/>
            <w:gridSpan w:val="3"/>
          </w:tcPr>
          <w:p>
            <w:pPr>
              <w:jc w:val="right"/>
              <w:ind w:right="20"/>
              <w:spacing w:after="0" w:line="161" w:lineRule="exact"/>
              <w:rPr>
                <w:sz w:val="20"/>
                <w:szCs w:val="20"/>
                <w:color w:val="auto"/>
              </w:rPr>
            </w:pPr>
            <w:r>
              <w:rPr>
                <w:rFonts w:ascii="Times New Roman" w:cs="Times New Roman" w:eastAsia="Times New Roman" w:hAnsi="Times New Roman"/>
                <w:sz w:val="15"/>
                <w:szCs w:val="15"/>
                <w:color w:val="0000FF"/>
              </w:rPr>
              <w:t>11</w:t>
            </w:r>
          </w:p>
        </w:tc>
      </w:tr>
      <w:tr>
        <w:trPr>
          <w:trHeight w:val="27"/>
        </w:trPr>
        <w:tc>
          <w:tcPr>
            <w:tcW w:w="4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5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4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w w:val="93"/>
              </w:rPr>
              <w:t>Note 3</w:t>
            </w:r>
          </w:p>
        </w:tc>
        <w:tc>
          <w:tcPr>
            <w:tcW w:w="1400" w:type="dxa"/>
            <w:vAlign w:val="bottom"/>
            <w:tcBorders>
              <w:left w:val="single" w:sz="8" w:color="CCEEFF"/>
            </w:tcBorders>
            <w:gridSpan w:val="2"/>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760" w:type="dxa"/>
            <w:vAlign w:val="bottom"/>
            <w:gridSpan w:val="11"/>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Revenue Recognition</w:t>
            </w:r>
          </w:p>
        </w:tc>
        <w:tc>
          <w:tcPr>
            <w:tcW w:w="252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13</w:t>
            </w:r>
          </w:p>
        </w:tc>
      </w:tr>
      <w:tr>
        <w:trPr>
          <w:trHeight w:val="34"/>
        </w:trPr>
        <w:tc>
          <w:tcPr>
            <w:tcW w:w="4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left w:val="single" w:sz="8" w:color="0000FF"/>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00" w:type="dxa"/>
            <w:vAlign w:val="bottom"/>
            <w:tcBorders>
              <w:right w:val="single" w:sz="8" w:color="0000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1"/>
        </w:trPr>
        <w:tc>
          <w:tcPr>
            <w:tcW w:w="4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0000FF"/>
                <w:w w:val="93"/>
              </w:rPr>
              <w:t>Note 4</w:t>
            </w:r>
          </w:p>
        </w:tc>
        <w:tc>
          <w:tcPr>
            <w:tcW w:w="140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gridSpan w:val="7"/>
          </w:tcPr>
          <w:p>
            <w:pPr>
              <w:spacing w:after="0" w:line="161" w:lineRule="exact"/>
              <w:rPr>
                <w:sz w:val="20"/>
                <w:szCs w:val="20"/>
                <w:color w:val="auto"/>
              </w:rPr>
            </w:pPr>
            <w:r>
              <w:rPr>
                <w:rFonts w:ascii="Times New Roman" w:cs="Times New Roman" w:eastAsia="Times New Roman" w:hAnsi="Times New Roman"/>
                <w:sz w:val="15"/>
                <w:szCs w:val="15"/>
                <w:color w:val="0000FF"/>
                <w:w w:val="97"/>
              </w:rPr>
              <w:t>Fair Value Measures</w:t>
            </w:r>
          </w:p>
        </w:tc>
        <w:tc>
          <w:tcPr>
            <w:tcW w:w="4020" w:type="dxa"/>
            <w:vAlign w:val="bottom"/>
            <w:gridSpan w:val="5"/>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5"/>
                <w:szCs w:val="15"/>
                <w:color w:val="0000FF"/>
                <w:w w:val="79"/>
              </w:rPr>
              <w:t>14</w:t>
            </w:r>
          </w:p>
        </w:tc>
      </w:tr>
      <w:tr>
        <w:trPr>
          <w:trHeight w:val="27"/>
        </w:trPr>
        <w:tc>
          <w:tcPr>
            <w:tcW w:w="4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00" w:type="dxa"/>
            <w:vAlign w:val="bottom"/>
            <w:tcBorders>
              <w:righ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4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w w:val="93"/>
              </w:rPr>
              <w:t>Note 5</w:t>
            </w:r>
          </w:p>
        </w:tc>
        <w:tc>
          <w:tcPr>
            <w:tcW w:w="1400" w:type="dxa"/>
            <w:vAlign w:val="bottom"/>
            <w:tcBorders>
              <w:left w:val="single" w:sz="8" w:color="CCEEFF"/>
            </w:tcBorders>
            <w:gridSpan w:val="2"/>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60" w:type="dxa"/>
            <w:vAlign w:val="bottom"/>
            <w:tcBorders>
              <w:right w:val="single" w:sz="8" w:color="CCEEFF"/>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Derivative Instruments</w:t>
            </w:r>
          </w:p>
        </w:tc>
        <w:tc>
          <w:tcPr>
            <w:tcW w:w="3820" w:type="dxa"/>
            <w:vAlign w:val="bottom"/>
            <w:gridSpan w:val="4"/>
            <w:shd w:val="clear" w:color="auto" w:fill="CCEEFF"/>
          </w:tcPr>
          <w:p>
            <w:pPr>
              <w:spacing w:after="0"/>
              <w:rPr>
                <w:sz w:val="14"/>
                <w:szCs w:val="14"/>
                <w:color w:val="auto"/>
              </w:rPr>
            </w:pPr>
          </w:p>
        </w:tc>
        <w:tc>
          <w:tcPr>
            <w:tcW w:w="270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w w:val="79"/>
              </w:rPr>
              <w:t>16</w:t>
            </w:r>
          </w:p>
        </w:tc>
      </w:tr>
      <w:tr>
        <w:trPr>
          <w:trHeight w:val="34"/>
        </w:trPr>
        <w:tc>
          <w:tcPr>
            <w:tcW w:w="4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left w:val="single" w:sz="8" w:color="0000FF"/>
              <w:right w:val="single" w:sz="8" w:color="CCEE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00" w:type="dxa"/>
            <w:vAlign w:val="bottom"/>
            <w:tcBorders>
              <w:right w:val="single" w:sz="8" w:color="0000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1"/>
        </w:trPr>
        <w:tc>
          <w:tcPr>
            <w:tcW w:w="4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0000FF"/>
                <w:w w:val="93"/>
              </w:rPr>
              <w:t>Note 6</w:t>
            </w:r>
          </w:p>
        </w:tc>
        <w:tc>
          <w:tcPr>
            <w:tcW w:w="140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1460" w:type="dxa"/>
            <w:vAlign w:val="bottom"/>
            <w:gridSpan w:val="8"/>
          </w:tcPr>
          <w:p>
            <w:pPr>
              <w:spacing w:after="0" w:line="161" w:lineRule="exact"/>
              <w:rPr>
                <w:sz w:val="20"/>
                <w:szCs w:val="20"/>
                <w:color w:val="auto"/>
              </w:rPr>
            </w:pPr>
            <w:r>
              <w:rPr>
                <w:rFonts w:ascii="Times New Roman" w:cs="Times New Roman" w:eastAsia="Times New Roman" w:hAnsi="Times New Roman"/>
                <w:sz w:val="15"/>
                <w:szCs w:val="15"/>
                <w:color w:val="0000FF"/>
              </w:rPr>
              <w:t>Goodwill</w:t>
            </w:r>
          </w:p>
        </w:tc>
        <w:tc>
          <w:tcPr>
            <w:tcW w:w="3820" w:type="dxa"/>
            <w:vAlign w:val="bottom"/>
            <w:gridSpan w:val="4"/>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5"/>
                <w:szCs w:val="15"/>
                <w:color w:val="0000FF"/>
                <w:w w:val="79"/>
              </w:rPr>
              <w:t>19</w:t>
            </w:r>
          </w:p>
        </w:tc>
      </w:tr>
      <w:tr>
        <w:trPr>
          <w:trHeight w:val="27"/>
        </w:trPr>
        <w:tc>
          <w:tcPr>
            <w:tcW w:w="4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00" w:type="dxa"/>
            <w:vAlign w:val="bottom"/>
            <w:tcBorders>
              <w:righ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4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w w:val="93"/>
              </w:rPr>
              <w:t>Note 7</w:t>
            </w:r>
          </w:p>
        </w:tc>
        <w:tc>
          <w:tcPr>
            <w:tcW w:w="1400" w:type="dxa"/>
            <w:vAlign w:val="bottom"/>
            <w:tcBorders>
              <w:left w:val="single" w:sz="8" w:color="CCEEFF"/>
            </w:tcBorders>
            <w:gridSpan w:val="2"/>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80" w:type="dxa"/>
            <w:vAlign w:val="bottom"/>
            <w:gridSpan w:val="1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Intangible Assets</w:t>
            </w:r>
          </w:p>
        </w:tc>
        <w:tc>
          <w:tcPr>
            <w:tcW w:w="2860" w:type="dxa"/>
            <w:vAlign w:val="bottom"/>
            <w:gridSpan w:val="3"/>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20</w:t>
            </w:r>
          </w:p>
        </w:tc>
      </w:tr>
      <w:tr>
        <w:trPr>
          <w:trHeight w:val="34"/>
        </w:trPr>
        <w:tc>
          <w:tcPr>
            <w:tcW w:w="4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left w:val="single" w:sz="8" w:color="CCEEFF"/>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00" w:type="dxa"/>
            <w:vAlign w:val="bottom"/>
            <w:tcBorders>
              <w:right w:val="single" w:sz="8" w:color="0000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1"/>
        </w:trPr>
        <w:tc>
          <w:tcPr>
            <w:tcW w:w="4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0000FF"/>
                <w:w w:val="93"/>
              </w:rPr>
              <w:t>Note 8</w:t>
            </w:r>
          </w:p>
        </w:tc>
        <w:tc>
          <w:tcPr>
            <w:tcW w:w="140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gridSpan w:val="4"/>
          </w:tcPr>
          <w:p>
            <w:pPr>
              <w:spacing w:after="0" w:line="161" w:lineRule="exact"/>
              <w:rPr>
                <w:sz w:val="20"/>
                <w:szCs w:val="20"/>
                <w:color w:val="auto"/>
              </w:rPr>
            </w:pPr>
            <w:r>
              <w:rPr>
                <w:rFonts w:ascii="Times New Roman" w:cs="Times New Roman" w:eastAsia="Times New Roman" w:hAnsi="Times New Roman"/>
                <w:sz w:val="15"/>
                <w:szCs w:val="15"/>
                <w:color w:val="0000FF"/>
                <w:w w:val="99"/>
              </w:rPr>
              <w:t>Income Taxes</w:t>
            </w:r>
          </w:p>
        </w:tc>
        <w:tc>
          <w:tcPr>
            <w:tcW w:w="200" w:type="dxa"/>
            <w:vAlign w:val="bottom"/>
          </w:tcPr>
          <w:p>
            <w:pPr>
              <w:spacing w:after="0"/>
              <w:rPr>
                <w:sz w:val="13"/>
                <w:szCs w:val="13"/>
                <w:color w:val="auto"/>
              </w:rPr>
            </w:pPr>
          </w:p>
        </w:tc>
        <w:tc>
          <w:tcPr>
            <w:tcW w:w="4220" w:type="dxa"/>
            <w:vAlign w:val="bottom"/>
            <w:gridSpan w:val="7"/>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5"/>
                <w:szCs w:val="15"/>
                <w:color w:val="0000FF"/>
                <w:w w:val="79"/>
              </w:rPr>
              <w:t>20</w:t>
            </w:r>
          </w:p>
        </w:tc>
      </w:tr>
      <w:tr>
        <w:trPr>
          <w:trHeight w:val="27"/>
        </w:trPr>
        <w:tc>
          <w:tcPr>
            <w:tcW w:w="4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00" w:type="dxa"/>
            <w:vAlign w:val="bottom"/>
            <w:tcBorders>
              <w:righ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4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w w:val="93"/>
              </w:rPr>
              <w:t>Note 9</w:t>
            </w:r>
          </w:p>
        </w:tc>
        <w:tc>
          <w:tcPr>
            <w:tcW w:w="1400" w:type="dxa"/>
            <w:vAlign w:val="bottom"/>
            <w:tcBorders>
              <w:left w:val="single" w:sz="8" w:color="CCEEFF"/>
            </w:tcBorders>
            <w:gridSpan w:val="2"/>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60" w:type="dxa"/>
            <w:vAlign w:val="bottom"/>
            <w:gridSpan w:val="4"/>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Leases</w:t>
            </w:r>
          </w:p>
        </w:tc>
        <w:tc>
          <w:tcPr>
            <w:tcW w:w="4420" w:type="dxa"/>
            <w:vAlign w:val="bottom"/>
            <w:gridSpan w:val="8"/>
            <w:shd w:val="clear" w:color="auto" w:fill="CCEEFF"/>
          </w:tcPr>
          <w:p>
            <w:pPr>
              <w:spacing w:after="0"/>
              <w:rPr>
                <w:sz w:val="14"/>
                <w:szCs w:val="14"/>
                <w:color w:val="auto"/>
              </w:rPr>
            </w:pPr>
          </w:p>
        </w:tc>
        <w:tc>
          <w:tcPr>
            <w:tcW w:w="270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w w:val="79"/>
              </w:rPr>
              <w:t>22</w:t>
            </w:r>
          </w:p>
        </w:tc>
      </w:tr>
      <w:tr>
        <w:trPr>
          <w:trHeight w:val="34"/>
        </w:trPr>
        <w:tc>
          <w:tcPr>
            <w:tcW w:w="4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left w:val="single" w:sz="8" w:color="CCEEFF"/>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00" w:type="dxa"/>
            <w:vAlign w:val="bottom"/>
            <w:tcBorders>
              <w:right w:val="single" w:sz="8" w:color="0000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1"/>
        </w:trPr>
        <w:tc>
          <w:tcPr>
            <w:tcW w:w="5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0000FF"/>
              </w:rPr>
              <w:t>Note 10</w:t>
            </w:r>
          </w:p>
        </w:tc>
        <w:tc>
          <w:tcPr>
            <w:tcW w:w="1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80" w:type="dxa"/>
            <w:vAlign w:val="bottom"/>
            <w:gridSpan w:val="12"/>
          </w:tcPr>
          <w:p>
            <w:pPr>
              <w:spacing w:after="0" w:line="161" w:lineRule="exact"/>
              <w:rPr>
                <w:sz w:val="20"/>
                <w:szCs w:val="20"/>
                <w:color w:val="auto"/>
              </w:rPr>
            </w:pPr>
            <w:r>
              <w:rPr>
                <w:rFonts w:ascii="Times New Roman" w:cs="Times New Roman" w:eastAsia="Times New Roman" w:hAnsi="Times New Roman"/>
                <w:sz w:val="15"/>
                <w:szCs w:val="15"/>
                <w:color w:val="0000FF"/>
              </w:rPr>
              <w:t>Debt</w:t>
            </w:r>
          </w:p>
        </w:tc>
        <w:tc>
          <w:tcPr>
            <w:tcW w:w="2860" w:type="dxa"/>
            <w:vAlign w:val="bottom"/>
            <w:gridSpan w:val="3"/>
          </w:tcPr>
          <w:p>
            <w:pPr>
              <w:jc w:val="right"/>
              <w:ind w:right="20"/>
              <w:spacing w:after="0" w:line="161" w:lineRule="exact"/>
              <w:rPr>
                <w:sz w:val="20"/>
                <w:szCs w:val="20"/>
                <w:color w:val="auto"/>
              </w:rPr>
            </w:pPr>
            <w:r>
              <w:rPr>
                <w:rFonts w:ascii="Times New Roman" w:cs="Times New Roman" w:eastAsia="Times New Roman" w:hAnsi="Times New Roman"/>
                <w:sz w:val="15"/>
                <w:szCs w:val="15"/>
                <w:color w:val="0000FF"/>
              </w:rPr>
              <w:t>23</w:t>
            </w:r>
          </w:p>
        </w:tc>
      </w:tr>
      <w:tr>
        <w:trPr>
          <w:trHeight w:val="27"/>
        </w:trPr>
        <w:tc>
          <w:tcPr>
            <w:tcW w:w="4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00" w:type="dxa"/>
            <w:vAlign w:val="bottom"/>
            <w:tcBorders>
              <w:righ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5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Note 11</w:t>
            </w:r>
          </w:p>
        </w:tc>
        <w:tc>
          <w:tcPr>
            <w:tcW w:w="1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80" w:type="dxa"/>
            <w:vAlign w:val="bottom"/>
            <w:gridSpan w:val="1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Commitments and Contingencies</w:t>
            </w:r>
          </w:p>
        </w:tc>
        <w:tc>
          <w:tcPr>
            <w:tcW w:w="2860" w:type="dxa"/>
            <w:vAlign w:val="bottom"/>
            <w:gridSpan w:val="3"/>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25</w:t>
            </w:r>
          </w:p>
        </w:tc>
      </w:tr>
      <w:tr>
        <w:trPr>
          <w:trHeight w:val="34"/>
        </w:trPr>
        <w:tc>
          <w:tcPr>
            <w:tcW w:w="4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00" w:type="dxa"/>
            <w:vAlign w:val="bottom"/>
            <w:tcBorders>
              <w:right w:val="single" w:sz="8" w:color="0000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1"/>
        </w:trPr>
        <w:tc>
          <w:tcPr>
            <w:tcW w:w="5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0000FF"/>
              </w:rPr>
              <w:t>Note 12</w:t>
            </w:r>
          </w:p>
        </w:tc>
        <w:tc>
          <w:tcPr>
            <w:tcW w:w="1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gridSpan w:val="7"/>
          </w:tcPr>
          <w:p>
            <w:pPr>
              <w:spacing w:after="0" w:line="161" w:lineRule="exact"/>
              <w:rPr>
                <w:sz w:val="20"/>
                <w:szCs w:val="20"/>
                <w:color w:val="auto"/>
              </w:rPr>
            </w:pPr>
            <w:r>
              <w:rPr>
                <w:rFonts w:ascii="Times New Roman" w:cs="Times New Roman" w:eastAsia="Times New Roman" w:hAnsi="Times New Roman"/>
                <w:sz w:val="15"/>
                <w:szCs w:val="15"/>
                <w:color w:val="0000FF"/>
                <w:w w:val="97"/>
              </w:rPr>
              <w:t>Stockholders' Equity</w:t>
            </w:r>
          </w:p>
        </w:tc>
        <w:tc>
          <w:tcPr>
            <w:tcW w:w="4020" w:type="dxa"/>
            <w:vAlign w:val="bottom"/>
            <w:gridSpan w:val="5"/>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5"/>
                <w:szCs w:val="15"/>
                <w:color w:val="0000FF"/>
                <w:w w:val="79"/>
              </w:rPr>
              <w:t>27</w:t>
            </w:r>
          </w:p>
        </w:tc>
      </w:tr>
      <w:tr>
        <w:trPr>
          <w:trHeight w:val="27"/>
        </w:trPr>
        <w:tc>
          <w:tcPr>
            <w:tcW w:w="4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00" w:type="dxa"/>
            <w:vAlign w:val="bottom"/>
            <w:tcBorders>
              <w:righ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5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Note 13</w:t>
            </w:r>
          </w:p>
        </w:tc>
        <w:tc>
          <w:tcPr>
            <w:tcW w:w="1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8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Earnings Per Share</w:t>
            </w:r>
          </w:p>
        </w:tc>
        <w:tc>
          <w:tcPr>
            <w:tcW w:w="80" w:type="dxa"/>
            <w:vAlign w:val="bottom"/>
            <w:shd w:val="clear" w:color="auto" w:fill="CCEEFF"/>
          </w:tcPr>
          <w:p>
            <w:pPr>
              <w:spacing w:after="0"/>
              <w:rPr>
                <w:sz w:val="14"/>
                <w:szCs w:val="14"/>
                <w:color w:val="auto"/>
              </w:rPr>
            </w:pPr>
          </w:p>
        </w:tc>
        <w:tc>
          <w:tcPr>
            <w:tcW w:w="4020" w:type="dxa"/>
            <w:vAlign w:val="bottom"/>
            <w:tcBorders>
              <w:left w:val="single" w:sz="8" w:color="CCEEFF"/>
            </w:tcBorders>
            <w:gridSpan w:val="5"/>
            <w:shd w:val="clear" w:color="auto" w:fill="CCEEFF"/>
          </w:tcPr>
          <w:p>
            <w:pPr>
              <w:spacing w:after="0"/>
              <w:rPr>
                <w:sz w:val="14"/>
                <w:szCs w:val="14"/>
                <w:color w:val="auto"/>
              </w:rPr>
            </w:pPr>
          </w:p>
        </w:tc>
        <w:tc>
          <w:tcPr>
            <w:tcW w:w="270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w w:val="79"/>
              </w:rPr>
              <w:t>28</w:t>
            </w:r>
          </w:p>
        </w:tc>
      </w:tr>
      <w:tr>
        <w:trPr>
          <w:trHeight w:val="34"/>
        </w:trPr>
        <w:tc>
          <w:tcPr>
            <w:tcW w:w="4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left w:val="single" w:sz="8" w:color="CCEEFF"/>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00" w:type="dxa"/>
            <w:vAlign w:val="bottom"/>
            <w:tcBorders>
              <w:right w:val="single" w:sz="8" w:color="0000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1"/>
        </w:trPr>
        <w:tc>
          <w:tcPr>
            <w:tcW w:w="5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0000FF"/>
              </w:rPr>
              <w:t>Note 14</w:t>
            </w:r>
          </w:p>
        </w:tc>
        <w:tc>
          <w:tcPr>
            <w:tcW w:w="1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80" w:type="dxa"/>
            <w:vAlign w:val="bottom"/>
            <w:gridSpan w:val="12"/>
          </w:tcPr>
          <w:p>
            <w:pPr>
              <w:spacing w:after="0" w:line="161" w:lineRule="exact"/>
              <w:rPr>
                <w:sz w:val="20"/>
                <w:szCs w:val="20"/>
                <w:color w:val="auto"/>
              </w:rPr>
            </w:pPr>
            <w:r>
              <w:rPr>
                <w:rFonts w:ascii="Times New Roman" w:cs="Times New Roman" w:eastAsia="Times New Roman" w:hAnsi="Times New Roman"/>
                <w:sz w:val="15"/>
                <w:szCs w:val="15"/>
                <w:color w:val="0000FF"/>
              </w:rPr>
              <w:t>Stock-Based Compensation</w:t>
            </w:r>
          </w:p>
        </w:tc>
        <w:tc>
          <w:tcPr>
            <w:tcW w:w="2860" w:type="dxa"/>
            <w:vAlign w:val="bottom"/>
            <w:gridSpan w:val="3"/>
          </w:tcPr>
          <w:p>
            <w:pPr>
              <w:jc w:val="right"/>
              <w:ind w:right="20"/>
              <w:spacing w:after="0" w:line="161" w:lineRule="exact"/>
              <w:rPr>
                <w:sz w:val="20"/>
                <w:szCs w:val="20"/>
                <w:color w:val="auto"/>
              </w:rPr>
            </w:pPr>
            <w:r>
              <w:rPr>
                <w:rFonts w:ascii="Times New Roman" w:cs="Times New Roman" w:eastAsia="Times New Roman" w:hAnsi="Times New Roman"/>
                <w:sz w:val="15"/>
                <w:szCs w:val="15"/>
                <w:color w:val="0000FF"/>
              </w:rPr>
              <w:t>29</w:t>
            </w:r>
          </w:p>
        </w:tc>
      </w:tr>
      <w:tr>
        <w:trPr>
          <w:trHeight w:val="27"/>
        </w:trPr>
        <w:tc>
          <w:tcPr>
            <w:tcW w:w="4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00" w:type="dxa"/>
            <w:vAlign w:val="bottom"/>
            <w:tcBorders>
              <w:righ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5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Note 15</w:t>
            </w:r>
          </w:p>
        </w:tc>
        <w:tc>
          <w:tcPr>
            <w:tcW w:w="1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6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w w:val="95"/>
              </w:rPr>
              <w:t>Segment Information</w:t>
            </w:r>
          </w:p>
        </w:tc>
        <w:tc>
          <w:tcPr>
            <w:tcW w:w="440" w:type="dxa"/>
            <w:vAlign w:val="bottom"/>
            <w:tcBorders>
              <w:left w:val="single" w:sz="8" w:color="CCEEFF"/>
            </w:tcBorders>
            <w:gridSpan w:val="2"/>
            <w:shd w:val="clear" w:color="auto" w:fill="CCEEFF"/>
          </w:tcPr>
          <w:p>
            <w:pPr>
              <w:spacing w:after="0"/>
              <w:rPr>
                <w:sz w:val="15"/>
                <w:szCs w:val="15"/>
                <w:color w:val="auto"/>
              </w:rPr>
            </w:pPr>
          </w:p>
        </w:tc>
        <w:tc>
          <w:tcPr>
            <w:tcW w:w="3580" w:type="dxa"/>
            <w:vAlign w:val="bottom"/>
            <w:gridSpan w:val="3"/>
            <w:shd w:val="clear" w:color="auto" w:fill="CCEEFF"/>
          </w:tcPr>
          <w:p>
            <w:pPr>
              <w:spacing w:after="0"/>
              <w:rPr>
                <w:sz w:val="15"/>
                <w:szCs w:val="15"/>
                <w:color w:val="auto"/>
              </w:rPr>
            </w:pPr>
          </w:p>
        </w:tc>
        <w:tc>
          <w:tcPr>
            <w:tcW w:w="2700" w:type="dxa"/>
            <w:vAlign w:val="bottom"/>
            <w:tcBorders>
              <w:righ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w w:val="79"/>
              </w:rPr>
              <w:t>31</w:t>
            </w:r>
          </w:p>
        </w:tc>
      </w:tr>
      <w:tr>
        <w:trPr>
          <w:trHeight w:val="734"/>
        </w:trPr>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1260" w:type="dxa"/>
            <w:vAlign w:val="bottom"/>
            <w:tcBorders>
              <w:top w:val="single" w:sz="8" w:color="0000FF"/>
            </w:tcBorders>
            <w:gridSpan w:val="7"/>
          </w:tcPr>
          <w:p>
            <w:pPr>
              <w:spacing w:after="0"/>
              <w:rPr>
                <w:sz w:val="24"/>
                <w:szCs w:val="24"/>
                <w:color w:val="auto"/>
              </w:rPr>
            </w:pPr>
          </w:p>
        </w:tc>
        <w:tc>
          <w:tcPr>
            <w:tcW w:w="1500" w:type="dxa"/>
            <w:vAlign w:val="bottom"/>
            <w:tcBorders>
              <w:top w:val="single" w:sz="8" w:color="CCEEFF"/>
            </w:tcBorders>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10</w:t>
            </w:r>
          </w:p>
        </w:tc>
        <w:tc>
          <w:tcPr>
            <w:tcW w:w="252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95"/>
        </w:trPr>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FactSet Research Systems Inc. and its wholly-owned subsidiaries (collectively, "we," "our," "us," the "Company" or "FactSet") is a global financial digital platform and enterprise solutions provider with open and flexible technologies that drive the investment community to see more, think bigger and do its best work.</w:t>
      </w:r>
    </w:p>
    <w:p>
      <w:pPr>
        <w:spacing w:after="0" w:line="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platform delivers expansive data, sophisticated analytics and flexible technology used by global financial professionals to power their critical investment workflows. As of May 31, 2024, we had more than 8,000 clients comprised of over 208,000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These platforms and solutions are supported by our dedicated client service team.</w:t>
      </w:r>
    </w:p>
    <w:p>
      <w:pPr>
        <w:spacing w:after="0" w:line="1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We operate our business through three reportable segments ("segments"): the Americas, EMEA and Asia Pacific. During fiscal 2024, we revised our internal organization within each segment to offer data, products and analytical applications by firm type:</w:t>
      </w:r>
    </w:p>
    <w:p>
      <w:pPr>
        <w:spacing w:after="0" w:line="98" w:lineRule="exact"/>
        <w:rPr>
          <w:sz w:val="20"/>
          <w:szCs w:val="20"/>
          <w:color w:val="auto"/>
        </w:rPr>
      </w:pPr>
    </w:p>
    <w:p>
      <w:pPr>
        <w:ind w:left="540" w:hanging="273"/>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Buyside" focuses on asset managers, asset owners, and hedge fund companies,</w:t>
      </w:r>
    </w:p>
    <w:p>
      <w:pPr>
        <w:spacing w:after="0" w:line="79" w:lineRule="exact"/>
        <w:rPr>
          <w:rFonts w:ascii="Times New Roman" w:cs="Times New Roman" w:eastAsia="Times New Roman" w:hAnsi="Times New Roman"/>
          <w:sz w:val="15"/>
          <w:szCs w:val="15"/>
          <w:color w:val="auto"/>
        </w:rPr>
      </w:pPr>
    </w:p>
    <w:p>
      <w:pPr>
        <w:ind w:left="540" w:hanging="273"/>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"Dealmakers" focuses on banking and sell-side research, corporate, and private equity and venture capital workflows,</w:t>
      </w:r>
    </w:p>
    <w:p>
      <w:pPr>
        <w:spacing w:after="0" w:line="91" w:lineRule="exact"/>
        <w:rPr>
          <w:rFonts w:ascii="Times New Roman" w:cs="Times New Roman" w:eastAsia="Times New Roman" w:hAnsi="Times New Roman"/>
          <w:sz w:val="15"/>
          <w:szCs w:val="15"/>
          <w:color w:val="auto"/>
        </w:rPr>
      </w:pPr>
    </w:p>
    <w:p>
      <w:pPr>
        <w:ind w:left="540" w:hanging="273"/>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"Wealth" focuses on wealth management workflows, and</w:t>
      </w:r>
    </w:p>
    <w:p>
      <w:pPr>
        <w:spacing w:after="0" w:line="91" w:lineRule="exact"/>
        <w:rPr>
          <w:rFonts w:ascii="Times New Roman" w:cs="Times New Roman" w:eastAsia="Times New Roman" w:hAnsi="Times New Roman"/>
          <w:sz w:val="15"/>
          <w:szCs w:val="15"/>
          <w:color w:val="auto"/>
        </w:rPr>
      </w:pPr>
    </w:p>
    <w:p>
      <w:pPr>
        <w:ind w:left="540" w:hanging="273"/>
        <w:spacing w:after="0" w:line="291" w:lineRule="auto"/>
        <w:tabs>
          <w:tab w:leader="none" w:pos="53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and CGS": "Partnerships" delivers solutions to content providers, financial exchanges, and rating agencies. "CGS" is the exclusive issuer of Committee on Uniform Security Identification Procedures ("CUSIP") and CUSIP International Number System ("CINS") identifiers.</w:t>
      </w:r>
    </w:p>
    <w:p>
      <w:pPr>
        <w:spacing w:after="0" w:line="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As our chief operating decision maker ("CODM") continues to review our business and operating results based on our three segments, the Americas, EMEA and Asia Pacific, the realignment of our internal organization by firm type will not impact our segments for fiscal 2024. Refer to Note 15, </w:t>
      </w:r>
      <w:r>
        <w:rPr>
          <w:rFonts w:ascii="Times New Roman" w:cs="Times New Roman" w:eastAsia="Times New Roman" w:hAnsi="Times New Roman"/>
          <w:sz w:val="15"/>
          <w:szCs w:val="15"/>
          <w:i w:val="1"/>
          <w:iCs w:val="1"/>
          <w:color w:val="auto"/>
        </w:rPr>
        <w:t>Segment Information</w:t>
      </w:r>
      <w:r>
        <w:rPr>
          <w:rFonts w:ascii="Times New Roman" w:cs="Times New Roman" w:eastAsia="Times New Roman" w:hAnsi="Times New Roman"/>
          <w:sz w:val="15"/>
          <w:szCs w:val="15"/>
          <w:color w:val="auto"/>
        </w:rPr>
        <w:t>, for further discussion on our segments and CODM.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2023. The accompanying unaudited Consolidated Financial Statements include our accounts and those of our wholly-owned subsidiaries; all intercompany activity and balances have been eliminated.</w:t>
      </w:r>
    </w:p>
    <w:p>
      <w:pPr>
        <w:spacing w:after="0" w:line="12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include income taxes, stock-based compensation, goodwill and intangible assets, business combinations, long-lived assets, contingencies and impairment assessments.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Concentrations of Credit Risk</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Credit risk arises from the potential nonperformance by counterparties to fulfill their financial obligations. Our financial instruments that potentially subject us to concentrations of credit risk consist primarily of our cash and cash equivalents, accounts receivable, investments in mutual funds and derivative instruments. The maximum credit exposure of our cash and cash equivalents, accounts receivable and investments in mutual funds is their carrying values as of the balance sheet date. The maximum credit exposure related to our derivative instruments is based upon their respective gross fair values as of the balance sheet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Cash and Cash Equivalents and Investments</w:t>
      </w:r>
    </w:p>
    <w:p>
      <w:pPr>
        <w:spacing w:after="0" w:line="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We are exposed to credit risk on our cash, cash equivalents and investments in mutual funds in the event of default by the governmental and financial institutions with which we transact. We invest in a manner that aligns with our restrictive cash investment practices, preserves capital and provides liquidity, while minimizing our exposure to credit risk. We limit our exposure to credit loss by investing with multiple governmental and financial institutions that we believe are high-quality and credit-worthy. We have not experienced any credit losses relating to our cash, cash equivalents and investments in mutual 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Accounts Receivable</w:t>
      </w:r>
    </w:p>
    <w:p>
      <w:pPr>
        <w:spacing w:after="0" w:line="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Our accounts receivable credit risk is dependent upon the financial stability of our individual clients. As of May 31, 2024 and August 31, 2023, our accounts receivable reserve was $10.5 million and $7.8 million, respectively. We do not require collateral from our clients; however, no single client represented more than 3.5% of our total revenues in any period presented. Due to our large and geographically dispersed client base, our concentration of credit risk related to our accounts receivable is generally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Derivative Instruments</w:t>
      </w:r>
    </w:p>
    <w:p>
      <w:pPr>
        <w:spacing w:after="0" w:line="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Concentrations of Data Providers</w:t>
      </w:r>
    </w:p>
    <w:p>
      <w:pPr>
        <w:spacing w:after="0" w:line="16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only two data suppliers each representing more than 10% of our total data costs for the nine months ended May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Concentrations of Cloud Providers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nine months ended May 31, 2024. We maintain back-up facilities and other redundancies at our data centers, take security measures and have emergency planning procedures to minimize the risk that an event will disrupt our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Recently Adopted Accounting Pronouncements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did not adopt any new standards or updates issued by the Financial Accounting Standards Board ("FASB") during the three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nine months ended May 31, 2024 that had a material impact on our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Accounting Pronouncements Not Yet Adopted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 Disclosures - The Enhancement and Standardization of Climate-Related Disclosures for Investors</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 xml:space="preserve">In March 2024, the SEC adopted a final rule under SEC Release Nos. 33-11275 and 34-99678, </w:t>
      </w:r>
      <w:r>
        <w:rPr>
          <w:rFonts w:ascii="Times New Roman" w:cs="Times New Roman" w:eastAsia="Times New Roman" w:hAnsi="Times New Roman"/>
          <w:sz w:val="15"/>
          <w:szCs w:val="15"/>
          <w:i w:val="1"/>
          <w:iCs w:val="1"/>
          <w:color w:val="auto"/>
        </w:rPr>
        <w:t>The Enhancement and Standardization of Climate-Related Disclosures for Investors</w:t>
      </w:r>
      <w:r>
        <w:rPr>
          <w:rFonts w:ascii="Times New Roman" w:cs="Times New Roman" w:eastAsia="Times New Roman" w:hAnsi="Times New Roman"/>
          <w:sz w:val="15"/>
          <w:szCs w:val="15"/>
          <w:color w:val="auto"/>
        </w:rPr>
        <w:t>, which would require disclosure of certain climate-related information in various filings with the SEC. In April 2024, the SEC stayed implementation of the final rule pending completion of judicial review. We are currently assessing the potential impact of the rule on our disclosures.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Codification Improvements - Amendments to Remove References to the Concepts Statements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In March 2024, the FASB issued Accounting Standards Update ("ASU") 2024-02, </w:t>
      </w:r>
      <w:r>
        <w:rPr>
          <w:rFonts w:ascii="Times New Roman" w:cs="Times New Roman" w:eastAsia="Times New Roman" w:hAnsi="Times New Roman"/>
          <w:sz w:val="15"/>
          <w:szCs w:val="15"/>
          <w:i w:val="1"/>
          <w:iCs w:val="1"/>
          <w:color w:val="auto"/>
        </w:rPr>
        <w:t>Codification Improvements - Amendments to Remove References to the Concepts Statements</w:t>
      </w:r>
      <w:r>
        <w:rPr>
          <w:rFonts w:ascii="Times New Roman" w:cs="Times New Roman" w:eastAsia="Times New Roman" w:hAnsi="Times New Roman"/>
          <w:sz w:val="15"/>
          <w:szCs w:val="15"/>
          <w:color w:val="auto"/>
        </w:rPr>
        <w:t>. This ASU amends the FASB Accounting Standards Codification ("the Codification") to remove references to various FASB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The amendments in this ASU are to be applied prospectively, although retrospective application is permitted, and are effective for our interim and annual financial statements starting in fiscal 2026. Early adoption is permitted. This ASU is not expected to have a material impact on our Consolidated Financial Statements or related disclosures.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Taxes - Improvements to Income Tax Disclosures</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 - Improvements to Income Tax Disclosures</w:t>
      </w:r>
      <w:r>
        <w:rPr>
          <w:rFonts w:ascii="Times New Roman" w:cs="Times New Roman" w:eastAsia="Times New Roman" w:hAnsi="Times New Roman"/>
          <w:sz w:val="15"/>
          <w:szCs w:val="15"/>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is not expected to have a material impact on our Consolidated Financial Statements. We are currently assessing the impact of the new requirements on our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Segment Reporting - Improvements to Reportable Segment Disclosures</w:t>
      </w:r>
    </w:p>
    <w:p>
      <w:pPr>
        <w:spacing w:after="0" w:line="1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In November 2023, the FASB issued ASU 2023-07, </w:t>
      </w:r>
      <w:r>
        <w:rPr>
          <w:rFonts w:ascii="Times New Roman" w:cs="Times New Roman" w:eastAsia="Times New Roman" w:hAnsi="Times New Roman"/>
          <w:sz w:val="15"/>
          <w:szCs w:val="15"/>
          <w:i w:val="1"/>
          <w:iCs w:val="1"/>
          <w:color w:val="auto"/>
        </w:rPr>
        <w:t>Segment Reporting (Topic 280) - Improvements to Reportable Segment Disclosures</w:t>
      </w:r>
      <w:r>
        <w:rPr>
          <w:rFonts w:ascii="Times New Roman" w:cs="Times New Roman" w:eastAsia="Times New Roman" w:hAnsi="Times New Roman"/>
          <w:sz w:val="15"/>
          <w:szCs w:val="15"/>
          <w:color w:val="auto"/>
        </w:rPr>
        <w:t>. This ASU enhances segment disclosures primarily related to significant segment expenses for both interim and annual periods. The amendments in this ASU are to be applied retrospectively and are effective for our annual financial statements starting in fiscal 2025 and interim periods starting in fiscal 2026. Early adoption is permitted. This ASU is not expected to have a material impact on our Consolidated Financial Statements. We are currently assessing the impact of the new requirements on our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Disclosure Improvements - Codification Amendment in Response to the Securities and Exchange Commission's ("SEC") Disclosure Update and Simplification Initiative</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In October 2023, the FASB issued ASU 2023-06, </w:t>
      </w:r>
      <w:r>
        <w:rPr>
          <w:rFonts w:ascii="Times New Roman" w:cs="Times New Roman" w:eastAsia="Times New Roman" w:hAnsi="Times New Roman"/>
          <w:sz w:val="15"/>
          <w:szCs w:val="15"/>
          <w:i w:val="1"/>
          <w:iCs w:val="1"/>
          <w:color w:val="auto"/>
        </w:rPr>
        <w:t>Disclosure Improvements - Codification Amendment in Response to the SEC’s Disclosure Update and Simplification Initiative</w:t>
      </w:r>
      <w:r>
        <w:rPr>
          <w:rFonts w:ascii="Times New Roman" w:cs="Times New Roman" w:eastAsia="Times New Roman" w:hAnsi="Times New Roman"/>
          <w:sz w:val="15"/>
          <w:szCs w:val="15"/>
          <w:color w:val="auto"/>
        </w:rPr>
        <w:t>. The ASU incorporates several disclosure and presentation requirements currently residing in the SEC Regulations S-X and S-K. 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No other new accounting pronouncements issued or effective during the nine months ended May 31, 2024 have had, or are expected to have, a material impact on our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We derive most of our revenues by providing client access to our multi-asset class solutions powered by our content refinery (referred to as the "Hosted Platform"). The Hosted Platform is a subscription-based service that provides client access to various combinations of products and services including workstations, portfolio analytics and enterprise solutions. We also derive revenues through the CGS platform, a subscription-based service that provides access to a database of universally recognized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 identifiers and related descriptive data for issuers and their financial instruments (referred to as the "Identifier Platform").</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majority of each of our contracts with clients, whether for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services and products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There are no significant judgments that would impact the timing of revenue recognition.</w:t>
      </w:r>
    </w:p>
    <w:p>
      <w:pPr>
        <w:spacing w:after="0" w:line="12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9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Disaggregated Revenues</w:t>
      </w:r>
    </w:p>
    <w:p>
      <w:pPr>
        <w:spacing w:after="0" w:line="16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 xml:space="preserve">We disaggregate revenues from our client contracts by segment based on our clients' respective geographic locations. Our business segmentation by geography is aligned with the operational and economic characteristics of our business. Refer to Note 15, </w:t>
      </w:r>
      <w:r>
        <w:rPr>
          <w:rFonts w:ascii="Times New Roman" w:cs="Times New Roman" w:eastAsia="Times New Roman" w:hAnsi="Times New Roman"/>
          <w:sz w:val="15"/>
          <w:szCs w:val="15"/>
          <w:i w:val="1"/>
          <w:iCs w:val="1"/>
          <w:color w:val="auto"/>
        </w:rPr>
        <w:t>Segment Information</w:t>
      </w:r>
      <w:r>
        <w:rPr>
          <w:rFonts w:ascii="Times New Roman" w:cs="Times New Roman" w:eastAsia="Times New Roman" w:hAnsi="Times New Roman"/>
          <w:sz w:val="15"/>
          <w:szCs w:val="15"/>
          <w:color w:val="auto"/>
        </w:rPr>
        <w:t>, for further information.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2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presents revenues disaggregated by segment:</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320" w:type="dxa"/>
            <w:vAlign w:val="bottom"/>
          </w:tcPr>
          <w:p>
            <w:pPr>
              <w:spacing w:after="0"/>
              <w:rPr>
                <w:sz w:val="21"/>
                <w:szCs w:val="21"/>
                <w:color w:val="auto"/>
              </w:rPr>
            </w:pPr>
          </w:p>
        </w:tc>
        <w:tc>
          <w:tcPr>
            <w:tcW w:w="23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Three Months Ended</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gridSpan w:val="3"/>
          </w:tcPr>
          <w:p>
            <w:pPr>
              <w:jc w:val="right"/>
              <w:ind w:right="804"/>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195"/>
        </w:trPr>
        <w:tc>
          <w:tcPr>
            <w:tcW w:w="532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900" w:type="dxa"/>
            <w:vAlign w:val="bottom"/>
          </w:tcPr>
          <w:p>
            <w:pPr>
              <w:spacing w:after="0"/>
              <w:rPr>
                <w:sz w:val="16"/>
                <w:szCs w:val="16"/>
                <w:color w:val="auto"/>
              </w:rPr>
            </w:pPr>
          </w:p>
        </w:tc>
        <w:tc>
          <w:tcPr>
            <w:tcW w:w="1480" w:type="dxa"/>
            <w:vAlign w:val="bottom"/>
            <w:gridSpan w:val="2"/>
          </w:tcPr>
          <w:p>
            <w:pPr>
              <w:jc w:val="right"/>
              <w:ind w:right="584"/>
              <w:spacing w:after="0"/>
              <w:rPr>
                <w:sz w:val="20"/>
                <w:szCs w:val="20"/>
                <w:color w:val="auto"/>
              </w:rPr>
            </w:pPr>
            <w:r>
              <w:rPr>
                <w:rFonts w:ascii="Times New Roman" w:cs="Times New Roman" w:eastAsia="Times New Roman" w:hAnsi="Times New Roman"/>
                <w:sz w:val="15"/>
                <w:szCs w:val="15"/>
                <w:color w:val="auto"/>
              </w:rPr>
              <w:t>May 31,</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May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2024</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Americas</w:t>
            </w:r>
          </w:p>
        </w:tc>
        <w:tc>
          <w:tcPr>
            <w:tcW w:w="90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356,468</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337,691</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1,057,453</w:t>
            </w:r>
          </w:p>
        </w:tc>
        <w:tc>
          <w:tcPr>
            <w:tcW w:w="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992,179</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5"/>
                <w:szCs w:val="15"/>
                <w:color w:val="auto"/>
              </w:rPr>
              <w:t>EMEA</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141,279</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137,973</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420,016</w:t>
            </w:r>
          </w:p>
        </w:tc>
        <w:tc>
          <w:tcPr>
            <w:tcW w:w="4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401,219</w:t>
            </w:r>
          </w:p>
        </w:tc>
        <w:tc>
          <w:tcPr>
            <w:tcW w:w="0" w:type="dxa"/>
            <w:vAlign w:val="bottom"/>
          </w:tcPr>
          <w:p>
            <w:pPr>
              <w:spacing w:after="0"/>
              <w:rPr>
                <w:sz w:val="1"/>
                <w:szCs w:val="1"/>
                <w:color w:val="auto"/>
              </w:rPr>
            </w:pPr>
          </w:p>
        </w:tc>
      </w:tr>
      <w:tr>
        <w:trPr>
          <w:trHeight w:val="23"/>
        </w:trPr>
        <w:tc>
          <w:tcPr>
            <w:tcW w:w="5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Asia Pacific</w:t>
            </w: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54,961</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54,147</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163,400</w:t>
            </w:r>
          </w:p>
        </w:tc>
        <w:tc>
          <w:tcPr>
            <w:tcW w:w="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156,313</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900" w:type="dxa"/>
            <w:vAlign w:val="bottom"/>
            <w:tcBorders>
              <w:top w:val="single" w:sz="8" w:color="auto"/>
            </w:tcBorders>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552,708</w:t>
            </w:r>
          </w:p>
        </w:tc>
        <w:tc>
          <w:tcPr>
            <w:tcW w:w="920" w:type="dxa"/>
            <w:vAlign w:val="bottom"/>
            <w:tcBorders>
              <w:top w:val="single" w:sz="8" w:color="auto"/>
            </w:tcBorders>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529,811</w:t>
            </w:r>
          </w:p>
        </w:tc>
        <w:tc>
          <w:tcPr>
            <w:tcW w:w="36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1,640,869</w:t>
            </w:r>
          </w:p>
        </w:tc>
        <w:tc>
          <w:tcPr>
            <w:tcW w:w="44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1,549,711</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MEASURES</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 Hierarchy</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Level 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applies to assets or liabilities for which there are quoted prices in active markets for identical assets or liabilities.</w:t>
      </w:r>
    </w:p>
    <w:p>
      <w:pPr>
        <w:spacing w:after="0" w:line="17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5"/>
          <w:szCs w:val="15"/>
          <w:i w:val="1"/>
          <w:iCs w:val="1"/>
          <w:u w:val="single" w:color="auto"/>
          <w:color w:val="auto"/>
        </w:rPr>
        <w:t>Level 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applies to assets or liabilities for which there are inputs other than quoted prices that are observable for the asset or liability such as quoted prices for similar assets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liabilities in active markets; quoted prices for identical assets or liabilities 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right="20"/>
        <w:spacing w:after="0" w:line="291" w:lineRule="auto"/>
        <w:rPr>
          <w:sz w:val="20"/>
          <w:szCs w:val="20"/>
          <w:color w:val="auto"/>
        </w:rPr>
      </w:pPr>
      <w:r>
        <w:rPr>
          <w:rFonts w:ascii="Times New Roman" w:cs="Times New Roman" w:eastAsia="Times New Roman" w:hAnsi="Times New Roman"/>
          <w:sz w:val="15"/>
          <w:szCs w:val="15"/>
          <w:color w:val="auto"/>
        </w:rPr>
        <w:t>markets with insufficient volume or infrequent transactions (less active markets); or model-derived valuations in which significant inputs are observable or can be derived principally from, or corroborated by, observable market data.</w:t>
      </w:r>
    </w:p>
    <w:p>
      <w:pPr>
        <w:spacing w:after="0" w:line="105" w:lineRule="exact"/>
        <w:rPr>
          <w:sz w:val="20"/>
          <w:szCs w:val="20"/>
          <w:color w:val="auto"/>
        </w:rPr>
      </w:pPr>
    </w:p>
    <w:p>
      <w:pPr>
        <w:ind w:left="8" w:right="20"/>
        <w:spacing w:after="0" w:line="296" w:lineRule="auto"/>
        <w:rPr>
          <w:sz w:val="20"/>
          <w:szCs w:val="20"/>
          <w:color w:val="auto"/>
        </w:rPr>
      </w:pPr>
      <w:r>
        <w:rPr>
          <w:rFonts w:ascii="Times New Roman" w:cs="Times New Roman" w:eastAsia="Times New Roman" w:hAnsi="Times New Roman"/>
          <w:sz w:val="15"/>
          <w:szCs w:val="15"/>
          <w:i w:val="1"/>
          <w:iCs w:val="1"/>
          <w:u w:val="single" w:color="auto"/>
          <w:color w:val="auto"/>
        </w:rPr>
        <w:t>Level 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applies to assets or liabilities for which there are unobservable inputs to the valuation methodology that are significant to the measurement of the fair value of the assets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liabilities.</w:t>
      </w:r>
    </w:p>
    <w:p>
      <w:pPr>
        <w:spacing w:after="0" w:line="95" w:lineRule="exact"/>
        <w:rPr>
          <w:sz w:val="20"/>
          <w:szCs w:val="20"/>
          <w:color w:val="auto"/>
        </w:rPr>
      </w:pPr>
    </w:p>
    <w:p>
      <w:pPr>
        <w:ind w:left="8"/>
        <w:spacing w:after="0" w:line="291" w:lineRule="auto"/>
        <w:rPr>
          <w:sz w:val="20"/>
          <w:szCs w:val="20"/>
          <w:color w:val="auto"/>
        </w:rPr>
      </w:pPr>
      <w:r>
        <w:rPr>
          <w:rFonts w:ascii="Times New Roman" w:cs="Times New Roman" w:eastAsia="Times New Roman" w:hAnsi="Times New Roman"/>
          <w:sz w:val="15"/>
          <w:szCs w:val="15"/>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(a) Assets and Liabilities Measured at Fair Value on a Recurring Basis</w:t>
      </w:r>
    </w:p>
    <w:p>
      <w:pPr>
        <w:spacing w:after="0" w:line="176" w:lineRule="exact"/>
        <w:rPr>
          <w:sz w:val="20"/>
          <w:szCs w:val="20"/>
          <w:color w:val="auto"/>
        </w:rPr>
      </w:pPr>
    </w:p>
    <w:p>
      <w:pPr>
        <w:ind w:left="8" w:right="20"/>
        <w:spacing w:after="0" w:line="291" w:lineRule="auto"/>
        <w:rPr>
          <w:sz w:val="20"/>
          <w:szCs w:val="20"/>
          <w:color w:val="auto"/>
        </w:rPr>
      </w:pPr>
      <w:r>
        <w:rPr>
          <w:rFonts w:ascii="Times New Roman" w:cs="Times New Roman" w:eastAsia="Times New Roman" w:hAnsi="Times New Roman"/>
          <w:sz w:val="15"/>
          <w:szCs w:val="15"/>
          <w:color w:val="auto"/>
        </w:rPr>
        <w:t>The following tables show, by level within the fair value hierarchy, our assets and liabilities that are measured at fair value on a recurring basis as of May 31, 2024, and August 31, 2023. We did not have any transfers between levels of fair value measurements during the nine months ended May 31, 2024 and the fiscal year ended August 31, 2023.</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98"/>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jc w:val="right"/>
              <w:ind w:right="45"/>
              <w:spacing w:after="0"/>
              <w:rPr>
                <w:sz w:val="20"/>
                <w:szCs w:val="20"/>
                <w:color w:val="auto"/>
              </w:rPr>
            </w:pPr>
            <w:r>
              <w:rPr>
                <w:rFonts w:ascii="Times New Roman" w:cs="Times New Roman" w:eastAsia="Times New Roman" w:hAnsi="Times New Roman"/>
                <w:sz w:val="15"/>
                <w:szCs w:val="15"/>
                <w:color w:val="auto"/>
              </w:rPr>
              <w:t>Fair Value Measurements as of May 31, 2024</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5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Level 1</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Level 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color w:val="auto"/>
              </w:rPr>
              <w:t>Level 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color w:val="auto"/>
              </w:rPr>
              <w:t>Total</w:t>
            </w:r>
          </w:p>
        </w:tc>
      </w:tr>
      <w:tr>
        <w:trPr>
          <w:trHeight w:val="152"/>
        </w:trPr>
        <w:tc>
          <w:tcPr>
            <w:tcW w:w="516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Assets</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34"/>
        </w:trPr>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r>
        <w:trPr>
          <w:trHeight w:val="229"/>
        </w:trPr>
        <w:tc>
          <w:tcPr>
            <w:tcW w:w="5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Money market funds</w:t>
            </w:r>
            <w:r>
              <w:rPr>
                <w:rFonts w:ascii="Times New Roman" w:cs="Times New Roman" w:eastAsia="Times New Roman" w:hAnsi="Times New Roman"/>
                <w:sz w:val="19"/>
                <w:szCs w:val="19"/>
                <w:color w:val="auto"/>
                <w:vertAlign w:val="superscript"/>
              </w:rPr>
              <w:t>(1)</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129,944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right"/>
              <w:ind w:right="144"/>
              <w:spacing w:after="0" w:line="23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bscript"/>
              </w:rPr>
              <w:t>$</w:t>
            </w:r>
          </w:p>
        </w:tc>
        <w:tc>
          <w:tcPr>
            <w:tcW w:w="1560" w:type="dxa"/>
            <w:vAlign w:val="bottom"/>
            <w:gridSpan w:val="2"/>
          </w:tcPr>
          <w:p>
            <w:pPr>
              <w:jc w:val="right"/>
              <w:ind w:right="184"/>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129,944</w:t>
            </w:r>
          </w:p>
        </w:tc>
      </w:tr>
      <w:tr>
        <w:trPr>
          <w:trHeight w:val="229"/>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Mutual funds</w:t>
            </w:r>
            <w:r>
              <w:rPr>
                <w:rFonts w:ascii="Times New Roman" w:cs="Times New Roman" w:eastAsia="Times New Roman" w:hAnsi="Times New Roman"/>
                <w:sz w:val="19"/>
                <w:szCs w:val="19"/>
                <w:color w:val="auto"/>
                <w:vertAlign w:val="superscript"/>
              </w:rPr>
              <w:t>(2)</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68,890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68,890</w:t>
            </w:r>
          </w:p>
        </w:tc>
      </w:tr>
      <w:tr>
        <w:trPr>
          <w:trHeight w:val="229"/>
        </w:trPr>
        <w:tc>
          <w:tcPr>
            <w:tcW w:w="5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Derivative instruments</w:t>
            </w:r>
            <w:r>
              <w:rPr>
                <w:rFonts w:ascii="Times New Roman" w:cs="Times New Roman" w:eastAsia="Times New Roman" w:hAnsi="Times New Roman"/>
                <w:sz w:val="19"/>
                <w:szCs w:val="19"/>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w:t>
            </w:r>
          </w:p>
        </w:tc>
      </w:tr>
      <w:tr>
        <w:trPr>
          <w:trHeight w:val="186"/>
        </w:trPr>
        <w:tc>
          <w:tcPr>
            <w:tcW w:w="400" w:type="dxa"/>
            <w:vAlign w:val="bottom"/>
            <w:shd w:val="clear" w:color="auto" w:fill="CCEEFF"/>
          </w:tcPr>
          <w:p>
            <w:pPr>
              <w:spacing w:after="0"/>
              <w:rPr>
                <w:sz w:val="16"/>
                <w:szCs w:val="16"/>
                <w:color w:val="auto"/>
              </w:rPr>
            </w:pPr>
          </w:p>
        </w:tc>
        <w:tc>
          <w:tcPr>
            <w:tcW w:w="4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assets measured at fair value</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69,433</w:t>
            </w:r>
          </w:p>
        </w:tc>
        <w:tc>
          <w:tcPr>
            <w:tcW w:w="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199,377</w:t>
            </w:r>
          </w:p>
        </w:tc>
      </w:tr>
      <w:tr>
        <w:trPr>
          <w:trHeight w:val="184"/>
        </w:trPr>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1"/>
        </w:trPr>
        <w:tc>
          <w:tcPr>
            <w:tcW w:w="516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Liabilities</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34"/>
        </w:trPr>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r>
        <w:trPr>
          <w:trHeight w:val="229"/>
        </w:trPr>
        <w:tc>
          <w:tcPr>
            <w:tcW w:w="5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Derivative instruments</w:t>
            </w:r>
            <w:r>
              <w:rPr>
                <w:rFonts w:ascii="Times New Roman" w:cs="Times New Roman" w:eastAsia="Times New Roman" w:hAnsi="Times New Roman"/>
                <w:sz w:val="19"/>
                <w:szCs w:val="19"/>
                <w:color w:val="auto"/>
                <w:vertAlign w:val="superscript"/>
              </w:rPr>
              <w:t>(3)</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w:t>
            </w:r>
          </w:p>
        </w:tc>
        <w:tc>
          <w:tcPr>
            <w:tcW w:w="3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84"/>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w:t>
            </w:r>
          </w:p>
        </w:tc>
      </w:tr>
      <w:tr>
        <w:trPr>
          <w:trHeight w:val="229"/>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Contingent Liability</w:t>
            </w:r>
            <w:r>
              <w:rPr>
                <w:rFonts w:ascii="Times New Roman" w:cs="Times New Roman" w:eastAsia="Times New Roman" w:hAnsi="Times New Roman"/>
                <w:sz w:val="19"/>
                <w:szCs w:val="19"/>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8,431</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8,431</w:t>
            </w:r>
          </w:p>
        </w:tc>
      </w:tr>
      <w:tr>
        <w:trPr>
          <w:trHeight w:val="190"/>
        </w:trPr>
        <w:tc>
          <w:tcPr>
            <w:tcW w:w="400" w:type="dxa"/>
            <w:vAlign w:val="bottom"/>
          </w:tcPr>
          <w:p>
            <w:pPr>
              <w:spacing w:after="0"/>
              <w:rPr>
                <w:sz w:val="16"/>
                <w:szCs w:val="16"/>
                <w:color w:val="auto"/>
              </w:rPr>
            </w:pP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Total liabilities measured at fair value</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w:t>
            </w:r>
          </w:p>
        </w:tc>
        <w:tc>
          <w:tcPr>
            <w:tcW w:w="3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8,431</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9,500</w:t>
            </w:r>
          </w:p>
        </w:tc>
      </w:tr>
      <w:tr>
        <w:trPr>
          <w:trHeight w:val="651"/>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Fair Value Measurements as of August 31, 2023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5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Level 1</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Level 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color w:val="auto"/>
              </w:rPr>
              <w:t>Level 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color w:val="auto"/>
              </w:rPr>
              <w:t>Total</w:t>
            </w:r>
          </w:p>
        </w:tc>
      </w:tr>
      <w:tr>
        <w:trPr>
          <w:trHeight w:val="152"/>
        </w:trPr>
        <w:tc>
          <w:tcPr>
            <w:tcW w:w="516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Assets</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34"/>
        </w:trPr>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r>
        <w:trPr>
          <w:trHeight w:val="229"/>
        </w:trPr>
        <w:tc>
          <w:tcPr>
            <w:tcW w:w="5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Money market funds</w:t>
            </w:r>
            <w:r>
              <w:rPr>
                <w:rFonts w:ascii="Times New Roman" w:cs="Times New Roman" w:eastAsia="Times New Roman" w:hAnsi="Times New Roman"/>
                <w:sz w:val="19"/>
                <w:szCs w:val="19"/>
                <w:color w:val="auto"/>
                <w:vertAlign w:val="superscript"/>
              </w:rPr>
              <w:t>(1)</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137,125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right"/>
              <w:ind w:right="144"/>
              <w:spacing w:after="0" w:line="23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bscript"/>
              </w:rPr>
              <w:t>$</w:t>
            </w:r>
          </w:p>
        </w:tc>
        <w:tc>
          <w:tcPr>
            <w:tcW w:w="1560" w:type="dxa"/>
            <w:vAlign w:val="bottom"/>
            <w:gridSpan w:val="2"/>
          </w:tcPr>
          <w:p>
            <w:pPr>
              <w:jc w:val="right"/>
              <w:ind w:right="184"/>
              <w:spacing w:after="0" w:line="23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137,125</w:t>
            </w:r>
          </w:p>
        </w:tc>
      </w:tr>
      <w:tr>
        <w:trPr>
          <w:trHeight w:val="229"/>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Mutual funds</w:t>
            </w:r>
            <w:r>
              <w:rPr>
                <w:rFonts w:ascii="Times New Roman" w:cs="Times New Roman" w:eastAsia="Times New Roman" w:hAnsi="Times New Roman"/>
                <w:sz w:val="19"/>
                <w:szCs w:val="19"/>
                <w:color w:val="auto"/>
                <w:vertAlign w:val="superscript"/>
              </w:rPr>
              <w:t>(2)</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32,210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32,210</w:t>
            </w:r>
          </w:p>
        </w:tc>
      </w:tr>
      <w:tr>
        <w:trPr>
          <w:trHeight w:val="229"/>
        </w:trPr>
        <w:tc>
          <w:tcPr>
            <w:tcW w:w="5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Derivative instruments</w:t>
            </w:r>
            <w:r>
              <w:rPr>
                <w:rFonts w:ascii="Times New Roman" w:cs="Times New Roman" w:eastAsia="Times New Roman" w:hAnsi="Times New Roman"/>
                <w:sz w:val="19"/>
                <w:szCs w:val="19"/>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4,383</w:t>
            </w:r>
          </w:p>
        </w:tc>
      </w:tr>
      <w:tr>
        <w:trPr>
          <w:trHeight w:val="186"/>
        </w:trPr>
        <w:tc>
          <w:tcPr>
            <w:tcW w:w="400" w:type="dxa"/>
            <w:vAlign w:val="bottom"/>
            <w:shd w:val="clear" w:color="auto" w:fill="CCEEFF"/>
          </w:tcPr>
          <w:p>
            <w:pPr>
              <w:spacing w:after="0"/>
              <w:rPr>
                <w:sz w:val="16"/>
                <w:szCs w:val="16"/>
                <w:color w:val="auto"/>
              </w:rPr>
            </w:pPr>
          </w:p>
        </w:tc>
        <w:tc>
          <w:tcPr>
            <w:tcW w:w="4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assets measured at fair value</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137,125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36,593</w:t>
            </w:r>
          </w:p>
        </w:tc>
        <w:tc>
          <w:tcPr>
            <w:tcW w:w="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173,718</w:t>
            </w:r>
          </w:p>
        </w:tc>
      </w:tr>
      <w:tr>
        <w:trPr>
          <w:trHeight w:val="184"/>
        </w:trPr>
        <w:tc>
          <w:tcPr>
            <w:tcW w:w="516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1"/>
        </w:trPr>
        <w:tc>
          <w:tcPr>
            <w:tcW w:w="516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Liabilities</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34"/>
        </w:trPr>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r>
        <w:trPr>
          <w:trHeight w:val="229"/>
        </w:trPr>
        <w:tc>
          <w:tcPr>
            <w:tcW w:w="5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Derivative instruments</w:t>
            </w:r>
            <w:r>
              <w:rPr>
                <w:rFonts w:ascii="Times New Roman" w:cs="Times New Roman" w:eastAsia="Times New Roman" w:hAnsi="Times New Roman"/>
                <w:sz w:val="19"/>
                <w:szCs w:val="19"/>
                <w:color w:val="auto"/>
                <w:vertAlign w:val="superscript"/>
              </w:rPr>
              <w:t>(3)</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3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84"/>
              <w:spacing w:after="0" w:line="23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w:t>
            </w:r>
          </w:p>
        </w:tc>
      </w:tr>
      <w:tr>
        <w:trPr>
          <w:trHeight w:val="229"/>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Contingent Liability</w:t>
            </w:r>
            <w:r>
              <w:rPr>
                <w:rFonts w:ascii="Times New Roman" w:cs="Times New Roman" w:eastAsia="Times New Roman" w:hAnsi="Times New Roman"/>
                <w:sz w:val="19"/>
                <w:szCs w:val="19"/>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8,008</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8,008</w:t>
            </w:r>
          </w:p>
        </w:tc>
      </w:tr>
      <w:tr>
        <w:trPr>
          <w:trHeight w:val="190"/>
        </w:trPr>
        <w:tc>
          <w:tcPr>
            <w:tcW w:w="400" w:type="dxa"/>
            <w:vAlign w:val="bottom"/>
          </w:tcPr>
          <w:p>
            <w:pPr>
              <w:spacing w:after="0"/>
              <w:rPr>
                <w:sz w:val="16"/>
                <w:szCs w:val="16"/>
                <w:color w:val="auto"/>
              </w:rPr>
            </w:pP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Total liabilities measured at fair value</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3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8,008</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8,616</w:t>
            </w:r>
          </w:p>
        </w:tc>
      </w:tr>
    </w:tbl>
    <w:p>
      <w:pPr>
        <w:spacing w:after="0" w:line="158" w:lineRule="exact"/>
        <w:rPr>
          <w:sz w:val="20"/>
          <w:szCs w:val="20"/>
          <w:color w:val="auto"/>
        </w:rPr>
      </w:pPr>
    </w:p>
    <w:p>
      <w:pPr>
        <w:ind w:left="208" w:right="20" w:hanging="208"/>
        <w:spacing w:after="0" w:line="265" w:lineRule="auto"/>
        <w:tabs>
          <w:tab w:leader="none" w:pos="20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money market funds are readily convertible into cash. The net asset value of each fund on the last day of the reporting period is used to determine its fair value. Our money market funds are included in Cash and cash equivalents within the Consolidated Balance Sheets.</w:t>
      </w:r>
    </w:p>
    <w:p>
      <w:pPr>
        <w:spacing w:after="0" w:line="57" w:lineRule="exact"/>
        <w:rPr>
          <w:rFonts w:ascii="Times New Roman" w:cs="Times New Roman" w:eastAsia="Times New Roman" w:hAnsi="Times New Roman"/>
          <w:sz w:val="14"/>
          <w:szCs w:val="14"/>
          <w:color w:val="auto"/>
        </w:rPr>
      </w:pPr>
    </w:p>
    <w:p>
      <w:pPr>
        <w:ind w:left="208" w:hanging="208"/>
        <w:spacing w:after="0" w:line="282" w:lineRule="auto"/>
        <w:tabs>
          <w:tab w:leader="none" w:pos="1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mutual funds' fair value is based on the fair value of the underlying investments held by the mutual funds, allocated to each share of the mutual fund using a net asset value approach. The fair value of the underlying investments is based on observable inputs. Our mutual funds are included in Investments within the Consolidated Balance Sheets.</w:t>
      </w:r>
    </w:p>
    <w:p>
      <w:pPr>
        <w:spacing w:after="0" w:line="46" w:lineRule="exact"/>
        <w:rPr>
          <w:rFonts w:ascii="Times New Roman" w:cs="Times New Roman" w:eastAsia="Times New Roman" w:hAnsi="Times New Roman"/>
          <w:sz w:val="14"/>
          <w:szCs w:val="14"/>
          <w:color w:val="auto"/>
        </w:rPr>
      </w:pPr>
    </w:p>
    <w:p>
      <w:pPr>
        <w:jc w:val="both"/>
        <w:ind w:left="208" w:hanging="208"/>
        <w:spacing w:after="0" w:line="253" w:lineRule="auto"/>
        <w:tabs>
          <w:tab w:leader="none" w:pos="20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 we utilize a present value of future cash flows, leveraging a model-derived valuation that uses observable inputs such as interest rate yield curves. Refer to Note 5,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more information on our derivative instruments and their classification within the Consolidated Balance Sheets.</w:t>
      </w:r>
    </w:p>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both"/>
        <w:ind w:left="208" w:hanging="208"/>
        <w:spacing w:after="0" w:line="251" w:lineRule="auto"/>
        <w:tabs>
          <w:tab w:leader="none" w:pos="20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contingent liability resulted from the acquisition of a business during fiscal 2023. This liability reflects the present value of potential future payments that are contingent upon the achievement of certain specified milestones. The acquisition date fair value of the contingent liability was $7.9 million and was valued using a scenario-based method. This method incorporates unobservable inputs and assumptions made by management, including the probability of achieving specified milestones, expected time until payment and the discount rate. The fair value of the contingent liability is remeasured each reporting period until the contingency is resolved, with any changes in fair value recorded in Selling, general and administrative ("SG&amp;A") within the Consolidated Statements of Income. The change in the fair value of the contingent liability from the acquisition date through May 31, 2024 was driven by the passage of time, with no changes made to key assumptions used in our fair value estimates.</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(b) Assets and Liabilities Measured at Fair Value on a Non-Recurring Basis</w:t>
      </w:r>
    </w:p>
    <w:p>
      <w:pPr>
        <w:spacing w:after="0" w:line="164"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5"/>
          <w:szCs w:val="15"/>
          <w:color w:val="auto"/>
        </w:rPr>
        <w:t>Assets that are measured at fair value on a non-recurring basis primarily include our property, equipment and leasehold improvements ("PPE"),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(c) Assets and Liabilities Measured at Fair Value for Disclosure Purposes </w:t>
      </w:r>
      <w:r>
        <w:rPr>
          <w:rFonts w:ascii="Times New Roman" w:cs="Times New Roman" w:eastAsia="Times New Roman" w:hAnsi="Times New Roman"/>
          <w:sz w:val="15"/>
          <w:szCs w:val="15"/>
          <w:color w:val="auto"/>
        </w:rPr>
        <w:t>O</w:t>
      </w:r>
      <w:r>
        <w:rPr>
          <w:rFonts w:ascii="Times New Roman" w:cs="Times New Roman" w:eastAsia="Times New Roman" w:hAnsi="Times New Roman"/>
          <w:sz w:val="15"/>
          <w:szCs w:val="15"/>
          <w:b w:val="1"/>
          <w:bCs w:val="1"/>
          <w:i w:val="1"/>
          <w:iCs w:val="1"/>
          <w:color w:val="auto"/>
        </w:rPr>
        <w:t>nly</w:t>
      </w:r>
    </w:p>
    <w:p>
      <w:pPr>
        <w:spacing w:after="0" w:line="176" w:lineRule="exact"/>
        <w:rPr>
          <w:sz w:val="20"/>
          <w:szCs w:val="20"/>
          <w:color w:val="auto"/>
        </w:rPr>
      </w:pPr>
    </w:p>
    <w:p>
      <w:pPr>
        <w:jc w:val="both"/>
        <w:ind w:left="8"/>
        <w:spacing w:after="0" w:line="291" w:lineRule="auto"/>
        <w:rPr>
          <w:sz w:val="20"/>
          <w:szCs w:val="20"/>
          <w:color w:val="auto"/>
        </w:rPr>
      </w:pPr>
      <w:r>
        <w:rPr>
          <w:rFonts w:ascii="Times New Roman" w:cs="Times New Roman" w:eastAsia="Times New Roman" w:hAnsi="Times New Roman"/>
          <w:sz w:val="15"/>
          <w:szCs w:val="15"/>
          <w:color w:val="auto"/>
        </w:rPr>
        <w:t>We elected not to carry our debt, which includes our Current debt and Long-term debt, at fair value on the Consolidated Balance Sheets. The carrying value of our debt is net of related unamortized discounts and debt issuance costs.</w:t>
      </w:r>
    </w:p>
    <w:p>
      <w:pPr>
        <w:spacing w:after="0" w:line="98"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5"/>
          <w:szCs w:val="15"/>
          <w:color w:val="auto"/>
        </w:rPr>
        <w:t xml:space="preserve">Our debt is comprised of our Senior Notes and 2022 Credit Facilities. Our Senior Notes are publicly traded; therefore, the fair value of our Senior Notes is estimated based on quoted prices in active markets as of the reporting date,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10,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for definitions of and more information on our Senior Notes and 2022 Credit Facilities.</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following table summarizes information on our outstanding debt as of May 31, 2024 and August 31, 2023:</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jc w:val="right"/>
              <w:ind w:right="704"/>
              <w:spacing w:after="0"/>
              <w:rPr>
                <w:sz w:val="20"/>
                <w:szCs w:val="20"/>
                <w:color w:val="auto"/>
              </w:rPr>
            </w:pPr>
            <w:r>
              <w:rPr>
                <w:rFonts w:ascii="Times New Roman" w:cs="Times New Roman" w:eastAsia="Times New Roman" w:hAnsi="Times New Roman"/>
                <w:sz w:val="15"/>
                <w:szCs w:val="15"/>
                <w:color w:val="auto"/>
              </w:rPr>
              <w:t>May 31, 2024</w:t>
            </w:r>
          </w:p>
        </w:tc>
        <w:tc>
          <w:tcPr>
            <w:tcW w:w="300" w:type="dxa"/>
            <w:vAlign w:val="bottom"/>
          </w:tcPr>
          <w:p>
            <w:pPr>
              <w:spacing w:after="0"/>
              <w:rPr>
                <w:sz w:val="16"/>
                <w:szCs w:val="16"/>
                <w:color w:val="auto"/>
              </w:rPr>
            </w:pPr>
          </w:p>
        </w:tc>
        <w:tc>
          <w:tcPr>
            <w:tcW w:w="2120" w:type="dxa"/>
            <w:vAlign w:val="bottom"/>
            <w:gridSpan w:val="3"/>
          </w:tcPr>
          <w:p>
            <w:pPr>
              <w:jc w:val="right"/>
              <w:ind w:right="624"/>
              <w:spacing w:after="0"/>
              <w:rPr>
                <w:sz w:val="20"/>
                <w:szCs w:val="20"/>
                <w:color w:val="auto"/>
              </w:rPr>
            </w:pPr>
            <w:r>
              <w:rPr>
                <w:rFonts w:ascii="Times New Roman" w:cs="Times New Roman" w:eastAsia="Times New Roman" w:hAnsi="Times New Roman"/>
                <w:sz w:val="15"/>
                <w:szCs w:val="15"/>
                <w:color w:val="auto"/>
              </w:rPr>
              <w:t>August 31, 2023</w:t>
            </w:r>
          </w:p>
        </w:tc>
        <w:tc>
          <w:tcPr>
            <w:tcW w:w="0" w:type="dxa"/>
            <w:vAlign w:val="bottom"/>
          </w:tcPr>
          <w:p>
            <w:pPr>
              <w:spacing w:after="0"/>
              <w:rPr>
                <w:sz w:val="1"/>
                <w:szCs w:val="1"/>
                <w:color w:val="auto"/>
              </w:rPr>
            </w:pPr>
          </w:p>
        </w:tc>
      </w:tr>
      <w:tr>
        <w:trPr>
          <w:trHeight w:val="152"/>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80" w:type="dxa"/>
            <w:vAlign w:val="bottom"/>
          </w:tcPr>
          <w:p>
            <w:pPr>
              <w:jc w:val="center"/>
              <w:ind w:left="804"/>
              <w:spacing w:after="0" w:line="152" w:lineRule="exact"/>
              <w:rPr>
                <w:sz w:val="20"/>
                <w:szCs w:val="20"/>
                <w:color w:val="auto"/>
              </w:rPr>
            </w:pPr>
            <w:r>
              <w:rPr>
                <w:rFonts w:ascii="Times New Roman" w:cs="Times New Roman" w:eastAsia="Times New Roman" w:hAnsi="Times New Roman"/>
                <w:sz w:val="15"/>
                <w:szCs w:val="15"/>
                <w:color w:val="auto"/>
              </w:rPr>
              <w:t>Fair Value</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84"/>
              <w:spacing w:after="0" w:line="152" w:lineRule="exact"/>
              <w:rPr>
                <w:sz w:val="20"/>
                <w:szCs w:val="20"/>
                <w:color w:val="auto"/>
              </w:rPr>
            </w:pPr>
            <w:r>
              <w:rPr>
                <w:rFonts w:ascii="Times New Roman" w:cs="Times New Roman" w:eastAsia="Times New Roman" w:hAnsi="Times New Roman"/>
                <w:sz w:val="15"/>
                <w:szCs w:val="15"/>
                <w:color w:val="auto"/>
              </w:rPr>
              <w:t>Estimated Fair</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84"/>
              <w:spacing w:after="0" w:line="152" w:lineRule="exact"/>
              <w:rPr>
                <w:sz w:val="20"/>
                <w:szCs w:val="20"/>
                <w:color w:val="auto"/>
              </w:rPr>
            </w:pPr>
            <w:r>
              <w:rPr>
                <w:rFonts w:ascii="Times New Roman" w:cs="Times New Roman" w:eastAsia="Times New Roman" w:hAnsi="Times New Roman"/>
                <w:sz w:val="15"/>
                <w:szCs w:val="15"/>
                <w:color w:val="auto"/>
              </w:rPr>
              <w:t>Estimated Fair</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auto"/>
            </w:tcBorders>
            <w:gridSpan w:val="2"/>
            <w:vMerge w:val="continue"/>
          </w:tcPr>
          <w:p>
            <w:pPr>
              <w:spacing w:after="0"/>
              <w:rPr>
                <w:sz w:val="17"/>
                <w:szCs w:val="17"/>
                <w:color w:val="auto"/>
              </w:rPr>
            </w:pPr>
          </w:p>
        </w:tc>
        <w:tc>
          <w:tcPr>
            <w:tcW w:w="2080" w:type="dxa"/>
            <w:vAlign w:val="bottom"/>
            <w:tcBorders>
              <w:bottom w:val="single" w:sz="8" w:color="auto"/>
            </w:tcBorders>
          </w:tcPr>
          <w:p>
            <w:pPr>
              <w:jc w:val="center"/>
              <w:ind w:left="804"/>
              <w:spacing w:after="0"/>
              <w:rPr>
                <w:sz w:val="20"/>
                <w:szCs w:val="20"/>
                <w:color w:val="auto"/>
              </w:rPr>
            </w:pPr>
            <w:r>
              <w:rPr>
                <w:rFonts w:ascii="Times New Roman" w:cs="Times New Roman" w:eastAsia="Times New Roman" w:hAnsi="Times New Roman"/>
                <w:sz w:val="15"/>
                <w:szCs w:val="15"/>
                <w:color w:val="auto"/>
                <w:w w:val="99"/>
              </w:rPr>
              <w:t>Hierarchy</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Principal Amount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Value</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Principal Amount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color w:val="auto"/>
              </w:rPr>
              <w:t>Value</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2080" w:type="dxa"/>
            <w:vAlign w:val="bottom"/>
            <w:shd w:val="clear" w:color="auto" w:fill="CCEEFF"/>
          </w:tcPr>
          <w:p>
            <w:pPr>
              <w:jc w:val="center"/>
              <w:ind w:left="784"/>
              <w:spacing w:after="0"/>
              <w:rPr>
                <w:sz w:val="20"/>
                <w:szCs w:val="20"/>
                <w:color w:val="auto"/>
              </w:rPr>
            </w:pPr>
            <w:r>
              <w:rPr>
                <w:rFonts w:ascii="Times New Roman" w:cs="Times New Roman" w:eastAsia="Times New Roman" w:hAnsi="Times New Roman"/>
                <w:sz w:val="15"/>
                <w:szCs w:val="15"/>
                <w:color w:val="auto"/>
              </w:rPr>
              <w:t>Level 1</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467,050</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460,890</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2032</w:t>
            </w:r>
          </w:p>
        </w:tc>
        <w:tc>
          <w:tcPr>
            <w:tcW w:w="4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2080" w:type="dxa"/>
            <w:vAlign w:val="bottom"/>
          </w:tcPr>
          <w:p>
            <w:pPr>
              <w:jc w:val="center"/>
              <w:ind w:left="784"/>
              <w:spacing w:after="0"/>
              <w:rPr>
                <w:sz w:val="20"/>
                <w:szCs w:val="20"/>
                <w:color w:val="auto"/>
              </w:rPr>
            </w:pPr>
            <w:r>
              <w:rPr>
                <w:rFonts w:ascii="Times New Roman" w:cs="Times New Roman" w:eastAsia="Times New Roman" w:hAnsi="Times New Roman"/>
                <w:sz w:val="15"/>
                <w:szCs w:val="15"/>
                <w:color w:val="auto"/>
              </w:rPr>
              <w:t>Level 1</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431,280</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4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423,700</w:t>
            </w:r>
          </w:p>
        </w:tc>
        <w:tc>
          <w:tcPr>
            <w:tcW w:w="0" w:type="dxa"/>
            <w:vAlign w:val="bottom"/>
          </w:tcPr>
          <w:p>
            <w:pPr>
              <w:spacing w:after="0"/>
              <w:rPr>
                <w:sz w:val="1"/>
                <w:szCs w:val="1"/>
                <w:color w:val="auto"/>
              </w:rPr>
            </w:pPr>
          </w:p>
        </w:tc>
      </w:tr>
      <w:tr>
        <w:trPr>
          <w:trHeight w:val="195"/>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Term Facility</w:t>
            </w:r>
          </w:p>
        </w:tc>
        <w:tc>
          <w:tcPr>
            <w:tcW w:w="2080" w:type="dxa"/>
            <w:vAlign w:val="bottom"/>
            <w:shd w:val="clear" w:color="auto" w:fill="CCEEFF"/>
          </w:tcPr>
          <w:p>
            <w:pPr>
              <w:jc w:val="center"/>
              <w:ind w:left="784"/>
              <w:spacing w:after="0"/>
              <w:rPr>
                <w:sz w:val="20"/>
                <w:szCs w:val="20"/>
                <w:color w:val="auto"/>
              </w:rPr>
            </w:pPr>
            <w:r>
              <w:rPr>
                <w:rFonts w:ascii="Times New Roman" w:cs="Times New Roman" w:eastAsia="Times New Roman" w:hAnsi="Times New Roman"/>
                <w:sz w:val="15"/>
                <w:szCs w:val="15"/>
                <w:color w:val="auto"/>
              </w:rPr>
              <w:t>Level 3</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187,500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188,102</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375,000</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376,406</w:t>
            </w:r>
          </w:p>
        </w:tc>
        <w:tc>
          <w:tcPr>
            <w:tcW w:w="0" w:type="dxa"/>
            <w:vAlign w:val="bottom"/>
          </w:tcPr>
          <w:p>
            <w:pPr>
              <w:spacing w:after="0"/>
              <w:rPr>
                <w:sz w:val="1"/>
                <w:szCs w:val="1"/>
                <w:color w:val="auto"/>
              </w:rPr>
            </w:pPr>
          </w:p>
        </w:tc>
      </w:tr>
      <w:tr>
        <w:trPr>
          <w:trHeight w:val="195"/>
        </w:trPr>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2022</w:t>
            </w:r>
          </w:p>
        </w:tc>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Revolving Facility</w:t>
            </w:r>
          </w:p>
        </w:tc>
        <w:tc>
          <w:tcPr>
            <w:tcW w:w="2080" w:type="dxa"/>
            <w:vAlign w:val="bottom"/>
            <w:tcBorders>
              <w:bottom w:val="single" w:sz="8" w:color="CCEEFF"/>
            </w:tcBorders>
          </w:tcPr>
          <w:p>
            <w:pPr>
              <w:jc w:val="center"/>
              <w:ind w:left="784"/>
              <w:spacing w:after="0"/>
              <w:rPr>
                <w:sz w:val="20"/>
                <w:szCs w:val="20"/>
                <w:color w:val="auto"/>
              </w:rPr>
            </w:pPr>
            <w:r>
              <w:rPr>
                <w:rFonts w:ascii="Times New Roman" w:cs="Times New Roman" w:eastAsia="Times New Roman" w:hAnsi="Times New Roman"/>
                <w:sz w:val="15"/>
                <w:szCs w:val="15"/>
                <w:color w:val="auto"/>
              </w:rPr>
              <w:t>Level 3</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249,560</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246,875</w:t>
            </w:r>
          </w:p>
        </w:tc>
        <w:tc>
          <w:tcPr>
            <w:tcW w:w="0" w:type="dxa"/>
            <w:vAlign w:val="bottom"/>
          </w:tcPr>
          <w:p>
            <w:pPr>
              <w:spacing w:after="0"/>
              <w:rPr>
                <w:sz w:val="1"/>
                <w:szCs w:val="1"/>
                <w:color w:val="auto"/>
              </w:rPr>
            </w:pPr>
          </w:p>
        </w:tc>
      </w:tr>
      <w:tr>
        <w:trPr>
          <w:trHeight w:val="18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principal amount</w:t>
            </w:r>
          </w:p>
        </w:tc>
        <w:tc>
          <w:tcPr>
            <w:tcW w:w="20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1,437,500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1,335,992</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1,507,871</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Total unamortized discounts and debt issuance costs</w:t>
            </w:r>
          </w:p>
        </w:tc>
        <w:tc>
          <w:tcPr>
            <w:tcW w:w="2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(9,730)</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(12,300)</w:t>
            </w: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net carrying value of debt</w:t>
            </w:r>
          </w:p>
        </w:tc>
        <w:tc>
          <w:tcPr>
            <w:tcW w:w="2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1,427,770</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1,612,700</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Cash Flow Hedges</w:t>
      </w:r>
    </w:p>
    <w:p>
      <w:pPr>
        <w:spacing w:after="0" w:line="164"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5"/>
          <w:szCs w:val="15"/>
          <w:color w:val="auto"/>
        </w:rPr>
        <w:t>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and the availability, effectiveness and cost of derivative instruments.</w:t>
      </w:r>
    </w:p>
    <w:p>
      <w:pPr>
        <w:spacing w:after="0" w:line="111" w:lineRule="exact"/>
        <w:rPr>
          <w:sz w:val="20"/>
          <w:szCs w:val="20"/>
          <w:color w:val="auto"/>
        </w:rPr>
      </w:pPr>
    </w:p>
    <w:p>
      <w:pPr>
        <w:jc w:val="both"/>
        <w:ind w:left="8"/>
        <w:spacing w:after="0" w:line="291" w:lineRule="auto"/>
        <w:rPr>
          <w:sz w:val="20"/>
          <w:szCs w:val="20"/>
          <w:color w:val="auto"/>
        </w:rPr>
      </w:pPr>
      <w:r>
        <w:rPr>
          <w:rFonts w:ascii="Times New Roman" w:cs="Times New Roman" w:eastAsia="Times New Roman" w:hAnsi="Times New Roman"/>
          <w:sz w:val="15"/>
          <w:szCs w:val="15"/>
          <w:color w:val="auto"/>
        </w:rPr>
        <w:t xml:space="preserve">We utilize derivative instruments to manage risk and not for speculative or trading purposes. We limit counterparties to financial institutions we believe are credit-worthy. Refer to Note 2, </w:t>
      </w:r>
      <w:r>
        <w:rPr>
          <w:rFonts w:ascii="Times New Roman" w:cs="Times New Roman" w:eastAsia="Times New Roman" w:hAnsi="Times New Roman"/>
          <w:sz w:val="15"/>
          <w:szCs w:val="15"/>
          <w:i w:val="1"/>
          <w:iCs w:val="1"/>
          <w:color w:val="auto"/>
        </w:rPr>
        <w:t>Summary of Significant Accounting Policies - Concentrations of Credit Risk</w:t>
      </w:r>
      <w:r>
        <w:rPr>
          <w:rFonts w:ascii="Times New Roman" w:cs="Times New Roman" w:eastAsia="Times New Roman" w:hAnsi="Times New Roman"/>
          <w:sz w:val="15"/>
          <w:szCs w:val="15"/>
          <w:color w:val="auto"/>
        </w:rPr>
        <w:t>, for further discussion on counterparty credit risk.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leverage foreign currency forward contracts and interest rate swap agreements to mitigate certain operational exposures from the impact of changes in foreign currency exchange rates and to manage our floating interest rate exposure, respectively. Our foreign currency forward contracts and interest rate swap agreements are designated as cash flow hedges at inception. Our cash flow hedges were highly effective with no amount of ineffectiveness recorded in the Consolidated Statements of Income during the nine months ended May 31, 2024 and May 31, 2023. All components of each derivative’s gain or loss were included in the assessment of hedge effectiveness.</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For highly effective cash flows hedges, the change in the derivative's fair value is recorded in Accumulated Other Comprehensive Loss ("AOCL"), net of tax, in the Consolidated Balance Sheets. Realized gains or losses from the settlement of our foreign currency forward contracts and interest rate swap agreements are subsequently reclassified into SG&amp;A and Interest expense, respectively, in the Consolidated Statements of Income. There was no discontinuance of our cash flow hedges during the nine months ended May 31, 2024 and May 31, 2023, and as such, no corresponding gains or losses related to changes in the value of our contracts were reclassified into earnings prior to settlement.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Forward Contracts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 we operate globally, we are exposed to the risk that our financial condition, results of operations and cash flows could be impacted by changes in foreign currency exchange rates. As of May 31, 2024, we maintained a series of foreign currency forward contracts to hedge a portion of our primary currency exposures, namely the British Pound Sterling, Indian Rupee, Euro and Philippine Peso. We entered into these contracts with the intent to hedge between 25% to 75% of the currency exposure related to our projected operating income in these primary currencies over their respective hedge periods. The hedge maturity periods range from the fourth quarter of fiscal 2024 through the third quarter of fiscal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gross notional value of our foreign currency forward contracts to purchase the respective local currency with U.S. dollars as of May 31, 2024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August 31,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4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 2024</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August 31, 2023</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0" w:type="dxa"/>
            <w:vAlign w:val="bottom"/>
            <w:gridSpan w:val="2"/>
          </w:tcPr>
          <w:p>
            <w:pPr>
              <w:jc w:val="right"/>
              <w:ind w:right="4"/>
              <w:spacing w:after="0" w:line="152" w:lineRule="exact"/>
              <w:rPr>
                <w:sz w:val="20"/>
                <w:szCs w:val="20"/>
                <w:color w:val="auto"/>
              </w:rPr>
            </w:pPr>
            <w:r>
              <w:rPr>
                <w:rFonts w:ascii="Times New Roman" w:cs="Times New Roman" w:eastAsia="Times New Roman" w:hAnsi="Times New Roman"/>
                <w:sz w:val="15"/>
                <w:szCs w:val="15"/>
                <w:color w:val="auto"/>
              </w:rPr>
              <w:t>Notional Contract Amount</w:t>
            </w: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20" w:type="dxa"/>
            <w:vAlign w:val="bottom"/>
            <w:gridSpan w:val="2"/>
          </w:tcPr>
          <w:p>
            <w:pPr>
              <w:jc w:val="right"/>
              <w:ind w:right="24"/>
              <w:spacing w:after="0" w:line="152" w:lineRule="exact"/>
              <w:rPr>
                <w:sz w:val="20"/>
                <w:szCs w:val="20"/>
                <w:color w:val="auto"/>
              </w:rPr>
            </w:pPr>
            <w:r>
              <w:rPr>
                <w:rFonts w:ascii="Times New Roman" w:cs="Times New Roman" w:eastAsia="Times New Roman" w:hAnsi="Times New Roman"/>
                <w:sz w:val="15"/>
                <w:szCs w:val="15"/>
                <w:color w:val="auto"/>
              </w:rPr>
              <w:t>Notional Contract Amount</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Local Currency Amount</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rPr>
              <w:t>(USD)</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Local Currency Amount</w:t>
            </w: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rPr>
              <w:t>(USD)</w:t>
            </w:r>
          </w:p>
        </w:tc>
        <w:tc>
          <w:tcPr>
            <w:tcW w:w="0" w:type="dxa"/>
            <w:vAlign w:val="bottom"/>
          </w:tcPr>
          <w:p>
            <w:pPr>
              <w:spacing w:after="0"/>
              <w:rPr>
                <w:sz w:val="1"/>
                <w:szCs w:val="1"/>
                <w:color w:val="auto"/>
              </w:rPr>
            </w:pPr>
          </w:p>
        </w:tc>
      </w:tr>
      <w:tr>
        <w:trPr>
          <w:trHeight w:val="18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Indian Rupee</w:t>
            </w:r>
          </w:p>
        </w:tc>
        <w:tc>
          <w:tcPr>
            <w:tcW w:w="14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88"/>
              </w:rPr>
              <w:t>Rs</w:t>
            </w: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4,481,555</w:t>
            </w:r>
          </w:p>
        </w:tc>
        <w:tc>
          <w:tcPr>
            <w:tcW w:w="5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3,363,150</w:t>
            </w:r>
          </w:p>
        </w:tc>
        <w:tc>
          <w:tcPr>
            <w:tcW w:w="5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40,300</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British Pound Sterling</w:t>
            </w:r>
          </w:p>
        </w:tc>
        <w:tc>
          <w:tcPr>
            <w:tcW w:w="1420" w:type="dxa"/>
            <w:vAlign w:val="bottom"/>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41,500</w:t>
            </w:r>
          </w:p>
        </w:tc>
        <w:tc>
          <w:tcPr>
            <w:tcW w:w="5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52,403</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56,098</w:t>
            </w:r>
          </w:p>
        </w:tc>
        <w:tc>
          <w:tcPr>
            <w:tcW w:w="0" w:type="dxa"/>
            <w:vAlign w:val="bottom"/>
          </w:tcPr>
          <w:p>
            <w:pPr>
              <w:spacing w:after="0"/>
              <w:rPr>
                <w:sz w:val="1"/>
                <w:szCs w:val="1"/>
                <w:color w:val="auto"/>
              </w:rPr>
            </w:pPr>
          </w:p>
        </w:tc>
      </w:tr>
      <w:tr>
        <w:trPr>
          <w:trHeight w:val="195"/>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Euro</w:t>
            </w:r>
          </w:p>
        </w:tc>
        <w:tc>
          <w:tcPr>
            <w:tcW w:w="14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44,200</w:t>
            </w:r>
          </w:p>
        </w:tc>
        <w:tc>
          <w:tcPr>
            <w:tcW w:w="5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48,429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39,000</w:t>
            </w: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42,646</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Philippine Peso</w:t>
            </w:r>
          </w:p>
        </w:tc>
        <w:tc>
          <w:tcPr>
            <w:tcW w:w="1420" w:type="dxa"/>
            <w:vAlign w:val="bottom"/>
            <w:tcBorders>
              <w:bottom w:val="single" w:sz="8" w:color="CCEEFF"/>
            </w:tcBorders>
          </w:tcPr>
          <w:p>
            <w:pPr>
              <w:ind w:left="1260"/>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5"/>
                <w:szCs w:val="15"/>
                <w:color w:val="auto"/>
              </w:rPr>
              <w:t>1,874,172</w:t>
            </w: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32,900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1,888,541</w:t>
            </w: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33,600</w:t>
            </w:r>
          </w:p>
        </w:tc>
        <w:tc>
          <w:tcPr>
            <w:tcW w:w="0" w:type="dxa"/>
            <w:vAlign w:val="bottom"/>
          </w:tcPr>
          <w:p>
            <w:pPr>
              <w:spacing w:after="0"/>
              <w:rPr>
                <w:sz w:val="1"/>
                <w:szCs w:val="1"/>
                <w:color w:val="auto"/>
              </w:rPr>
            </w:pPr>
          </w:p>
        </w:tc>
      </w:tr>
      <w:tr>
        <w:trPr>
          <w:trHeight w:val="18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4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187,132</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172,644</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color w:val="auto"/>
        </w:rPr>
        <w:t xml:space="preserve">Refer to Part I, Item 3. </w:t>
      </w:r>
      <w:r>
        <w:rPr>
          <w:rFonts w:ascii="Times New Roman" w:cs="Times New Roman" w:eastAsia="Times New Roman" w:hAnsi="Times New Roman"/>
          <w:sz w:val="15"/>
          <w:szCs w:val="15"/>
          <w:i w:val="1"/>
          <w:iCs w:val="1"/>
          <w:color w:val="auto"/>
        </w:rPr>
        <w:t>Quantitative and Qualitative Disclosures About Market Risk</w:t>
      </w:r>
      <w:r>
        <w:rPr>
          <w:rFonts w:ascii="Times New Roman" w:cs="Times New Roman" w:eastAsia="Times New Roman" w:hAnsi="Times New Roman"/>
          <w:sz w:val="15"/>
          <w:szCs w:val="15"/>
          <w:color w:val="auto"/>
        </w:rPr>
        <w:t xml:space="preserve"> of this Quarterly Report on Form 10-Q for further discussion of our exposure to foreign exchange rate fluctuations.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Rate Swap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2024 Swap Agreement</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On March 1, 2024, we entered into an interest rate swap agreement ("2024 Swap Agreement") with a notional amount of $200.0 million to hedge a portion of our outstanding floating Secured Overnight Financing Rate ("SOFR") debt with a fixed interest rate of 5.145%. The notional amount of the 2024 Swap Agreement declines by $50.0 million on a quarterly basis beginning May 31, 2024 and matures on February 28, 2025. As of May 31, 2024, the notional amount of the 2024 Swap Agreement was $150.0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2022 Swap Agreement</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On March 1, 2022, we entered into an interest rate swap agreement ("2022 Swap Agreement") with a notional amount of $800.0 million to hedge a portion of our outstanding floating SOFR debt with a fixed interest rate of 1.162%. The notional amount of the 2022 Swap Agreement declined by $100.0 million on a quarterly basis beginning May 31, 2022. Effective December 30, 2022, we partially novated our 2022 Swap Agreement to equally apportion the then outstanding notional amount of the interest rate swap between two counterparties. No other terms of the 2022 Swap Agreement were amended, terminated, or otherwise modified prior to its maturity. The 2022 Swap Agreement matured on February 28, 2024.</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5"/>
          <w:szCs w:val="15"/>
          <w:color w:val="auto"/>
        </w:rPr>
        <w:t xml:space="preserve">Refer to Note 10,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for further discussion of our outstanding floating SOFR debt and refer to Part I, Item 3. </w:t>
      </w:r>
      <w:r>
        <w:rPr>
          <w:rFonts w:ascii="Times New Roman" w:cs="Times New Roman" w:eastAsia="Times New Roman" w:hAnsi="Times New Roman"/>
          <w:sz w:val="15"/>
          <w:szCs w:val="15"/>
          <w:i w:val="1"/>
          <w:iCs w:val="1"/>
          <w:color w:val="auto"/>
        </w:rPr>
        <w:t>Quantitative and Qualitative Disclosures About Market Risk</w:t>
      </w:r>
      <w:r>
        <w:rPr>
          <w:rFonts w:ascii="Times New Roman" w:cs="Times New Roman" w:eastAsia="Times New Roman" w:hAnsi="Times New Roman"/>
          <w:sz w:val="15"/>
          <w:szCs w:val="15"/>
          <w:color w:val="auto"/>
        </w:rPr>
        <w:t xml:space="preserve"> of this Quarterly Report on Form 10-Q for further discussion of our exposure to interest rate risk on our variable interest rate debt outstanding.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Gross Notional Value and Fair Value of Derivative Instruments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summary of the gross notional values of our derivative instruments: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3"/>
          </w:tcPr>
          <w:p>
            <w:pPr>
              <w:jc w:val="right"/>
              <w:ind w:right="1024"/>
              <w:spacing w:after="0"/>
              <w:rPr>
                <w:sz w:val="20"/>
                <w:szCs w:val="20"/>
                <w:color w:val="auto"/>
              </w:rPr>
            </w:pPr>
            <w:r>
              <w:rPr>
                <w:rFonts w:ascii="Times New Roman" w:cs="Times New Roman" w:eastAsia="Times New Roman" w:hAnsi="Times New Roman"/>
                <w:sz w:val="15"/>
                <w:szCs w:val="15"/>
                <w:color w:val="auto"/>
              </w:rPr>
              <w:t>Gross Notional Value</w:t>
            </w:r>
          </w:p>
        </w:tc>
      </w:tr>
      <w:tr>
        <w:trPr>
          <w:trHeight w:val="255"/>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May 31, 2024</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August 31, 2023</w:t>
            </w:r>
          </w:p>
        </w:tc>
      </w:tr>
      <w:tr>
        <w:trPr>
          <w:trHeight w:val="201"/>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forward contracts</w:t>
            </w: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187,132</w:t>
            </w: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172,644</w:t>
            </w:r>
          </w:p>
        </w:tc>
      </w:tr>
      <w:tr>
        <w:trPr>
          <w:trHeight w:val="207"/>
        </w:trPr>
        <w:tc>
          <w:tcPr>
            <w:tcW w:w="7740" w:type="dxa"/>
            <w:vAlign w:val="bottom"/>
          </w:tcPr>
          <w:p>
            <w:pPr>
              <w:spacing w:after="0"/>
              <w:rPr>
                <w:sz w:val="20"/>
                <w:szCs w:val="20"/>
                <w:color w:val="auto"/>
              </w:rPr>
            </w:pPr>
            <w:r>
              <w:rPr>
                <w:rFonts w:ascii="Times New Roman" w:cs="Times New Roman" w:eastAsia="Times New Roman" w:hAnsi="Times New Roman"/>
                <w:sz w:val="15"/>
                <w:szCs w:val="15"/>
                <w:color w:val="auto"/>
              </w:rPr>
              <w:t>Interest rate swap agreement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22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200,000</w:t>
            </w:r>
          </w:p>
        </w:tc>
      </w:tr>
      <w:tr>
        <w:trPr>
          <w:trHeight w:val="23"/>
        </w:trPr>
        <w:tc>
          <w:tcPr>
            <w:tcW w:w="7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flow hedges</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337,132</w:t>
            </w:r>
          </w:p>
        </w:tc>
        <w:tc>
          <w:tcPr>
            <w:tcW w:w="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372,644</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summary of the fair values of our derivative instruments: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0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Fair Value of Derivative Instruments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86"/>
        </w:trPr>
        <w:tc>
          <w:tcPr>
            <w:tcW w:w="26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06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5"/>
                <w:szCs w:val="15"/>
                <w:color w:val="auto"/>
              </w:rPr>
              <w:t>Derivative Assets</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204"/>
              <w:spacing w:after="0"/>
              <w:rPr>
                <w:sz w:val="20"/>
                <w:szCs w:val="20"/>
                <w:color w:val="auto"/>
              </w:rPr>
            </w:pPr>
            <w:r>
              <w:rPr>
                <w:rFonts w:ascii="Times New Roman" w:cs="Times New Roman" w:eastAsia="Times New Roman" w:hAnsi="Times New Roman"/>
                <w:sz w:val="15"/>
                <w:szCs w:val="15"/>
                <w:color w:val="auto"/>
              </w:rPr>
              <w:t>Derivative Liabilities</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49"/>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Derivatives designated as hedging</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Balance Sheet</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Balance Sheet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8"/>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instruments</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Classification</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May 31, 2024</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August 31, 2023</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Classification</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May 31, 2024</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August 31, 2023</w:t>
            </w:r>
          </w:p>
        </w:tc>
      </w:tr>
      <w:tr>
        <w:trPr>
          <w:trHeight w:val="149"/>
        </w:trPr>
        <w:tc>
          <w:tcPr>
            <w:tcW w:w="2600" w:type="dxa"/>
            <w:vAlign w:val="bottom"/>
            <w:shd w:val="clear" w:color="auto" w:fill="CCEEFF"/>
          </w:tcPr>
          <w:p>
            <w:pPr>
              <w:spacing w:after="0"/>
              <w:rPr>
                <w:sz w:val="12"/>
                <w:szCs w:val="12"/>
                <w:color w:val="auto"/>
              </w:rPr>
            </w:pPr>
          </w:p>
        </w:tc>
        <w:tc>
          <w:tcPr>
            <w:tcW w:w="1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Prepaid expenses and other</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Accounts payable and</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9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forward contracts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w:t>
            </w:r>
          </w:p>
        </w:tc>
        <w:tc>
          <w:tcPr>
            <w:tcW w:w="4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608</w:t>
            </w:r>
          </w:p>
        </w:tc>
      </w:tr>
      <w:tr>
        <w:trPr>
          <w:trHeight w:val="157"/>
        </w:trPr>
        <w:tc>
          <w:tcPr>
            <w:tcW w:w="2600" w:type="dxa"/>
            <w:vAlign w:val="bottom"/>
          </w:tcPr>
          <w:p>
            <w:pPr>
              <w:spacing w:after="0"/>
              <w:rPr>
                <w:sz w:val="13"/>
                <w:szCs w:val="13"/>
                <w:color w:val="auto"/>
              </w:rPr>
            </w:pPr>
          </w:p>
        </w:tc>
        <w:tc>
          <w:tcPr>
            <w:tcW w:w="178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rPr>
              <w:t>Prepaid expenses and other</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8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rPr>
              <w:t>Accounts payable and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8"/>
        </w:trPr>
        <w:tc>
          <w:tcPr>
            <w:tcW w:w="2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Interest rate swap agreement</w:t>
            </w:r>
          </w:p>
        </w:tc>
        <w:tc>
          <w:tcPr>
            <w:tcW w:w="1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current assets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3,123</w:t>
            </w:r>
          </w:p>
        </w:tc>
        <w:tc>
          <w:tcPr>
            <w:tcW w:w="1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accrued expenses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flow hedges</w:t>
            </w:r>
          </w:p>
        </w:tc>
        <w:tc>
          <w:tcPr>
            <w:tcW w:w="17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4,383</w:t>
            </w: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w:t>
            </w:r>
          </w:p>
        </w:tc>
        <w:tc>
          <w:tcPr>
            <w:tcW w:w="4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608</w:t>
            </w: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Derivative Recognition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the pre-tax effect of cash flow hedge accounting on our AOCL for the three months ended May 31, 2024 and May 31,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3"/>
          </w:tcPr>
          <w:p>
            <w:pPr>
              <w:jc w:val="center"/>
              <w:ind w:right="24"/>
              <w:spacing w:after="0"/>
              <w:rPr>
                <w:sz w:val="20"/>
                <w:szCs w:val="20"/>
                <w:color w:val="auto"/>
              </w:rPr>
            </w:pPr>
            <w:r>
              <w:rPr>
                <w:rFonts w:ascii="Times New Roman" w:cs="Times New Roman" w:eastAsia="Times New Roman" w:hAnsi="Times New Roman"/>
                <w:sz w:val="15"/>
                <w:szCs w:val="15"/>
                <w:color w:val="auto"/>
              </w:rPr>
              <w:t>Gain (Loss) Recognized in AOCL on</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4"/>
          </w:tcPr>
          <w:p>
            <w:pPr>
              <w:jc w:val="center"/>
              <w:ind w:right="200"/>
              <w:spacing w:after="0"/>
              <w:rPr>
                <w:sz w:val="20"/>
                <w:szCs w:val="20"/>
                <w:color w:val="auto"/>
              </w:rPr>
            </w:pPr>
            <w:r>
              <w:rPr>
                <w:rFonts w:ascii="Times New Roman" w:cs="Times New Roman" w:eastAsia="Times New Roman" w:hAnsi="Times New Roman"/>
                <w:sz w:val="15"/>
                <w:szCs w:val="15"/>
                <w:color w:val="auto"/>
              </w:rPr>
              <w:t>Gain (Loss) Reclassified from AOCL</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left="684"/>
              <w:spacing w:after="0"/>
              <w:rPr>
                <w:sz w:val="20"/>
                <w:szCs w:val="20"/>
                <w:color w:val="auto"/>
              </w:rPr>
            </w:pPr>
            <w:r>
              <w:rPr>
                <w:rFonts w:ascii="Times New Roman" w:cs="Times New Roman" w:eastAsia="Times New Roman" w:hAnsi="Times New Roman"/>
                <w:sz w:val="15"/>
                <w:szCs w:val="15"/>
                <w:color w:val="auto"/>
              </w:rPr>
              <w:t>Derivatives</w:t>
            </w:r>
          </w:p>
        </w:tc>
        <w:tc>
          <w:tcPr>
            <w:tcW w:w="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into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left="684"/>
              <w:spacing w:after="0"/>
              <w:rPr>
                <w:sz w:val="20"/>
                <w:szCs w:val="20"/>
                <w:color w:val="auto"/>
              </w:rPr>
            </w:pPr>
            <w:r>
              <w:rPr>
                <w:rFonts w:ascii="Times New Roman" w:cs="Times New Roman" w:eastAsia="Times New Roman" w:hAnsi="Times New Roman"/>
                <w:sz w:val="15"/>
                <w:szCs w:val="15"/>
                <w:color w:val="auto"/>
                <w:w w:val="99"/>
              </w:rPr>
              <w:t>May 31,</w:t>
            </w:r>
          </w:p>
        </w:tc>
        <w:tc>
          <w:tcPr>
            <w:tcW w:w="860" w:type="dxa"/>
            <w:vAlign w:val="bottom"/>
          </w:tcPr>
          <w:p>
            <w:pPr>
              <w:spacing w:after="0"/>
              <w:rPr>
                <w:sz w:val="21"/>
                <w:szCs w:val="21"/>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Location of Gain (Loss) Reclassified</w:t>
            </w:r>
          </w:p>
        </w:tc>
        <w:tc>
          <w:tcPr>
            <w:tcW w:w="100" w:type="dxa"/>
            <w:vAlign w:val="bottom"/>
          </w:tcPr>
          <w:p>
            <w:pPr>
              <w:spacing w:after="0"/>
              <w:rPr>
                <w:sz w:val="21"/>
                <w:szCs w:val="21"/>
                <w:color w:val="auto"/>
              </w:rPr>
            </w:pPr>
          </w:p>
        </w:tc>
        <w:tc>
          <w:tcPr>
            <w:tcW w:w="1560" w:type="dxa"/>
            <w:vAlign w:val="bottom"/>
            <w:gridSpan w:val="2"/>
          </w:tcPr>
          <w:p>
            <w:pPr>
              <w:jc w:val="center"/>
              <w:ind w:left="664"/>
              <w:spacing w:after="0"/>
              <w:rPr>
                <w:sz w:val="20"/>
                <w:szCs w:val="20"/>
                <w:color w:val="auto"/>
              </w:rPr>
            </w:pPr>
            <w:r>
              <w:rPr>
                <w:rFonts w:ascii="Times New Roman" w:cs="Times New Roman" w:eastAsia="Times New Roman" w:hAnsi="Times New Roman"/>
                <w:sz w:val="15"/>
                <w:szCs w:val="15"/>
                <w:color w:val="auto"/>
                <w:w w:val="99"/>
              </w:rPr>
              <w:t>May 31,</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2024</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from AOCL into Income</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forward contracts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w:t>
            </w:r>
          </w:p>
        </w:tc>
        <w:tc>
          <w:tcPr>
            <w:tcW w:w="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ind w:left="444"/>
              <w:spacing w:after="0"/>
              <w:rPr>
                <w:sz w:val="20"/>
                <w:szCs w:val="20"/>
                <w:color w:val="auto"/>
              </w:rPr>
            </w:pPr>
            <w:r>
              <w:rPr>
                <w:rFonts w:ascii="Times New Roman" w:cs="Times New Roman" w:eastAsia="Times New Roman" w:hAnsi="Times New Roman"/>
                <w:sz w:val="15"/>
                <w:szCs w:val="15"/>
                <w:color w:val="auto"/>
                <w:w w:val="97"/>
              </w:rPr>
              <w:t>919</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SG&amp;A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(518)</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Interest rate swap agreement</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24"/>
              <w:spacing w:after="0"/>
              <w:rPr>
                <w:sz w:val="20"/>
                <w:szCs w:val="20"/>
                <w:color w:val="auto"/>
              </w:rPr>
            </w:pPr>
            <w:r>
              <w:rPr>
                <w:rFonts w:ascii="Times New Roman" w:cs="Times New Roman" w:eastAsia="Times New Roman" w:hAnsi="Times New Roman"/>
                <w:sz w:val="15"/>
                <w:szCs w:val="15"/>
                <w:color w:val="auto"/>
                <w:w w:val="98"/>
              </w:rPr>
              <w:t>(172)</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flow hedges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w:t>
            </w:r>
          </w:p>
        </w:tc>
        <w:tc>
          <w:tcPr>
            <w:tcW w:w="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ind w:left="444"/>
              <w:spacing w:after="0"/>
              <w:rPr>
                <w:sz w:val="20"/>
                <w:szCs w:val="20"/>
                <w:color w:val="auto"/>
              </w:rPr>
            </w:pPr>
            <w:r>
              <w:rPr>
                <w:rFonts w:ascii="Times New Roman" w:cs="Times New Roman" w:eastAsia="Times New Roman" w:hAnsi="Times New Roman"/>
                <w:sz w:val="15"/>
                <w:szCs w:val="15"/>
                <w:color w:val="auto"/>
                <w:w w:val="97"/>
              </w:rPr>
              <w:t>747</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(455)</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3"/>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484"/>
              <w:spacing w:after="0"/>
              <w:rPr>
                <w:sz w:val="20"/>
                <w:szCs w:val="20"/>
                <w:color w:val="auto"/>
              </w:rPr>
            </w:pPr>
            <w:r>
              <w:rPr>
                <w:rFonts w:ascii="Times New Roman" w:cs="Times New Roman" w:eastAsia="Times New Roman" w:hAnsi="Times New Roman"/>
                <w:sz w:val="15"/>
                <w:szCs w:val="15"/>
                <w:color w:val="auto"/>
              </w:rPr>
              <w:t>18</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the pre-tax effect of cash flow hedge accounting on our AOCL for the nine months ended May 31, 2024 and May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3"/>
          </w:tcPr>
          <w:p>
            <w:pPr>
              <w:jc w:val="center"/>
              <w:ind w:right="4"/>
              <w:spacing w:after="0"/>
              <w:rPr>
                <w:sz w:val="20"/>
                <w:szCs w:val="20"/>
                <w:color w:val="auto"/>
              </w:rPr>
            </w:pPr>
            <w:r>
              <w:rPr>
                <w:rFonts w:ascii="Times New Roman" w:cs="Times New Roman" w:eastAsia="Times New Roman" w:hAnsi="Times New Roman"/>
                <w:sz w:val="15"/>
                <w:szCs w:val="15"/>
                <w:color w:val="auto"/>
              </w:rPr>
              <w:t>Gain (Loss) Reclassified in AOCL on</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3"/>
          </w:tcPr>
          <w:p>
            <w:pPr>
              <w:jc w:val="center"/>
              <w:ind w:right="24"/>
              <w:spacing w:after="0"/>
              <w:rPr>
                <w:sz w:val="20"/>
                <w:szCs w:val="20"/>
                <w:color w:val="auto"/>
              </w:rPr>
            </w:pPr>
            <w:r>
              <w:rPr>
                <w:rFonts w:ascii="Times New Roman" w:cs="Times New Roman" w:eastAsia="Times New Roman" w:hAnsi="Times New Roman"/>
                <w:sz w:val="15"/>
                <w:szCs w:val="15"/>
                <w:color w:val="auto"/>
              </w:rPr>
              <w:t>Gain (Loss) Reclassified from AOCL</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left="684"/>
              <w:spacing w:after="0"/>
              <w:rPr>
                <w:sz w:val="20"/>
                <w:szCs w:val="20"/>
                <w:color w:val="auto"/>
              </w:rPr>
            </w:pPr>
            <w:r>
              <w:rPr>
                <w:rFonts w:ascii="Times New Roman" w:cs="Times New Roman" w:eastAsia="Times New Roman" w:hAnsi="Times New Roman"/>
                <w:sz w:val="15"/>
                <w:szCs w:val="15"/>
                <w:color w:val="auto"/>
              </w:rPr>
              <w:t>Derivatives</w:t>
            </w:r>
          </w:p>
        </w:tc>
        <w:tc>
          <w:tcPr>
            <w:tcW w:w="8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left="664"/>
              <w:spacing w:after="0"/>
              <w:rPr>
                <w:sz w:val="20"/>
                <w:szCs w:val="20"/>
                <w:color w:val="auto"/>
              </w:rPr>
            </w:pPr>
            <w:r>
              <w:rPr>
                <w:rFonts w:ascii="Times New Roman" w:cs="Times New Roman" w:eastAsia="Times New Roman" w:hAnsi="Times New Roman"/>
                <w:sz w:val="15"/>
                <w:szCs w:val="15"/>
                <w:color w:val="auto"/>
              </w:rPr>
              <w:t>into Income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left="684"/>
              <w:spacing w:after="0"/>
              <w:rPr>
                <w:sz w:val="20"/>
                <w:szCs w:val="20"/>
                <w:color w:val="auto"/>
              </w:rPr>
            </w:pPr>
            <w:r>
              <w:rPr>
                <w:rFonts w:ascii="Times New Roman" w:cs="Times New Roman" w:eastAsia="Times New Roman" w:hAnsi="Times New Roman"/>
                <w:sz w:val="15"/>
                <w:szCs w:val="15"/>
                <w:color w:val="auto"/>
                <w:w w:val="99"/>
              </w:rPr>
              <w:t>May 31,</w:t>
            </w:r>
          </w:p>
        </w:tc>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left="664"/>
              <w:spacing w:after="0"/>
              <w:rPr>
                <w:sz w:val="20"/>
                <w:szCs w:val="20"/>
                <w:color w:val="auto"/>
              </w:rPr>
            </w:pPr>
            <w:r>
              <w:rPr>
                <w:rFonts w:ascii="Times New Roman" w:cs="Times New Roman" w:eastAsia="Times New Roman" w:hAnsi="Times New Roman"/>
                <w:sz w:val="15"/>
                <w:szCs w:val="15"/>
                <w:color w:val="auto"/>
                <w:w w:val="99"/>
              </w:rPr>
              <w:t>May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auto"/>
              </w:rPr>
              <w:t>Location of Gain (Loss) Reclassified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2023</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from AOCL into Income</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forward contracts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4,027</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SG&amp;A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(5,474)</w:t>
            </w:r>
          </w:p>
        </w:tc>
        <w:tc>
          <w:tcPr>
            <w:tcW w:w="0" w:type="dxa"/>
            <w:vAlign w:val="bottom"/>
          </w:tcPr>
          <w:p>
            <w:pPr>
              <w:spacing w:after="0"/>
              <w:rPr>
                <w:sz w:val="1"/>
                <w:szCs w:val="1"/>
                <w:color w:val="auto"/>
              </w:rPr>
            </w:pPr>
          </w:p>
        </w:tc>
      </w:tr>
      <w:tr>
        <w:trPr>
          <w:trHeight w:val="195"/>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Interest rate swap agreement</w:t>
            </w: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4,104</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3,213</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10,567</w:t>
            </w:r>
          </w:p>
        </w:tc>
        <w:tc>
          <w:tcPr>
            <w:tcW w:w="0" w:type="dxa"/>
            <w:vAlign w:val="bottom"/>
          </w:tcPr>
          <w:p>
            <w:pPr>
              <w:spacing w:after="0"/>
              <w:rPr>
                <w:sz w:val="1"/>
                <w:szCs w:val="1"/>
                <w:color w:val="auto"/>
              </w:rPr>
            </w:pPr>
          </w:p>
        </w:tc>
      </w:tr>
      <w:tr>
        <w:trPr>
          <w:trHeight w:val="18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flow hedges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(1,288)</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8,131</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3,013</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5,093</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1400"/>
        <w:spacing w:after="0" w:line="470" w:lineRule="auto"/>
        <w:rPr>
          <w:sz w:val="20"/>
          <w:szCs w:val="20"/>
          <w:color w:val="auto"/>
        </w:rPr>
      </w:pPr>
      <w:r>
        <w:rPr>
          <w:rFonts w:ascii="Times New Roman" w:cs="Times New Roman" w:eastAsia="Times New Roman" w:hAnsi="Times New Roman"/>
          <w:sz w:val="15"/>
          <w:szCs w:val="15"/>
          <w:color w:val="auto"/>
        </w:rPr>
        <w:t xml:space="preserve">As of May 31, 2024, we estimate that net pre-tax derivative losses of $0.5 million included in AOCL will be reclassified into earnings within the next 12 months. </w:t>
      </w:r>
      <w:r>
        <w:rPr>
          <w:rFonts w:ascii="Times New Roman" w:cs="Times New Roman" w:eastAsia="Times New Roman" w:hAnsi="Times New Roman"/>
          <w:sz w:val="15"/>
          <w:szCs w:val="15"/>
          <w:b w:val="1"/>
          <w:bCs w:val="1"/>
          <w:color w:val="auto"/>
        </w:rPr>
        <w:t>Offsetting of Derivative Instruments</w:t>
      </w:r>
    </w:p>
    <w:p>
      <w:pPr>
        <w:spacing w:after="0" w:line="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We enter into master netting arrangements designed to permit net settlement of derivative transactions among the respective counterparties, settled on the same date and in the same currency. As of May 31, 2024 and August 31, 2023, there were no material amounts recorded net in the Consolidated Balance Sheets.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Changes in the carrying value of goodwill by segment for the nine months ended May 31, 2024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Americas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EMEA</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Asia Pacific</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Total</w:t>
            </w:r>
          </w:p>
        </w:tc>
      </w:tr>
      <w:tr>
        <w:trPr>
          <w:trHeight w:val="18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August 31, 2023</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704,759</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297,734</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2,243</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1,004,736</w:t>
            </w:r>
          </w:p>
        </w:tc>
      </w:tr>
      <w:tr>
        <w:trPr>
          <w:trHeight w:val="195"/>
        </w:trPr>
        <w:tc>
          <w:tcPr>
            <w:tcW w:w="5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Acquisitions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r>
      <w:tr>
        <w:trPr>
          <w:trHeight w:val="195"/>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translations</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Balance at May 31, 2024</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704,454</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298,220</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2,075</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1,004,749</w:t>
            </w:r>
          </w:p>
        </w:tc>
      </w:tr>
    </w:tbl>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Goodwill is not amortized as it is estimated to have an indefinite life. Goodwill impairment is tested at the reporting unit level, which is consistent with our reportable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pacing w:after="0" w:line="17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We tested our goodwill for impairment during the fourth quarter of fiscal 2023 utilizing a quantitative analysis, bypassing the optional qualitative assessment. We concluded there was no impairment as the fair value of each of our reporting units exceeded its carrying value. No events or circumstances were identified during the nine months ended May 31, 2024 that would indicate it is more likely than not that goodwill has been impaired.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9" w:name="page20"/>
    <w:bookmarkEnd w:id="19"/>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72" w:lineRule="exact"/>
        <w:rPr>
          <w:sz w:val="20"/>
          <w:szCs w:val="20"/>
          <w:color w:val="auto"/>
        </w:rPr>
      </w:pPr>
    </w:p>
    <w:p>
      <w:pPr>
        <w:ind w:left="8"/>
        <w:spacing w:after="0" w:line="291" w:lineRule="auto"/>
        <w:rPr>
          <w:sz w:val="20"/>
          <w:szCs w:val="20"/>
          <w:color w:val="auto"/>
        </w:rPr>
      </w:pPr>
      <w:r>
        <w:rPr>
          <w:rFonts w:ascii="Times New Roman" w:cs="Times New Roman" w:eastAsia="Times New Roman" w:hAnsi="Times New Roman"/>
          <w:sz w:val="15"/>
          <w:szCs w:val="15"/>
          <w:color w:val="auto"/>
        </w:rPr>
        <w:t>We amortize intangible assets on a straight line basis over their estimated useful lives. The following table presents the estimated useful life, gross carrying amounts and accumulated amortization totals related to our identifiable intangible assets as of May 31, 2024 and August 31, 2023:</w:t>
      </w:r>
    </w:p>
    <w:p>
      <w:pPr>
        <w:spacing w:after="0" w:line="339" w:lineRule="exact"/>
        <w:rPr>
          <w:sz w:val="20"/>
          <w:szCs w:val="20"/>
          <w:color w:val="auto"/>
        </w:rPr>
      </w:pPr>
    </w:p>
    <w:tbl>
      <w:tblPr>
        <w:tblLayout w:type="fixed"/>
        <w:tblInd w:w="8" w:type="dxa"/>
        <w:tblCellMar>
          <w:top w:w="0" w:type="dxa"/>
          <w:left w:w="0" w:type="dxa"/>
          <w:bottom w:w="0" w:type="dxa"/>
          <w:right w:w="0" w:type="dxa"/>
        </w:tblCellMar>
      </w:tblPr>
      <w:tr>
        <w:trPr>
          <w:trHeight w:val="198"/>
        </w:trPr>
        <w:tc>
          <w:tcPr>
            <w:tcW w:w="23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704"/>
              <w:spacing w:after="0"/>
              <w:rPr>
                <w:sz w:val="20"/>
                <w:szCs w:val="20"/>
                <w:color w:val="auto"/>
              </w:rPr>
            </w:pPr>
            <w:r>
              <w:rPr>
                <w:rFonts w:ascii="Times New Roman" w:cs="Times New Roman" w:eastAsia="Times New Roman" w:hAnsi="Times New Roman"/>
                <w:sz w:val="15"/>
                <w:szCs w:val="15"/>
                <w:color w:val="auto"/>
              </w:rPr>
              <w:t>May 31, 2024</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August 31, 2023</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3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useful lives)</w:t>
            </w:r>
          </w:p>
        </w:tc>
        <w:tc>
          <w:tcPr>
            <w:tcW w:w="1180" w:type="dxa"/>
            <w:vAlign w:val="bottom"/>
          </w:tcPr>
          <w:p>
            <w:pPr>
              <w:jc w:val="center"/>
              <w:spacing w:after="0" w:line="141" w:lineRule="exact"/>
              <w:rPr>
                <w:sz w:val="20"/>
                <w:szCs w:val="20"/>
                <w:color w:val="auto"/>
              </w:rPr>
            </w:pPr>
            <w:r>
              <w:rPr>
                <w:rFonts w:ascii="Times New Roman" w:cs="Times New Roman" w:eastAsia="Times New Roman" w:hAnsi="Times New Roman"/>
                <w:sz w:val="15"/>
                <w:szCs w:val="15"/>
                <w:color w:val="auto"/>
              </w:rPr>
              <w:t>Estimated Useful</w:t>
            </w:r>
          </w:p>
        </w:tc>
        <w:tc>
          <w:tcPr>
            <w:tcW w:w="100" w:type="dxa"/>
            <w:vAlign w:val="bottom"/>
          </w:tcPr>
          <w:p>
            <w:pPr>
              <w:spacing w:after="0"/>
              <w:rPr>
                <w:sz w:val="12"/>
                <w:szCs w:val="12"/>
                <w:color w:val="auto"/>
              </w:rPr>
            </w:pPr>
          </w:p>
        </w:tc>
        <w:tc>
          <w:tcPr>
            <w:tcW w:w="1060" w:type="dxa"/>
            <w:vAlign w:val="bottom"/>
          </w:tcPr>
          <w:p>
            <w:pPr>
              <w:jc w:val="right"/>
              <w:ind w:right="24"/>
              <w:spacing w:after="0" w:line="141" w:lineRule="exact"/>
              <w:rPr>
                <w:sz w:val="20"/>
                <w:szCs w:val="20"/>
                <w:color w:val="auto"/>
              </w:rPr>
            </w:pPr>
            <w:r>
              <w:rPr>
                <w:rFonts w:ascii="Times New Roman" w:cs="Times New Roman" w:eastAsia="Times New Roman" w:hAnsi="Times New Roman"/>
                <w:sz w:val="15"/>
                <w:szCs w:val="15"/>
                <w:color w:val="auto"/>
              </w:rPr>
              <w:t>Gross Carrying</w:t>
            </w:r>
          </w:p>
        </w:tc>
        <w:tc>
          <w:tcPr>
            <w:tcW w:w="220" w:type="dxa"/>
            <w:vAlign w:val="bottom"/>
          </w:tcPr>
          <w:p>
            <w:pPr>
              <w:spacing w:after="0"/>
              <w:rPr>
                <w:sz w:val="12"/>
                <w:szCs w:val="12"/>
                <w:color w:val="auto"/>
              </w:rPr>
            </w:pPr>
          </w:p>
        </w:tc>
        <w:tc>
          <w:tcPr>
            <w:tcW w:w="1160" w:type="dxa"/>
            <w:vAlign w:val="bottom"/>
          </w:tcPr>
          <w:p>
            <w:pPr>
              <w:jc w:val="right"/>
              <w:ind w:right="184"/>
              <w:spacing w:after="0" w:line="141" w:lineRule="exact"/>
              <w:rPr>
                <w:sz w:val="20"/>
                <w:szCs w:val="20"/>
                <w:color w:val="auto"/>
              </w:rPr>
            </w:pPr>
            <w:r>
              <w:rPr>
                <w:rFonts w:ascii="Times New Roman" w:cs="Times New Roman" w:eastAsia="Times New Roman" w:hAnsi="Times New Roman"/>
                <w:sz w:val="15"/>
                <w:szCs w:val="15"/>
                <w:color w:val="auto"/>
              </w:rPr>
              <w:t>Accumulated</w:t>
            </w:r>
          </w:p>
        </w:tc>
        <w:tc>
          <w:tcPr>
            <w:tcW w:w="180" w:type="dxa"/>
            <w:vAlign w:val="bottom"/>
          </w:tcPr>
          <w:p>
            <w:pPr>
              <w:spacing w:after="0"/>
              <w:rPr>
                <w:sz w:val="12"/>
                <w:szCs w:val="12"/>
                <w:color w:val="auto"/>
              </w:rPr>
            </w:pPr>
          </w:p>
        </w:tc>
        <w:tc>
          <w:tcPr>
            <w:tcW w:w="1120" w:type="dxa"/>
            <w:vAlign w:val="bottom"/>
            <w:tcBorders>
              <w:right w:val="single" w:sz="8" w:color="auto"/>
            </w:tcBorders>
          </w:tcPr>
          <w:p>
            <w:pPr>
              <w:jc w:val="right"/>
              <w:ind w:right="184"/>
              <w:spacing w:after="0" w:line="141" w:lineRule="exact"/>
              <w:rPr>
                <w:sz w:val="20"/>
                <w:szCs w:val="20"/>
                <w:color w:val="auto"/>
              </w:rPr>
            </w:pPr>
            <w:r>
              <w:rPr>
                <w:rFonts w:ascii="Times New Roman" w:cs="Times New Roman" w:eastAsia="Times New Roman" w:hAnsi="Times New Roman"/>
                <w:sz w:val="15"/>
                <w:szCs w:val="15"/>
                <w:color w:val="auto"/>
              </w:rPr>
              <w:t>Net Carrying</w:t>
            </w:r>
          </w:p>
        </w:tc>
        <w:tc>
          <w:tcPr>
            <w:tcW w:w="100" w:type="dxa"/>
            <w:vAlign w:val="bottom"/>
          </w:tcPr>
          <w:p>
            <w:pPr>
              <w:spacing w:after="0"/>
              <w:rPr>
                <w:sz w:val="12"/>
                <w:szCs w:val="12"/>
                <w:color w:val="auto"/>
              </w:rPr>
            </w:pPr>
          </w:p>
        </w:tc>
        <w:tc>
          <w:tcPr>
            <w:tcW w:w="1080" w:type="dxa"/>
            <w:vAlign w:val="bottom"/>
          </w:tcPr>
          <w:p>
            <w:pPr>
              <w:jc w:val="right"/>
              <w:ind w:right="44"/>
              <w:spacing w:after="0" w:line="141" w:lineRule="exact"/>
              <w:rPr>
                <w:sz w:val="20"/>
                <w:szCs w:val="20"/>
                <w:color w:val="auto"/>
              </w:rPr>
            </w:pPr>
            <w:r>
              <w:rPr>
                <w:rFonts w:ascii="Times New Roman" w:cs="Times New Roman" w:eastAsia="Times New Roman" w:hAnsi="Times New Roman"/>
                <w:sz w:val="15"/>
                <w:szCs w:val="15"/>
                <w:color w:val="auto"/>
              </w:rPr>
              <w:t>Gross Carrying</w:t>
            </w:r>
          </w:p>
        </w:tc>
        <w:tc>
          <w:tcPr>
            <w:tcW w:w="160" w:type="dxa"/>
            <w:vAlign w:val="bottom"/>
          </w:tcPr>
          <w:p>
            <w:pPr>
              <w:spacing w:after="0"/>
              <w:rPr>
                <w:sz w:val="12"/>
                <w:szCs w:val="12"/>
                <w:color w:val="auto"/>
              </w:rPr>
            </w:pPr>
          </w:p>
        </w:tc>
        <w:tc>
          <w:tcPr>
            <w:tcW w:w="1140" w:type="dxa"/>
            <w:vAlign w:val="bottom"/>
          </w:tcPr>
          <w:p>
            <w:pPr>
              <w:jc w:val="right"/>
              <w:ind w:right="144"/>
              <w:spacing w:after="0" w:line="141" w:lineRule="exact"/>
              <w:rPr>
                <w:sz w:val="20"/>
                <w:szCs w:val="20"/>
                <w:color w:val="auto"/>
              </w:rPr>
            </w:pPr>
            <w:r>
              <w:rPr>
                <w:rFonts w:ascii="Times New Roman" w:cs="Times New Roman" w:eastAsia="Times New Roman" w:hAnsi="Times New Roman"/>
                <w:sz w:val="15"/>
                <w:szCs w:val="15"/>
                <w:color w:val="auto"/>
              </w:rPr>
              <w:t>Accumulated</w:t>
            </w:r>
          </w:p>
        </w:tc>
        <w:tc>
          <w:tcPr>
            <w:tcW w:w="200" w:type="dxa"/>
            <w:vAlign w:val="bottom"/>
          </w:tcPr>
          <w:p>
            <w:pPr>
              <w:spacing w:after="0"/>
              <w:rPr>
                <w:sz w:val="12"/>
                <w:szCs w:val="12"/>
                <w:color w:val="auto"/>
              </w:rPr>
            </w:pPr>
          </w:p>
        </w:tc>
        <w:tc>
          <w:tcPr>
            <w:tcW w:w="1180" w:type="dxa"/>
            <w:vAlign w:val="bottom"/>
          </w:tcPr>
          <w:p>
            <w:pPr>
              <w:jc w:val="right"/>
              <w:ind w:right="204"/>
              <w:spacing w:after="0" w:line="141" w:lineRule="exact"/>
              <w:rPr>
                <w:sz w:val="20"/>
                <w:szCs w:val="20"/>
                <w:color w:val="auto"/>
              </w:rPr>
            </w:pPr>
            <w:r>
              <w:rPr>
                <w:rFonts w:ascii="Times New Roman" w:cs="Times New Roman" w:eastAsia="Times New Roman" w:hAnsi="Times New Roman"/>
                <w:sz w:val="15"/>
                <w:szCs w:val="15"/>
                <w:color w:val="auto"/>
              </w:rPr>
              <w:t>Net Carrying</w:t>
            </w:r>
          </w:p>
        </w:tc>
        <w:tc>
          <w:tcPr>
            <w:tcW w:w="0" w:type="dxa"/>
            <w:vAlign w:val="bottom"/>
          </w:tcPr>
          <w:p>
            <w:pPr>
              <w:spacing w:after="0"/>
              <w:rPr>
                <w:sz w:val="1"/>
                <w:szCs w:val="1"/>
                <w:color w:val="auto"/>
              </w:rPr>
            </w:pPr>
          </w:p>
        </w:tc>
      </w:tr>
      <w:tr>
        <w:trPr>
          <w:trHeight w:val="206"/>
        </w:trPr>
        <w:tc>
          <w:tcPr>
            <w:tcW w:w="23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Life (years)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Amount</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Amortization</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Amount</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Amount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Amortization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Amount</w:t>
            </w:r>
          </w:p>
        </w:tc>
        <w:tc>
          <w:tcPr>
            <w:tcW w:w="0" w:type="dxa"/>
            <w:vAlign w:val="bottom"/>
          </w:tcPr>
          <w:p>
            <w:pPr>
              <w:spacing w:after="0"/>
              <w:rPr>
                <w:sz w:val="1"/>
                <w:szCs w:val="1"/>
                <w:color w:val="auto"/>
              </w:rPr>
            </w:pPr>
          </w:p>
        </w:tc>
      </w:tr>
      <w:tr>
        <w:trPr>
          <w:trHeight w:val="18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ABA business process</w:t>
            </w:r>
          </w:p>
        </w:tc>
        <w:tc>
          <w:tcPr>
            <w:tcW w:w="118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1,583,000</w:t>
            </w:r>
          </w:p>
        </w:tc>
        <w:tc>
          <w:tcPr>
            <w:tcW w:w="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98,938</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1,484,062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65,958</w:t>
            </w:r>
          </w:p>
        </w:tc>
        <w:tc>
          <w:tcPr>
            <w:tcW w:w="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1,517,042</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Client relationships</w:t>
            </w: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 to 26</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265,356</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77,430</w:t>
            </w:r>
          </w:p>
        </w:tc>
        <w:tc>
          <w:tcPr>
            <w:tcW w:w="180" w:type="dxa"/>
            <w:vAlign w:val="bottom"/>
          </w:tcPr>
          <w:p>
            <w:pPr>
              <w:spacing w:after="0"/>
              <w:rPr>
                <w:sz w:val="16"/>
                <w:szCs w:val="16"/>
                <w:color w:val="auto"/>
              </w:rPr>
            </w:pPr>
          </w:p>
        </w:tc>
        <w:tc>
          <w:tcPr>
            <w:tcW w:w="112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187,926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265,315</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68,701</w:t>
            </w:r>
          </w:p>
        </w:tc>
        <w:tc>
          <w:tcPr>
            <w:tcW w:w="200" w:type="dxa"/>
            <w:vAlign w:val="bottom"/>
          </w:tcPr>
          <w:p>
            <w:pPr>
              <w:spacing w:after="0"/>
              <w:rPr>
                <w:sz w:val="16"/>
                <w:szCs w:val="16"/>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196,614</w:t>
            </w:r>
          </w:p>
        </w:tc>
        <w:tc>
          <w:tcPr>
            <w:tcW w:w="0" w:type="dxa"/>
            <w:vAlign w:val="bottom"/>
          </w:tcPr>
          <w:p>
            <w:pPr>
              <w:spacing w:after="0"/>
              <w:rPr>
                <w:sz w:val="1"/>
                <w:szCs w:val="1"/>
                <w:color w:val="auto"/>
              </w:rPr>
            </w:pPr>
          </w:p>
        </w:tc>
      </w:tr>
      <w:tr>
        <w:trPr>
          <w:trHeight w:val="19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3 to 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163,037</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56,429</w:t>
            </w:r>
          </w:p>
        </w:tc>
        <w:tc>
          <w:tcPr>
            <w:tcW w:w="18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106,608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109,222</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45,560</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63,662</w:t>
            </w:r>
          </w:p>
        </w:tc>
        <w:tc>
          <w:tcPr>
            <w:tcW w:w="0" w:type="dxa"/>
            <w:vAlign w:val="bottom"/>
          </w:tcPr>
          <w:p>
            <w:pPr>
              <w:spacing w:after="0"/>
              <w:rPr>
                <w:sz w:val="1"/>
                <w:szCs w:val="1"/>
                <w:color w:val="auto"/>
              </w:rPr>
            </w:pPr>
          </w:p>
        </w:tc>
      </w:tr>
      <w:tr>
        <w:trPr>
          <w:trHeight w:val="195"/>
        </w:trPr>
        <w:tc>
          <w:tcPr>
            <w:tcW w:w="2380" w:type="dxa"/>
            <w:vAlign w:val="bottom"/>
          </w:tcPr>
          <w:p>
            <w:pPr>
              <w:spacing w:after="0" w:line="195" w:lineRule="exact"/>
              <w:rPr>
                <w:sz w:val="20"/>
                <w:szCs w:val="20"/>
                <w:color w:val="auto"/>
              </w:rPr>
            </w:pPr>
            <w:r>
              <w:rPr>
                <w:rFonts w:ascii="Times New Roman" w:cs="Times New Roman" w:eastAsia="Times New Roman" w:hAnsi="Times New Roman"/>
                <w:sz w:val="15"/>
                <w:szCs w:val="15"/>
                <w:color w:val="auto"/>
              </w:rPr>
              <w:t>Data content</w:t>
            </w:r>
            <w:r>
              <w:rPr>
                <w:rFonts w:ascii="Times New Roman" w:cs="Times New Roman" w:eastAsia="Times New Roman" w:hAnsi="Times New Roman"/>
                <w:sz w:val="19"/>
                <w:szCs w:val="19"/>
                <w:color w:val="auto"/>
                <w:vertAlign w:val="superscript"/>
              </w:rPr>
              <w:t>(1)</w:t>
            </w: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 to 20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81,583</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36,842</w:t>
            </w:r>
          </w:p>
        </w:tc>
        <w:tc>
          <w:tcPr>
            <w:tcW w:w="180" w:type="dxa"/>
            <w:vAlign w:val="bottom"/>
          </w:tcPr>
          <w:p>
            <w:pPr>
              <w:spacing w:after="0"/>
              <w:rPr>
                <w:sz w:val="16"/>
                <w:szCs w:val="16"/>
                <w:color w:val="auto"/>
              </w:rPr>
            </w:pPr>
          </w:p>
        </w:tc>
        <w:tc>
          <w:tcPr>
            <w:tcW w:w="112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44,741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81,021</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33,108</w:t>
            </w:r>
          </w:p>
        </w:tc>
        <w:tc>
          <w:tcPr>
            <w:tcW w:w="200" w:type="dxa"/>
            <w:vAlign w:val="bottom"/>
          </w:tcPr>
          <w:p>
            <w:pPr>
              <w:spacing w:after="0"/>
              <w:rPr>
                <w:sz w:val="16"/>
                <w:szCs w:val="16"/>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47,913</w:t>
            </w:r>
          </w:p>
        </w:tc>
        <w:tc>
          <w:tcPr>
            <w:tcW w:w="0" w:type="dxa"/>
            <w:vAlign w:val="bottom"/>
          </w:tcPr>
          <w:p>
            <w:pPr>
              <w:spacing w:after="0"/>
              <w:rPr>
                <w:sz w:val="1"/>
                <w:szCs w:val="1"/>
                <w:color w:val="auto"/>
              </w:rPr>
            </w:pPr>
          </w:p>
        </w:tc>
      </w:tr>
      <w:tr>
        <w:trPr>
          <w:trHeight w:val="19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technology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to 10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142,550</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114,716</w:t>
            </w:r>
          </w:p>
        </w:tc>
        <w:tc>
          <w:tcPr>
            <w:tcW w:w="18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27,834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142,395</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108,702</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33,693</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Non-compete agreements</w:t>
            </w:r>
          </w:p>
        </w:tc>
        <w:tc>
          <w:tcPr>
            <w:tcW w:w="1180" w:type="dxa"/>
            <w:vAlign w:val="bottom"/>
            <w:tcBorders>
              <w:bottom w:val="single" w:sz="8" w:color="CCEEFF"/>
            </w:tcBorders>
          </w:tcPr>
          <w:p>
            <w:pPr>
              <w:jc w:val="right"/>
              <w:ind w:right="46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278</w:t>
            </w:r>
          </w:p>
        </w:tc>
        <w:tc>
          <w:tcPr>
            <w:tcW w:w="0" w:type="dxa"/>
            <w:vAlign w:val="bottom"/>
          </w:tcPr>
          <w:p>
            <w:pPr>
              <w:spacing w:after="0"/>
              <w:rPr>
                <w:sz w:val="1"/>
                <w:szCs w:val="1"/>
                <w:color w:val="auto"/>
              </w:rPr>
            </w:pPr>
          </w:p>
        </w:tc>
      </w:tr>
      <w:tr>
        <w:trPr>
          <w:trHeight w:val="186"/>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2,235,816</w:t>
            </w:r>
          </w:p>
        </w:tc>
        <w:tc>
          <w:tcPr>
            <w:tcW w:w="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384,421</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1,851,395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2,181,243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322,041</w:t>
            </w:r>
          </w:p>
        </w:tc>
        <w:tc>
          <w:tcPr>
            <w:tcW w:w="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1,859,202</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08" w:right="20" w:hanging="208"/>
        <w:spacing w:after="0" w:line="265" w:lineRule="auto"/>
        <w:tabs>
          <w:tab w:leader="none" w:pos="2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May 31, 2024, we combined our Data content and Acquired databases intangible assets together, currently presented as Data content. We conformed the comparative figures as of August 31, 2023 to the current period's presentation.</w:t>
      </w:r>
    </w:p>
    <w:p>
      <w:pPr>
        <w:spacing w:after="0" w:line="122" w:lineRule="exact"/>
        <w:rPr>
          <w:sz w:val="20"/>
          <w:szCs w:val="20"/>
          <w:color w:val="auto"/>
        </w:rPr>
      </w:pPr>
    </w:p>
    <w:p>
      <w:pPr>
        <w:jc w:val="both"/>
        <w:ind w:left="8"/>
        <w:spacing w:after="0" w:line="264" w:lineRule="auto"/>
        <w:rPr>
          <w:sz w:val="20"/>
          <w:szCs w:val="20"/>
          <w:color w:val="auto"/>
        </w:rPr>
      </w:pPr>
      <w:r>
        <w:rPr>
          <w:rFonts w:ascii="Times New Roman" w:cs="Times New Roman" w:eastAsia="Times New Roman" w:hAnsi="Times New Roman"/>
          <w:sz w:val="15"/>
          <w:szCs w:val="15"/>
          <w:color w:val="auto"/>
        </w:rPr>
        <w:t>The weighted average useful life of our intangible assets as of May 31, 2024 was 32.0 years. Intangible assets are tested for impairment qualitatively on a quarterly basis or whenever events or changes in circumstances indicate that the carrying amount of an asset group is not recoverable. If indicators of impairment are present, our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nine months ended May 31, 2024 and May 31, 2023. Our intangible assets have no assigned residual values.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following table presents the amortization expense for our intangible assets which is included in Cost of services in our Consolidated Statements of Income:</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2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color w:val="auto"/>
              </w:rPr>
              <w:t>Three Months Ended</w:t>
            </w:r>
          </w:p>
        </w:tc>
        <w:tc>
          <w:tcPr>
            <w:tcW w:w="360" w:type="dxa"/>
            <w:vAlign w:val="bottom"/>
          </w:tcPr>
          <w:p>
            <w:pPr>
              <w:spacing w:after="0"/>
              <w:rPr>
                <w:sz w:val="16"/>
                <w:szCs w:val="16"/>
                <w:color w:val="auto"/>
              </w:rPr>
            </w:pPr>
          </w:p>
        </w:tc>
        <w:tc>
          <w:tcPr>
            <w:tcW w:w="254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195"/>
        </w:trPr>
        <w:tc>
          <w:tcPr>
            <w:tcW w:w="34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400" w:type="dxa"/>
            <w:vAlign w:val="bottom"/>
          </w:tcPr>
          <w:p>
            <w:pPr>
              <w:spacing w:after="0"/>
              <w:rPr>
                <w:sz w:val="16"/>
                <w:szCs w:val="16"/>
                <w:color w:val="auto"/>
              </w:rPr>
            </w:pPr>
          </w:p>
        </w:tc>
        <w:tc>
          <w:tcPr>
            <w:tcW w:w="1520" w:type="dxa"/>
            <w:vAlign w:val="bottom"/>
          </w:tcPr>
          <w:p>
            <w:pPr>
              <w:jc w:val="center"/>
              <w:ind w:left="624"/>
              <w:spacing w:after="0"/>
              <w:rPr>
                <w:sz w:val="20"/>
                <w:szCs w:val="20"/>
                <w:color w:val="auto"/>
              </w:rPr>
            </w:pPr>
            <w:r>
              <w:rPr>
                <w:rFonts w:ascii="Times New Roman" w:cs="Times New Roman" w:eastAsia="Times New Roman" w:hAnsi="Times New Roman"/>
                <w:sz w:val="15"/>
                <w:szCs w:val="15"/>
                <w:color w:val="auto"/>
                <w:w w:val="99"/>
              </w:rPr>
              <w:t>May 31,</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center"/>
              <w:ind w:left="604"/>
              <w:spacing w:after="0"/>
              <w:rPr>
                <w:sz w:val="20"/>
                <w:szCs w:val="20"/>
                <w:color w:val="auto"/>
              </w:rPr>
            </w:pPr>
            <w:r>
              <w:rPr>
                <w:rFonts w:ascii="Times New Roman" w:cs="Times New Roman" w:eastAsia="Times New Roman" w:hAnsi="Times New Roman"/>
                <w:sz w:val="15"/>
                <w:szCs w:val="15"/>
                <w:color w:val="auto"/>
              </w:rPr>
              <w:t>May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40" w:type="dxa"/>
            <w:vAlign w:val="bottom"/>
            <w:tcBorders>
              <w:bottom w:val="single" w:sz="8" w:color="auto"/>
            </w:tcBorders>
            <w:vMerge w:val="continue"/>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rPr>
              <w:t>2024</w:t>
            </w: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rPr>
              <w:t>2024</w:t>
            </w:r>
          </w:p>
        </w:tc>
        <w:tc>
          <w:tcPr>
            <w:tcW w:w="10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expense</w:t>
            </w:r>
          </w:p>
        </w:tc>
        <w:tc>
          <w:tcPr>
            <w:tcW w:w="24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27,394 $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21,954</w:t>
            </w:r>
          </w:p>
        </w:tc>
        <w:tc>
          <w:tcPr>
            <w:tcW w:w="3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76,247 $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65,390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As of May 31, 2024, estimated intangible asset amortization expense for each of the next five years and thereafter is as follows:</w:t>
      </w:r>
    </w:p>
    <w:p>
      <w:pPr>
        <w:spacing w:after="0" w:line="202" w:lineRule="exact"/>
        <w:rPr>
          <w:sz w:val="20"/>
          <w:szCs w:val="20"/>
          <w:color w:val="auto"/>
        </w:rPr>
      </w:pPr>
    </w:p>
    <w:tbl>
      <w:tblPr>
        <w:tblLayout w:type="fixed"/>
        <w:tblInd w:w="8" w:type="dxa"/>
        <w:tblCellMar>
          <w:top w:w="0" w:type="dxa"/>
          <w:left w:w="0" w:type="dxa"/>
          <w:bottom w:w="0" w:type="dxa"/>
          <w:right w:w="0" w:type="dxa"/>
        </w:tblCellMar>
      </w:tblPr>
      <w:tr>
        <w:trPr>
          <w:trHeight w:val="202"/>
        </w:trPr>
        <w:tc>
          <w:tcPr>
            <w:tcW w:w="78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64"/>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Years Ended August 31,</w:t>
            </w:r>
          </w:p>
        </w:tc>
        <w:tc>
          <w:tcPr>
            <w:tcW w:w="40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Estimated Amortization Expense</w:t>
            </w:r>
          </w:p>
        </w:tc>
      </w:tr>
      <w:tr>
        <w:trPr>
          <w:trHeight w:val="18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 (remaining three months)</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27,811</w:t>
            </w:r>
          </w:p>
        </w:tc>
      </w:tr>
      <w:tr>
        <w:trPr>
          <w:trHeight w:val="195"/>
        </w:trPr>
        <w:tc>
          <w:tcPr>
            <w:tcW w:w="782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40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108,800</w:t>
            </w:r>
          </w:p>
        </w:tc>
      </w:tr>
      <w:tr>
        <w:trPr>
          <w:trHeight w:val="19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400" w:type="dxa"/>
            <w:vAlign w:val="bottom"/>
            <w:shd w:val="clear" w:color="auto" w:fill="CCEEFF"/>
          </w:tcPr>
          <w:p>
            <w:pPr>
              <w:spacing w:after="0"/>
              <w:rPr>
                <w:sz w:val="16"/>
                <w:szCs w:val="16"/>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101,158</w:t>
            </w:r>
          </w:p>
        </w:tc>
      </w:tr>
      <w:tr>
        <w:trPr>
          <w:trHeight w:val="195"/>
        </w:trPr>
        <w:tc>
          <w:tcPr>
            <w:tcW w:w="782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40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76,208</w:t>
            </w:r>
          </w:p>
        </w:tc>
      </w:tr>
      <w:tr>
        <w:trPr>
          <w:trHeight w:val="19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400" w:type="dxa"/>
            <w:vAlign w:val="bottom"/>
            <w:shd w:val="clear" w:color="auto" w:fill="CCEEFF"/>
          </w:tcPr>
          <w:p>
            <w:pPr>
              <w:spacing w:after="0"/>
              <w:rPr>
                <w:sz w:val="16"/>
                <w:szCs w:val="16"/>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63,690</w:t>
            </w:r>
          </w:p>
        </w:tc>
      </w:tr>
      <w:tr>
        <w:trPr>
          <w:trHeight w:val="195"/>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1,473,728</w:t>
            </w:r>
          </w:p>
        </w:tc>
      </w:tr>
      <w:tr>
        <w:trPr>
          <w:trHeight w:val="18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1,851,395</w:t>
            </w:r>
          </w:p>
        </w:tc>
      </w:tr>
    </w:tbl>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2" w:lineRule="exact"/>
        <w:rPr>
          <w:sz w:val="20"/>
          <w:szCs w:val="20"/>
          <w:color w:val="auto"/>
        </w:rPr>
      </w:pPr>
    </w:p>
    <w:p>
      <w:pPr>
        <w:jc w:val="both"/>
        <w:ind w:left="8" w:right="20"/>
        <w:spacing w:after="0" w:line="291" w:lineRule="auto"/>
        <w:rPr>
          <w:sz w:val="20"/>
          <w:szCs w:val="20"/>
          <w:color w:val="auto"/>
        </w:rPr>
      </w:pPr>
      <w:r>
        <w:rPr>
          <w:rFonts w:ascii="Times New Roman" w:cs="Times New Roman" w:eastAsia="Times New Roman" w:hAnsi="Times New Roman"/>
          <w:sz w:val="15"/>
          <w:szCs w:val="15"/>
          <w:color w:val="auto"/>
        </w:rPr>
        <w:t>We are subject to taxation in the United States and various foreign jurisdictions in which we conduct our business. Income tax expense is based on taxable income determined in accordance with current enacted laws and tax rates. Deferred income taxes</w:t>
      </w: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are recorded for the temporary differences between the financial statement carrying amounts and the tax basis of our assets and liabilities using currently enacted tax rates.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Income Taxes Provision and Effective Tax Rate</w:t>
            </w: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The provision for income taxes and the effective tax rate are as follows:</w:t>
            </w: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80" w:type="dxa"/>
            <w:vAlign w:val="bottom"/>
            <w:gridSpan w:val="3"/>
          </w:tcPr>
          <w:p>
            <w:pPr>
              <w:jc w:val="right"/>
              <w:ind w:right="784"/>
              <w:spacing w:after="0"/>
              <w:rPr>
                <w:sz w:val="20"/>
                <w:szCs w:val="20"/>
                <w:color w:val="auto"/>
              </w:rPr>
            </w:pPr>
            <w:r>
              <w:rPr>
                <w:rFonts w:ascii="Times New Roman" w:cs="Times New Roman" w:eastAsia="Times New Roman" w:hAnsi="Times New Roman"/>
                <w:sz w:val="15"/>
                <w:szCs w:val="15"/>
                <w:color w:val="auto"/>
              </w:rPr>
              <w:t>Three Months Ended</w:t>
            </w:r>
          </w:p>
        </w:tc>
        <w:tc>
          <w:tcPr>
            <w:tcW w:w="360" w:type="dxa"/>
            <w:vAlign w:val="bottom"/>
          </w:tcPr>
          <w:p>
            <w:pPr>
              <w:spacing w:after="0"/>
              <w:rPr>
                <w:sz w:val="18"/>
                <w:szCs w:val="18"/>
                <w:color w:val="auto"/>
              </w:rPr>
            </w:pPr>
          </w:p>
        </w:tc>
        <w:tc>
          <w:tcPr>
            <w:tcW w:w="2680" w:type="dxa"/>
            <w:vAlign w:val="bottom"/>
            <w:gridSpan w:val="3"/>
          </w:tcPr>
          <w:p>
            <w:pPr>
              <w:jc w:val="right"/>
              <w:ind w:right="824"/>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195"/>
        </w:trPr>
        <w:tc>
          <w:tcPr>
            <w:tcW w:w="48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740" w:type="dxa"/>
            <w:vAlign w:val="bottom"/>
          </w:tcPr>
          <w:p>
            <w:pPr>
              <w:spacing w:after="0"/>
              <w:rPr>
                <w:sz w:val="16"/>
                <w:szCs w:val="16"/>
                <w:color w:val="auto"/>
              </w:rPr>
            </w:pPr>
          </w:p>
        </w:tc>
        <w:tc>
          <w:tcPr>
            <w:tcW w:w="16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May 31,</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May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8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2024</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7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190,532</w:t>
            </w:r>
          </w:p>
        </w:tc>
        <w:tc>
          <w:tcPr>
            <w:tcW w:w="4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161,998</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534,373</w:t>
            </w:r>
          </w:p>
        </w:tc>
        <w:tc>
          <w:tcPr>
            <w:tcW w:w="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476,645</w:t>
            </w:r>
          </w:p>
        </w:tc>
        <w:tc>
          <w:tcPr>
            <w:tcW w:w="0" w:type="dxa"/>
            <w:vAlign w:val="bottom"/>
          </w:tcPr>
          <w:p>
            <w:pPr>
              <w:spacing w:after="0"/>
              <w:rPr>
                <w:sz w:val="1"/>
                <w:szCs w:val="1"/>
                <w:color w:val="auto"/>
              </w:rPr>
            </w:pPr>
          </w:p>
        </w:tc>
      </w:tr>
      <w:tr>
        <w:trPr>
          <w:trHeight w:val="195"/>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7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32,397</w:t>
            </w:r>
          </w:p>
        </w:tc>
        <w:tc>
          <w:tcPr>
            <w:tcW w:w="4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27,335</w:t>
            </w: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86,743</w:t>
            </w: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73,591</w:t>
            </w:r>
          </w:p>
        </w:tc>
        <w:tc>
          <w:tcPr>
            <w:tcW w:w="0" w:type="dxa"/>
            <w:vAlign w:val="bottom"/>
          </w:tcPr>
          <w:p>
            <w:pPr>
              <w:spacing w:after="0"/>
              <w:rPr>
                <w:sz w:val="1"/>
                <w:szCs w:val="1"/>
                <w:color w:val="auto"/>
              </w:rPr>
            </w:pPr>
          </w:p>
        </w:tc>
      </w:tr>
      <w:tr>
        <w:trPr>
          <w:trHeight w:val="186"/>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Effective tax rate</w:t>
            </w:r>
          </w:p>
        </w:tc>
        <w:tc>
          <w:tcPr>
            <w:tcW w:w="7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17.0 %</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16.9 %</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16.2 %</w:t>
            </w: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15.4 %</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Our effective tax rate of 17.0% for the three months ended May 31, 2024 was relatively flat compared with 16.9% for the three months ended May 31, 2023. This was primarily due to higher pretax income, which reduced the effective tax rate impact of certain tax benefits, offset by increased utilization of foreign tax credits and excess tax benefits from stock-based compensation.</w:t>
      </w:r>
    </w:p>
    <w:p>
      <w:pPr>
        <w:spacing w:after="0" w:line="12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Our effective tax rate for the nine months ended May 31, 2024 was 16.2%, compared with 15.4% for the nine months ended May 31, 2023. This increase was primarily due to higher pretax income, which reduced the effective tax rate impact of certain tax benefits, partially offset by increased utilization of foreign tax credits.</w:t>
      </w:r>
    </w:p>
    <w:p>
      <w:pPr>
        <w:spacing w:after="0" w:line="9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For the periods presented, our effective tax rates differ from the U.S. corporate income tax rate primarily due to the impact of research and development ("R&amp;D") credits, the foreign derived intangible income ("FDII") deduction, excess tax benefits from stock-based compensation and utilization of foreign tax credits, partially offset by our net state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Undistributed Foreign Earnings</w:t>
      </w:r>
    </w:p>
    <w:p>
      <w:pPr>
        <w:spacing w:after="0" w:line="17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We permanently reinvest all foreign undistributed earnings, except in jurisdictions where earnings can be repatriated substantially free of tax. It is not practicable to determine the deferred tax liability that would be payable if these earnings were repatriated to the U.S.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Inflation Reduction Act of 2022</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On August 16, 2022, the Inflation Reduction Act ("IRA") was signed into law. The IRA contains several revisions to the Internal Revenue Code effective for taxable years beginning after December 31, 2022, including a 15% minimum income tax on certain large corporations. We do not expect this revision to have a material impact on our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72"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5"/>
          <w:szCs w:val="15"/>
          <w:color w:val="auto"/>
        </w:rPr>
        <w:t xml:space="preserve">Our lease portfolio is primarily related to our office space, </w:t>
      </w:r>
      <w:r>
        <w:rPr>
          <w:rFonts w:ascii="Times New Roman" w:cs="Times New Roman" w:eastAsia="Times New Roman" w:hAnsi="Times New Roman"/>
          <w:sz w:val="15"/>
          <w:szCs w:val="15"/>
          <w:color w:val="212529"/>
        </w:rPr>
        <w:t>under various operating lease agreements.</w:t>
      </w:r>
      <w:r>
        <w:rPr>
          <w:rFonts w:ascii="Times New Roman" w:cs="Times New Roman" w:eastAsia="Times New Roman" w:hAnsi="Times New Roman"/>
          <w:sz w:val="15"/>
          <w:szCs w:val="15"/>
          <w:color w:val="auto"/>
        </w:rPr>
        <w:t xml:space="preserve">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5"/>
          <w:szCs w:val="15"/>
          <w:color w:val="212529"/>
        </w:rPr>
        <w:t>Our</w:t>
      </w:r>
      <w:r>
        <w:rPr>
          <w:rFonts w:ascii="Times New Roman" w:cs="Times New Roman" w:eastAsia="Times New Roman" w:hAnsi="Times New Roman"/>
          <w:sz w:val="15"/>
          <w:szCs w:val="15"/>
          <w:color w:val="auto"/>
        </w:rPr>
        <w:t xml:space="preserve"> lease ROU assets and lease liabilities are recognized based on </w:t>
      </w:r>
      <w:r>
        <w:rPr>
          <w:rFonts w:ascii="Times New Roman" w:cs="Times New Roman" w:eastAsia="Times New Roman" w:hAnsi="Times New Roman"/>
          <w:sz w:val="15"/>
          <w:szCs w:val="15"/>
          <w:color w:val="212529"/>
        </w:rPr>
        <w:t>the present value of future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12529"/>
        </w:rPr>
        <w:t xml:space="preserve">minimum lease payments at lease commencement (which includes fixed lease payments and certain qualifying index-based variable payments) </w:t>
      </w:r>
      <w:r>
        <w:rPr>
          <w:rFonts w:ascii="Times New Roman" w:cs="Times New Roman" w:eastAsia="Times New Roman" w:hAnsi="Times New Roman"/>
          <w:sz w:val="15"/>
          <w:szCs w:val="15"/>
          <w:color w:val="000000"/>
        </w:rPr>
        <w:t>over the reasonably certain lease term,</w:t>
      </w:r>
      <w:r>
        <w:rPr>
          <w:rFonts w:ascii="Times New Roman" w:cs="Times New Roman" w:eastAsia="Times New Roman" w:hAnsi="Times New Roman"/>
          <w:sz w:val="15"/>
          <w:szCs w:val="15"/>
          <w:color w:val="212529"/>
        </w:rPr>
        <w:t xml:space="preserve"> </w:t>
      </w:r>
      <w:r>
        <w:rPr>
          <w:rFonts w:ascii="Times New Roman" w:cs="Times New Roman" w:eastAsia="Times New Roman" w:hAnsi="Times New Roman"/>
          <w:sz w:val="15"/>
          <w:szCs w:val="15"/>
          <w:color w:val="000000"/>
        </w:rPr>
        <w:t xml:space="preserve">leveraging </w:t>
      </w:r>
      <w:r>
        <w:rPr>
          <w:rFonts w:ascii="Times New Roman" w:cs="Times New Roman" w:eastAsia="Times New Roman" w:hAnsi="Times New Roman"/>
          <w:sz w:val="15"/>
          <w:szCs w:val="15"/>
          <w:color w:val="212529"/>
        </w:rPr>
        <w:t>an estimated</w:t>
      </w:r>
      <w:r>
        <w:rPr>
          <w:rFonts w:ascii="Times New Roman" w:cs="Times New Roman" w:eastAsia="Times New Roman" w:hAnsi="Times New Roman"/>
          <w:sz w:val="15"/>
          <w:szCs w:val="15"/>
          <w:color w:val="000000"/>
        </w:rPr>
        <w:t xml:space="preserve"> incremental borrowing rate ("IBR")</w:t>
      </w:r>
      <w:r>
        <w:rPr>
          <w:rFonts w:ascii="Times New Roman" w:cs="Times New Roman" w:eastAsia="Times New Roman" w:hAnsi="Times New Roman"/>
          <w:sz w:val="15"/>
          <w:szCs w:val="15"/>
          <w:color w:val="212529"/>
        </w:rPr>
        <w:t>.</w:t>
      </w:r>
      <w:r>
        <w:rPr>
          <w:rFonts w:ascii="Times New Roman" w:cs="Times New Roman" w:eastAsia="Times New Roman" w:hAnsi="Times New Roman"/>
          <w:sz w:val="15"/>
          <w:szCs w:val="15"/>
          <w:color w:val="000000"/>
        </w:rPr>
        <w:t xml:space="preserve"> Certain 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SG&amp;A expense) in our Consolidated Statements of Income.</w:t>
      </w:r>
    </w:p>
    <w:p>
      <w:pPr>
        <w:spacing w:after="0" w:line="121"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5"/>
          <w:szCs w:val="15"/>
          <w:color w:val="auto"/>
        </w:rPr>
        <w:t xml:space="preserve">As of May 31, 2024, we recognized $137.2 million of Lease ROU assets, net and $213.8 million of combined Current lease liabilities and Long-term lease liabilities in the Consolidated Balance Sheets. Our leases </w:t>
      </w:r>
      <w:r>
        <w:rPr>
          <w:rFonts w:ascii="Times New Roman" w:cs="Times New Roman" w:eastAsia="Times New Roman" w:hAnsi="Times New Roman"/>
          <w:sz w:val="15"/>
          <w:szCs w:val="15"/>
          <w:color w:val="212529"/>
        </w:rPr>
        <w:t>have a remaining lease term ranging from</w:t>
      </w:r>
      <w:r>
        <w:rPr>
          <w:rFonts w:ascii="Times New Roman" w:cs="Times New Roman" w:eastAsia="Times New Roman" w:hAnsi="Times New Roman"/>
          <w:sz w:val="15"/>
          <w:szCs w:val="15"/>
          <w:color w:val="auto"/>
        </w:rPr>
        <w:t xml:space="preserve"> less than one year to just under 12 years. Our lease agreements may include options to extend or terminate the lease which are included in the measurement of our lease term when it is reasonably certain that we will exercise the option.</w:t>
      </w:r>
    </w:p>
    <w:p>
      <w:pPr>
        <w:spacing w:after="0" w:line="111" w:lineRule="exact"/>
        <w:rPr>
          <w:sz w:val="20"/>
          <w:szCs w:val="20"/>
          <w:color w:val="auto"/>
        </w:rPr>
      </w:pPr>
    </w:p>
    <w:p>
      <w:pPr>
        <w:jc w:val="both"/>
        <w:ind w:left="8" w:right="20"/>
        <w:spacing w:after="0" w:line="291" w:lineRule="auto"/>
        <w:rPr>
          <w:sz w:val="20"/>
          <w:szCs w:val="20"/>
          <w:color w:val="auto"/>
        </w:rPr>
      </w:pPr>
      <w:r>
        <w:rPr>
          <w:rFonts w:ascii="Times New Roman" w:cs="Times New Roman" w:eastAsia="Times New Roman" w:hAnsi="Times New Roman"/>
          <w:sz w:val="15"/>
          <w:szCs w:val="15"/>
          <w:color w:val="auto"/>
        </w:rPr>
        <w:t>The f</w:t>
      </w:r>
      <w:r>
        <w:rPr>
          <w:rFonts w:ascii="Times New Roman" w:cs="Times New Roman" w:eastAsia="Times New Roman" w:hAnsi="Times New Roman"/>
          <w:sz w:val="15"/>
          <w:szCs w:val="15"/>
          <w:color w:val="212529"/>
        </w:rPr>
        <w:t>ollowing table presents our future minimum lease payments and a reconciliation to the combined</w:t>
      </w:r>
      <w:r>
        <w:rPr>
          <w:rFonts w:ascii="Times New Roman" w:cs="Times New Roman" w:eastAsia="Times New Roman" w:hAnsi="Times New Roman"/>
          <w:sz w:val="15"/>
          <w:szCs w:val="15"/>
          <w:color w:val="auto"/>
        </w:rPr>
        <w:t xml:space="preserve"> Current lease liabilities and Long-term lease liabilities in the Consolidated Balance Sheets </w:t>
      </w:r>
      <w:r>
        <w:rPr>
          <w:rFonts w:ascii="Times New Roman" w:cs="Times New Roman" w:eastAsia="Times New Roman" w:hAnsi="Times New Roman"/>
          <w:sz w:val="15"/>
          <w:szCs w:val="15"/>
          <w:color w:val="212529"/>
        </w:rPr>
        <w:t>as of</w:t>
      </w:r>
      <w:r>
        <w:rPr>
          <w:rFonts w:ascii="Times New Roman" w:cs="Times New Roman" w:eastAsia="Times New Roman" w:hAnsi="Times New Roman"/>
          <w:sz w:val="15"/>
          <w:szCs w:val="15"/>
          <w:color w:val="auto"/>
        </w:rPr>
        <w:t xml:space="preserve"> May 31, 2024</w:t>
      </w:r>
      <w:r>
        <w:rPr>
          <w:rFonts w:ascii="Times New Roman" w:cs="Times New Roman" w:eastAsia="Times New Roman" w:hAnsi="Times New Roman"/>
          <w:sz w:val="15"/>
          <w:szCs w:val="15"/>
          <w:color w:val="212529"/>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202"/>
        </w:trPr>
        <w:tc>
          <w:tcPr>
            <w:tcW w:w="48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5"/>
                <w:szCs w:val="15"/>
                <w:color w:val="auto"/>
              </w:rPr>
              <w:t>Minimum Lease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Years Ended August 31,</w:t>
            </w:r>
          </w:p>
        </w:tc>
        <w:tc>
          <w:tcPr>
            <w:tcW w:w="1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4"/>
              <w:spacing w:after="0"/>
              <w:rPr>
                <w:sz w:val="20"/>
                <w:szCs w:val="20"/>
                <w:color w:val="auto"/>
              </w:rPr>
            </w:pPr>
            <w:r>
              <w:rPr>
                <w:rFonts w:ascii="Times New Roman" w:cs="Times New Roman" w:eastAsia="Times New Roman" w:hAnsi="Times New Roman"/>
                <w:sz w:val="15"/>
                <w:szCs w:val="15"/>
                <w:color w:val="auto"/>
              </w:rPr>
              <w:t>Payments</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 (remaining three months)</w:t>
            </w:r>
          </w:p>
        </w:tc>
        <w:tc>
          <w:tcPr>
            <w:tcW w:w="1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9,767</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39,276</w:t>
            </w:r>
          </w:p>
        </w:tc>
        <w:tc>
          <w:tcPr>
            <w:tcW w:w="0" w:type="dxa"/>
            <w:vAlign w:val="bottom"/>
          </w:tcPr>
          <w:p>
            <w:pPr>
              <w:spacing w:after="0"/>
              <w:rPr>
                <w:sz w:val="1"/>
                <w:szCs w:val="1"/>
                <w:color w:val="auto"/>
              </w:rPr>
            </w:pPr>
          </w:p>
        </w:tc>
      </w:tr>
      <w:tr>
        <w:trPr>
          <w:trHeight w:val="19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1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39,103</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37,886</w:t>
            </w:r>
          </w:p>
        </w:tc>
        <w:tc>
          <w:tcPr>
            <w:tcW w:w="0" w:type="dxa"/>
            <w:vAlign w:val="bottom"/>
          </w:tcPr>
          <w:p>
            <w:pPr>
              <w:spacing w:after="0"/>
              <w:rPr>
                <w:sz w:val="1"/>
                <w:szCs w:val="1"/>
                <w:color w:val="auto"/>
              </w:rPr>
            </w:pPr>
          </w:p>
        </w:tc>
      </w:tr>
      <w:tr>
        <w:trPr>
          <w:trHeight w:val="19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1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33,359</w:t>
            </w: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17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89,814</w:t>
            </w:r>
          </w:p>
        </w:tc>
        <w:tc>
          <w:tcPr>
            <w:tcW w:w="0" w:type="dxa"/>
            <w:vAlign w:val="bottom"/>
          </w:tcPr>
          <w:p>
            <w:pPr>
              <w:spacing w:after="0"/>
              <w:rPr>
                <w:sz w:val="1"/>
                <w:szCs w:val="1"/>
                <w:color w:val="auto"/>
              </w:rPr>
            </w:pPr>
          </w:p>
        </w:tc>
      </w:tr>
      <w:tr>
        <w:trPr>
          <w:trHeight w:val="18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minimum lease payments</w:t>
            </w:r>
          </w:p>
        </w:tc>
        <w:tc>
          <w:tcPr>
            <w:tcW w:w="1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249,205</w:t>
            </w: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17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35,433</w:t>
            </w:r>
          </w:p>
        </w:tc>
        <w:tc>
          <w:tcPr>
            <w:tcW w:w="0" w:type="dxa"/>
            <w:vAlign w:val="bottom"/>
          </w:tcPr>
          <w:p>
            <w:pPr>
              <w:spacing w:after="0"/>
              <w:rPr>
                <w:sz w:val="1"/>
                <w:szCs w:val="1"/>
                <w:color w:val="auto"/>
              </w:rPr>
            </w:pPr>
          </w:p>
        </w:tc>
      </w:tr>
      <w:tr>
        <w:trPr>
          <w:trHeight w:val="211"/>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liabilities</w:t>
            </w:r>
          </w:p>
        </w:tc>
        <w:tc>
          <w:tcPr>
            <w:tcW w:w="1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213,772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The following table includes components of our occupancy costs:</w:t>
            </w:r>
          </w:p>
        </w:tc>
        <w:tc>
          <w:tcPr>
            <w:tcW w:w="1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8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3120" w:type="dxa"/>
            <w:vAlign w:val="bottom"/>
            <w:gridSpan w:val="3"/>
          </w:tcPr>
          <w:p>
            <w:pPr>
              <w:jc w:val="right"/>
              <w:ind w:right="204"/>
              <w:spacing w:after="0"/>
              <w:rPr>
                <w:sz w:val="20"/>
                <w:szCs w:val="20"/>
                <w:color w:val="auto"/>
              </w:rPr>
            </w:pPr>
            <w:r>
              <w:rPr>
                <w:rFonts w:ascii="Times New Roman" w:cs="Times New Roman" w:eastAsia="Times New Roman" w:hAnsi="Times New Roman"/>
                <w:sz w:val="15"/>
                <w:szCs w:val="15"/>
                <w:color w:val="auto"/>
              </w:rPr>
              <w:t>Three Months Ended</w:t>
            </w:r>
          </w:p>
        </w:tc>
        <w:tc>
          <w:tcPr>
            <w:tcW w:w="500" w:type="dxa"/>
            <w:vAlign w:val="bottom"/>
          </w:tcPr>
          <w:p>
            <w:pPr>
              <w:spacing w:after="0"/>
              <w:rPr>
                <w:sz w:val="18"/>
                <w:szCs w:val="18"/>
                <w:color w:val="auto"/>
              </w:rPr>
            </w:pPr>
          </w:p>
        </w:tc>
        <w:tc>
          <w:tcPr>
            <w:tcW w:w="2280" w:type="dxa"/>
            <w:vAlign w:val="bottom"/>
            <w:gridSpan w:val="3"/>
          </w:tcPr>
          <w:p>
            <w:pPr>
              <w:jc w:val="center"/>
              <w:ind w:left="464"/>
              <w:spacing w:after="0"/>
              <w:rPr>
                <w:sz w:val="20"/>
                <w:szCs w:val="20"/>
                <w:color w:val="auto"/>
              </w:rPr>
            </w:pPr>
            <w:r>
              <w:rPr>
                <w:rFonts w:ascii="Times New Roman" w:cs="Times New Roman" w:eastAsia="Times New Roman" w:hAnsi="Times New Roman"/>
                <w:sz w:val="15"/>
                <w:szCs w:val="15"/>
                <w:color w:val="auto"/>
              </w:rPr>
              <w:t>Nine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700" w:type="dxa"/>
            <w:vAlign w:val="bottom"/>
          </w:tcPr>
          <w:p>
            <w:pPr>
              <w:spacing w:after="0"/>
              <w:rPr>
                <w:sz w:val="16"/>
                <w:szCs w:val="16"/>
                <w:color w:val="auto"/>
              </w:rPr>
            </w:pPr>
          </w:p>
        </w:tc>
        <w:tc>
          <w:tcPr>
            <w:tcW w:w="1420" w:type="dxa"/>
            <w:vAlign w:val="bottom"/>
            <w:gridSpan w:val="2"/>
          </w:tcPr>
          <w:p>
            <w:pPr>
              <w:jc w:val="right"/>
              <w:ind w:right="604"/>
              <w:spacing w:after="0"/>
              <w:rPr>
                <w:sz w:val="20"/>
                <w:szCs w:val="20"/>
                <w:color w:val="auto"/>
              </w:rPr>
            </w:pPr>
            <w:r>
              <w:rPr>
                <w:rFonts w:ascii="Times New Roman" w:cs="Times New Roman" w:eastAsia="Times New Roman" w:hAnsi="Times New Roman"/>
                <w:sz w:val="15"/>
                <w:szCs w:val="15"/>
                <w:color w:val="auto"/>
              </w:rPr>
              <w:t>May 31,</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w w:val="99"/>
              </w:rPr>
              <w:t>May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80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2024</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2023</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5"/>
                <w:szCs w:val="15"/>
                <w:color w:val="auto"/>
              </w:rPr>
              <w:t>Operating lease costs</w:t>
            </w:r>
            <w:r>
              <w:rPr>
                <w:rFonts w:ascii="Times New Roman" w:cs="Times New Roman" w:eastAsia="Times New Roman" w:hAnsi="Times New Roman"/>
                <w:sz w:val="19"/>
                <w:szCs w:val="19"/>
                <w:color w:val="auto"/>
                <w:vertAlign w:val="superscript"/>
              </w:rPr>
              <w:t>(1)</w:t>
            </w:r>
          </w:p>
        </w:tc>
        <w:tc>
          <w:tcPr>
            <w:tcW w:w="170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21252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12529"/>
              </w:rPr>
              <w:t>7,583</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8,170</w:t>
            </w:r>
          </w:p>
        </w:tc>
        <w:tc>
          <w:tcPr>
            <w:tcW w:w="88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22,846</w:t>
            </w:r>
          </w:p>
        </w:tc>
        <w:tc>
          <w:tcPr>
            <w:tcW w:w="90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24,403</w:t>
            </w:r>
          </w:p>
        </w:tc>
        <w:tc>
          <w:tcPr>
            <w:tcW w:w="0" w:type="dxa"/>
            <w:vAlign w:val="bottom"/>
          </w:tcPr>
          <w:p>
            <w:pPr>
              <w:spacing w:after="0"/>
              <w:rPr>
                <w:sz w:val="1"/>
                <w:szCs w:val="1"/>
                <w:color w:val="auto"/>
              </w:rPr>
            </w:pPr>
          </w:p>
        </w:tc>
      </w:tr>
      <w:tr>
        <w:trPr>
          <w:trHeight w:val="266"/>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Variable lease costs</w:t>
            </w:r>
            <w:r>
              <w:rPr>
                <w:rFonts w:ascii="Times New Roman" w:cs="Times New Roman" w:eastAsia="Times New Roman" w:hAnsi="Times New Roman"/>
                <w:sz w:val="19"/>
                <w:szCs w:val="19"/>
                <w:color w:val="auto"/>
                <w:vertAlign w:val="superscript"/>
              </w:rPr>
              <w:t>(2)</w:t>
            </w:r>
          </w:p>
        </w:tc>
        <w:tc>
          <w:tcPr>
            <w:tcW w:w="1700" w:type="dxa"/>
            <w:vAlign w:val="bottom"/>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3,740</w:t>
            </w: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4,645</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13,046</w:t>
            </w:r>
          </w:p>
        </w:tc>
        <w:tc>
          <w:tcPr>
            <w:tcW w:w="90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12,699</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8" w:right="20" w:hanging="208"/>
        <w:spacing w:after="0" w:line="288"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and complied with the practical expedients and exceptions we elected.</w:t>
      </w:r>
    </w:p>
    <w:p>
      <w:pPr>
        <w:spacing w:after="0" w:line="42" w:lineRule="exact"/>
        <w:rPr>
          <w:rFonts w:ascii="Times New Roman" w:cs="Times New Roman" w:eastAsia="Times New Roman" w:hAnsi="Times New Roman"/>
          <w:sz w:val="14"/>
          <w:szCs w:val="14"/>
          <w:color w:val="auto"/>
        </w:rPr>
      </w:pPr>
    </w:p>
    <w:p>
      <w:pPr>
        <w:ind w:left="208" w:hanging="208"/>
        <w:spacing w:after="0" w:line="304" w:lineRule="auto"/>
        <w:tabs>
          <w:tab w:leader="none" w:pos="202"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Variable lease costs include costs that were not fixed at the lease commencement date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99" w:lineRule="exact"/>
        <w:rPr>
          <w:sz w:val="20"/>
          <w:szCs w:val="20"/>
          <w:color w:val="auto"/>
        </w:rPr>
      </w:pPr>
    </w:p>
    <w:p>
      <w:pPr>
        <w:ind w:left="8"/>
        <w:spacing w:after="0" w:line="291" w:lineRule="auto"/>
        <w:rPr>
          <w:sz w:val="20"/>
          <w:szCs w:val="20"/>
          <w:color w:val="auto"/>
        </w:rPr>
      </w:pPr>
      <w:r>
        <w:rPr>
          <w:rFonts w:ascii="Times New Roman" w:cs="Times New Roman" w:eastAsia="Times New Roman" w:hAnsi="Times New Roman"/>
          <w:sz w:val="15"/>
          <w:szCs w:val="15"/>
          <w:color w:val="auto"/>
        </w:rPr>
        <w:t>The following table summarizes our weighted average remaining lease term and weighted average discount rate related to our operating leases recorded on the Consolidated Balance Sheets:</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98"/>
        </w:trPr>
        <w:tc>
          <w:tcPr>
            <w:tcW w:w="8400" w:type="dxa"/>
            <w:vAlign w:val="bottom"/>
            <w:tcBorders>
              <w:bottom w:val="single" w:sz="8" w:color="auto"/>
            </w:tcBorders>
          </w:tcPr>
          <w:p>
            <w:pPr>
              <w:ind w:left="7080"/>
              <w:spacing w:after="0"/>
              <w:rPr>
                <w:sz w:val="20"/>
                <w:szCs w:val="20"/>
                <w:color w:val="auto"/>
              </w:rPr>
            </w:pPr>
            <w:r>
              <w:rPr>
                <w:rFonts w:ascii="Times New Roman" w:cs="Times New Roman" w:eastAsia="Times New Roman" w:hAnsi="Times New Roman"/>
                <w:sz w:val="15"/>
                <w:szCs w:val="15"/>
                <w:color w:val="auto"/>
              </w:rPr>
              <w:t>As of May 31, 2024</w:t>
            </w:r>
          </w:p>
        </w:tc>
        <w:tc>
          <w:tcPr>
            <w:tcW w:w="7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As of August 31, 2023</w:t>
            </w:r>
          </w:p>
        </w:tc>
      </w:tr>
      <w:tr>
        <w:trPr>
          <w:trHeight w:val="18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Weighted average remaining lease term </w:t>
            </w:r>
            <w:r>
              <w:rPr>
                <w:rFonts w:ascii="Times New Roman" w:cs="Times New Roman" w:eastAsia="Times New Roman" w:hAnsi="Times New Roman"/>
                <w:sz w:val="15"/>
                <w:szCs w:val="15"/>
                <w:i w:val="1"/>
                <w:iCs w:val="1"/>
                <w:color w:val="auto"/>
              </w:rPr>
              <w:t>(in years)</w:t>
            </w:r>
          </w:p>
        </w:tc>
        <w:tc>
          <w:tcPr>
            <w:tcW w:w="72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7.1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202"/>
        </w:trPr>
        <w:tc>
          <w:tcPr>
            <w:tcW w:w="84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Weighted average discount rate </w:t>
            </w:r>
            <w:r>
              <w:rPr>
                <w:rFonts w:ascii="Times New Roman" w:cs="Times New Roman" w:eastAsia="Times New Roman" w:hAnsi="Times New Roman"/>
                <w:sz w:val="15"/>
                <w:szCs w:val="15"/>
                <w:i w:val="1"/>
                <w:iCs w:val="1"/>
                <w:color w:val="auto"/>
              </w:rPr>
              <w:t>(IBR)</w:t>
            </w:r>
          </w:p>
        </w:tc>
        <w:tc>
          <w:tcPr>
            <w:tcW w:w="72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4.6 %</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22" w:name="page23"/>
    <w:bookmarkEnd w:id="22"/>
    <w:tbl>
      <w:tblPr>
        <w:tblLayout w:type="fixed"/>
        <w:tblInd w:w="8" w:type="dxa"/>
        <w:tblCellMar>
          <w:top w:w="0" w:type="dxa"/>
          <w:left w:w="0" w:type="dxa"/>
          <w:bottom w:w="0" w:type="dxa"/>
          <w:right w:w="0" w:type="dxa"/>
        </w:tblCellMar>
      </w:tblPr>
      <w:tr>
        <w:trPr>
          <w:trHeight w:val="172"/>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Table of Contents</w:t>
            </w:r>
          </w:p>
        </w:tc>
        <w:tc>
          <w:tcPr>
            <w:tcW w:w="6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7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summarizes supplemental cash flow information related to our operating leases:</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0" w:type="dxa"/>
            <w:vAlign w:val="bottom"/>
            <w:gridSpan w:val="3"/>
          </w:tcPr>
          <w:p>
            <w:pPr>
              <w:jc w:val="right"/>
              <w:ind w:right="744"/>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195"/>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0" w:type="dxa"/>
            <w:vAlign w:val="bottom"/>
          </w:tcPr>
          <w:p>
            <w:pPr>
              <w:spacing w:after="0"/>
              <w:rPr>
                <w:sz w:val="16"/>
                <w:szCs w:val="16"/>
                <w:color w:val="auto"/>
              </w:rPr>
            </w:pPr>
          </w:p>
        </w:tc>
        <w:tc>
          <w:tcPr>
            <w:tcW w:w="116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May 31,</w:t>
            </w:r>
          </w:p>
        </w:tc>
        <w:tc>
          <w:tcPr>
            <w:tcW w:w="280" w:type="dxa"/>
            <w:vAlign w:val="bottom"/>
          </w:tcPr>
          <w:p>
            <w:pPr>
              <w:spacing w:after="0"/>
              <w:rPr>
                <w:sz w:val="16"/>
                <w:szCs w:val="16"/>
                <w:color w:val="auto"/>
              </w:rPr>
            </w:pPr>
          </w:p>
        </w:tc>
        <w:tc>
          <w:tcPr>
            <w:tcW w:w="116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May 31,</w:t>
            </w:r>
          </w:p>
        </w:tc>
        <w:tc>
          <w:tcPr>
            <w:tcW w:w="0" w:type="dxa"/>
            <w:vAlign w:val="bottom"/>
          </w:tcPr>
          <w:p>
            <w:pPr>
              <w:spacing w:after="0"/>
              <w:rPr>
                <w:sz w:val="1"/>
                <w:szCs w:val="1"/>
                <w:color w:val="auto"/>
              </w:rPr>
            </w:pPr>
          </w:p>
        </w:tc>
      </w:tr>
      <w:tr>
        <w:trPr>
          <w:trHeight w:val="198"/>
        </w:trPr>
        <w:tc>
          <w:tcPr>
            <w:tcW w:w="7260" w:type="dxa"/>
            <w:vAlign w:val="bottom"/>
            <w:tcBorders>
              <w:bottom w:val="single" w:sz="8" w:color="auto"/>
            </w:tcBorders>
            <w:gridSpan w:val="2"/>
            <w:vMerge w:val="continue"/>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2024</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4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29,579</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29,245</w:t>
            </w:r>
          </w:p>
        </w:tc>
        <w:tc>
          <w:tcPr>
            <w:tcW w:w="0" w:type="dxa"/>
            <w:vAlign w:val="bottom"/>
          </w:tcPr>
          <w:p>
            <w:pPr>
              <w:spacing w:after="0"/>
              <w:rPr>
                <w:sz w:val="1"/>
                <w:szCs w:val="1"/>
                <w:color w:val="auto"/>
              </w:rPr>
            </w:pPr>
          </w:p>
        </w:tc>
      </w:tr>
      <w:tr>
        <w:trPr>
          <w:trHeight w:val="195"/>
        </w:trPr>
        <w:tc>
          <w:tcPr>
            <w:tcW w:w="7260" w:type="dxa"/>
            <w:vAlign w:val="bottom"/>
            <w:gridSpan w:val="2"/>
          </w:tcPr>
          <w:p>
            <w:pPr>
              <w:spacing w:after="0" w:line="195" w:lineRule="exact"/>
              <w:rPr>
                <w:sz w:val="20"/>
                <w:szCs w:val="20"/>
                <w:color w:val="auto"/>
              </w:rPr>
            </w:pPr>
            <w:r>
              <w:rPr>
                <w:rFonts w:ascii="Times New Roman" w:cs="Times New Roman" w:eastAsia="Times New Roman" w:hAnsi="Times New Roman"/>
                <w:sz w:val="15"/>
                <w:szCs w:val="15"/>
                <w:color w:val="auto"/>
              </w:rPr>
              <w:t>Lease ROU assets obtained in exchange for lease liabilities</w:t>
            </w:r>
            <w:r>
              <w:rPr>
                <w:rFonts w:ascii="Times New Roman" w:cs="Times New Roman" w:eastAsia="Times New Roman" w:hAnsi="Times New Roman"/>
                <w:sz w:val="19"/>
                <w:szCs w:val="19"/>
                <w:color w:val="auto"/>
                <w:vertAlign w:val="superscript"/>
              </w:rPr>
              <w:t>(1)</w:t>
            </w:r>
          </w:p>
        </w:tc>
        <w:tc>
          <w:tcPr>
            <w:tcW w:w="14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10,183</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13,872</w:t>
            </w:r>
          </w:p>
        </w:tc>
        <w:tc>
          <w:tcPr>
            <w:tcW w:w="0" w:type="dxa"/>
            <w:vAlign w:val="bottom"/>
          </w:tcPr>
          <w:p>
            <w:pPr>
              <w:spacing w:after="0"/>
              <w:rPr>
                <w:sz w:val="1"/>
                <w:szCs w:val="1"/>
                <w:color w:val="auto"/>
              </w:rPr>
            </w:pPr>
          </w:p>
        </w:tc>
      </w:tr>
      <w:tr>
        <w:trPr>
          <w:trHeight w:val="195"/>
        </w:trPr>
        <w:tc>
          <w:tcPr>
            <w:tcW w:w="72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5"/>
                <w:szCs w:val="15"/>
                <w:color w:val="auto"/>
              </w:rPr>
              <w:t>Reductions to ROU assets resulting from reductions to lease liabilities</w:t>
            </w:r>
            <w:r>
              <w:rPr>
                <w:rFonts w:ascii="Times New Roman" w:cs="Times New Roman" w:eastAsia="Times New Roman" w:hAnsi="Times New Roman"/>
                <w:sz w:val="19"/>
                <w:szCs w:val="19"/>
                <w:color w:val="auto"/>
                <w:vertAlign w:val="superscript"/>
              </w:rPr>
              <w:t>(2)</w:t>
            </w:r>
          </w:p>
        </w:tc>
        <w:tc>
          <w:tcPr>
            <w:tcW w:w="14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08" w:hanging="208"/>
        <w:spacing w:after="0"/>
        <w:tabs>
          <w:tab w:leader="none" w:pos="2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new lease arrangements entered into during the respective period and contract modifications that extend our lease terms and/or provide additional rights.</w:t>
      </w:r>
    </w:p>
    <w:p>
      <w:pPr>
        <w:spacing w:after="0" w:line="91"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lease term reassessments based on contractual options to early terminate, resulting in a reduction to the lease liability and the corresponding lease ROU asset.</w:t>
      </w:r>
    </w:p>
    <w:p>
      <w:pPr>
        <w:spacing w:after="0" w:line="2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72" w:lineRule="exact"/>
        <w:rPr>
          <w:sz w:val="20"/>
          <w:szCs w:val="20"/>
          <w:color w:val="auto"/>
        </w:rPr>
      </w:pPr>
    </w:p>
    <w:p>
      <w:pPr>
        <w:ind w:left="8" w:right="20"/>
        <w:spacing w:after="0" w:line="291" w:lineRule="auto"/>
        <w:rPr>
          <w:sz w:val="20"/>
          <w:szCs w:val="20"/>
          <w:color w:val="auto"/>
        </w:rPr>
      </w:pPr>
      <w:r>
        <w:rPr>
          <w:rFonts w:ascii="Times New Roman" w:cs="Times New Roman" w:eastAsia="Times New Roman" w:hAnsi="Times New Roman"/>
          <w:sz w:val="15"/>
          <w:szCs w:val="15"/>
          <w:color w:val="auto"/>
        </w:rPr>
        <w:t>We elected not to carry our debt at fair value. The carrying value of our debt is net of related unamortized discounts and debt issuance costs. Our debt obligations as of May 31, 2024 and August 31, 2023 consisted of the following:</w:t>
      </w:r>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120" w:type="dxa"/>
            <w:vAlign w:val="bottom"/>
          </w:tcPr>
          <w:p>
            <w:pPr>
              <w:spacing w:after="0"/>
              <w:rPr>
                <w:sz w:val="15"/>
                <w:szCs w:val="15"/>
                <w:color w:val="auto"/>
              </w:rPr>
            </w:pPr>
          </w:p>
        </w:tc>
        <w:tc>
          <w:tcPr>
            <w:tcW w:w="152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Contractual</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20" w:type="dxa"/>
            <w:vAlign w:val="bottom"/>
            <w:tcBorders>
              <w:bottom w:val="single" w:sz="8" w:color="auto"/>
            </w:tcBorders>
            <w:gridSpan w:val="2"/>
            <w:vMerge w:val="continue"/>
          </w:tcPr>
          <w:p>
            <w:pPr>
              <w:spacing w:after="0"/>
              <w:rPr>
                <w:sz w:val="17"/>
                <w:szCs w:val="17"/>
                <w:color w:val="auto"/>
              </w:rPr>
            </w:pPr>
          </w:p>
        </w:tc>
        <w:tc>
          <w:tcPr>
            <w:tcW w:w="212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5"/>
                <w:szCs w:val="15"/>
                <w:color w:val="auto"/>
              </w:rPr>
              <w:t>Issuance Date</w:t>
            </w:r>
          </w:p>
        </w:tc>
        <w:tc>
          <w:tcPr>
            <w:tcW w:w="15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color w:val="auto"/>
              </w:rPr>
              <w:t>Maturity Date</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May 31, 2024</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August 31, 2023</w:t>
            </w:r>
          </w:p>
        </w:tc>
        <w:tc>
          <w:tcPr>
            <w:tcW w:w="0" w:type="dxa"/>
            <w:vAlign w:val="bottom"/>
          </w:tcPr>
          <w:p>
            <w:pPr>
              <w:spacing w:after="0"/>
              <w:rPr>
                <w:sz w:val="1"/>
                <w:szCs w:val="1"/>
                <w:color w:val="auto"/>
              </w:rPr>
            </w:pPr>
          </w:p>
        </w:tc>
      </w:tr>
      <w:tr>
        <w:trPr>
          <w:trHeight w:val="18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debt</w:t>
            </w:r>
          </w:p>
        </w:tc>
        <w:tc>
          <w:tcPr>
            <w:tcW w:w="2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99"/>
              </w:rPr>
              <w:t>2022</w:t>
            </w:r>
          </w:p>
        </w:tc>
        <w:tc>
          <w:tcPr>
            <w:tcW w:w="3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Term Facility</w:t>
            </w:r>
          </w:p>
        </w:tc>
        <w:tc>
          <w:tcPr>
            <w:tcW w:w="2120" w:type="dxa"/>
            <w:vAlign w:val="bottom"/>
          </w:tcPr>
          <w:p>
            <w:pPr>
              <w:jc w:val="center"/>
              <w:ind w:left="664"/>
              <w:spacing w:after="0"/>
              <w:rPr>
                <w:sz w:val="20"/>
                <w:szCs w:val="20"/>
                <w:color w:val="auto"/>
              </w:rPr>
            </w:pPr>
            <w:r>
              <w:rPr>
                <w:rFonts w:ascii="Times New Roman" w:cs="Times New Roman" w:eastAsia="Times New Roman" w:hAnsi="Times New Roman"/>
                <w:sz w:val="15"/>
                <w:szCs w:val="15"/>
                <w:color w:val="auto"/>
              </w:rPr>
              <w:t>3/1/2022</w:t>
            </w:r>
          </w:p>
        </w:tc>
        <w:tc>
          <w:tcPr>
            <w:tcW w:w="152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3/1/2025</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187,500</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unamortized debt issuance costs on Current debt</w:t>
            </w:r>
          </w:p>
        </w:tc>
        <w:tc>
          <w:tcPr>
            <w:tcW w:w="2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2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Total Current debt</w:t>
            </w:r>
          </w:p>
        </w:tc>
        <w:tc>
          <w:tcPr>
            <w:tcW w:w="21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187,144</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2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w w:val="99"/>
              </w:rPr>
              <w:t>2022</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Term Facility</w:t>
            </w:r>
          </w:p>
        </w:tc>
        <w:tc>
          <w:tcPr>
            <w:tcW w:w="21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5"/>
                <w:szCs w:val="15"/>
                <w:color w:val="auto"/>
              </w:rPr>
              <w:t>3/1/2022</w:t>
            </w:r>
          </w:p>
        </w:tc>
        <w:tc>
          <w:tcPr>
            <w:tcW w:w="152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3/1/2025</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 $</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375,000</w:t>
            </w:r>
          </w:p>
        </w:tc>
        <w:tc>
          <w:tcPr>
            <w:tcW w:w="0" w:type="dxa"/>
            <w:vAlign w:val="bottom"/>
          </w:tcPr>
          <w:p>
            <w:pPr>
              <w:spacing w:after="0"/>
              <w:rPr>
                <w:sz w:val="1"/>
                <w:szCs w:val="1"/>
                <w:color w:val="auto"/>
              </w:rPr>
            </w:pPr>
          </w:p>
        </w:tc>
      </w:tr>
      <w:tr>
        <w:trPr>
          <w:trHeight w:val="195"/>
        </w:trPr>
        <w:tc>
          <w:tcPr>
            <w:tcW w:w="60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99"/>
              </w:rPr>
              <w:t>2022</w:t>
            </w:r>
          </w:p>
        </w:tc>
        <w:tc>
          <w:tcPr>
            <w:tcW w:w="3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Revolving Facility</w:t>
            </w:r>
          </w:p>
        </w:tc>
        <w:tc>
          <w:tcPr>
            <w:tcW w:w="2120" w:type="dxa"/>
            <w:vAlign w:val="bottom"/>
          </w:tcPr>
          <w:p>
            <w:pPr>
              <w:jc w:val="center"/>
              <w:ind w:left="664"/>
              <w:spacing w:after="0"/>
              <w:rPr>
                <w:sz w:val="20"/>
                <w:szCs w:val="20"/>
                <w:color w:val="auto"/>
              </w:rPr>
            </w:pPr>
            <w:r>
              <w:rPr>
                <w:rFonts w:ascii="Times New Roman" w:cs="Times New Roman" w:eastAsia="Times New Roman" w:hAnsi="Times New Roman"/>
                <w:sz w:val="15"/>
                <w:szCs w:val="15"/>
                <w:color w:val="auto"/>
              </w:rPr>
              <w:t>3/1/2022</w:t>
            </w:r>
          </w:p>
        </w:tc>
        <w:tc>
          <w:tcPr>
            <w:tcW w:w="152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3/1/2027</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22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250,000</w:t>
            </w:r>
          </w:p>
        </w:tc>
        <w:tc>
          <w:tcPr>
            <w:tcW w:w="0" w:type="dxa"/>
            <w:vAlign w:val="bottom"/>
          </w:tcPr>
          <w:p>
            <w:pPr>
              <w:spacing w:after="0"/>
              <w:rPr>
                <w:sz w:val="1"/>
                <w:szCs w:val="1"/>
                <w:color w:val="auto"/>
              </w:rPr>
            </w:pPr>
          </w:p>
        </w:tc>
      </w:tr>
      <w:tr>
        <w:trPr>
          <w:trHeight w:val="195"/>
        </w:trPr>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w w:val="99"/>
              </w:rPr>
              <w:t>2027</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21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5"/>
                <w:szCs w:val="15"/>
                <w:color w:val="auto"/>
              </w:rPr>
              <w:t>3/1/2022</w:t>
            </w:r>
          </w:p>
        </w:tc>
        <w:tc>
          <w:tcPr>
            <w:tcW w:w="152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3/1/2027</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95"/>
        </w:trPr>
        <w:tc>
          <w:tcPr>
            <w:tcW w:w="60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99"/>
              </w:rPr>
              <w:t>2032</w:t>
            </w:r>
          </w:p>
        </w:tc>
        <w:tc>
          <w:tcPr>
            <w:tcW w:w="3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2120" w:type="dxa"/>
            <w:vAlign w:val="bottom"/>
          </w:tcPr>
          <w:p>
            <w:pPr>
              <w:jc w:val="center"/>
              <w:ind w:left="664"/>
              <w:spacing w:after="0"/>
              <w:rPr>
                <w:sz w:val="20"/>
                <w:szCs w:val="20"/>
                <w:color w:val="auto"/>
              </w:rPr>
            </w:pPr>
            <w:r>
              <w:rPr>
                <w:rFonts w:ascii="Times New Roman" w:cs="Times New Roman" w:eastAsia="Times New Roman" w:hAnsi="Times New Roman"/>
                <w:sz w:val="15"/>
                <w:szCs w:val="15"/>
                <w:color w:val="auto"/>
              </w:rPr>
              <w:t>3/1/2022</w:t>
            </w:r>
          </w:p>
        </w:tc>
        <w:tc>
          <w:tcPr>
            <w:tcW w:w="152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3/1/2032</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2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95"/>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unamortized discounts and debt issuance costs</w:t>
            </w:r>
          </w:p>
        </w:tc>
        <w:tc>
          <w:tcPr>
            <w:tcW w:w="2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(9,374)</w:t>
            </w:r>
          </w:p>
        </w:tc>
        <w:tc>
          <w:tcPr>
            <w:tcW w:w="2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(12,300)</w:t>
            </w: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Total Long-term debt</w:t>
            </w:r>
          </w:p>
        </w:tc>
        <w:tc>
          <w:tcPr>
            <w:tcW w:w="21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1,240,626</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1,612,700</w:t>
            </w:r>
          </w:p>
        </w:tc>
        <w:tc>
          <w:tcPr>
            <w:tcW w:w="0" w:type="dxa"/>
            <w:vAlign w:val="bottom"/>
          </w:tcPr>
          <w:p>
            <w:pPr>
              <w:spacing w:after="0"/>
              <w:rPr>
                <w:sz w:val="1"/>
                <w:szCs w:val="1"/>
                <w:color w:val="auto"/>
              </w:rPr>
            </w:pPr>
          </w:p>
        </w:tc>
      </w:tr>
      <w:tr>
        <w:trPr>
          <w:trHeight w:val="209"/>
        </w:trPr>
        <w:tc>
          <w:tcPr>
            <w:tcW w:w="6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debt</w:t>
            </w:r>
          </w:p>
        </w:tc>
        <w:tc>
          <w:tcPr>
            <w:tcW w:w="2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1,427,770</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1,612,700</w:t>
            </w:r>
          </w:p>
        </w:tc>
        <w:tc>
          <w:tcPr>
            <w:tcW w:w="0" w:type="dxa"/>
            <w:vAlign w:val="bottom"/>
          </w:tcPr>
          <w:p>
            <w:pPr>
              <w:spacing w:after="0"/>
              <w:rPr>
                <w:sz w:val="1"/>
                <w:szCs w:val="1"/>
                <w:color w:val="auto"/>
              </w:rPr>
            </w:pPr>
          </w:p>
        </w:tc>
      </w:tr>
      <w:tr>
        <w:trPr>
          <w:trHeight w:val="20"/>
        </w:trPr>
        <w:tc>
          <w:tcPr>
            <w:tcW w:w="796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auto"/>
              </w:rPr>
              <w:t>As of May 31, 2024, annual maturities on our debt obligations, based on contractual maturity date, were as follows:</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6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Years Ended August 31,</w:t>
            </w:r>
          </w:p>
        </w:tc>
        <w:tc>
          <w:tcPr>
            <w:tcW w:w="2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1144"/>
              <w:spacing w:after="0"/>
              <w:rPr>
                <w:sz w:val="20"/>
                <w:szCs w:val="20"/>
                <w:color w:val="auto"/>
              </w:rPr>
            </w:pPr>
            <w:r>
              <w:rPr>
                <w:rFonts w:ascii="Times New Roman" w:cs="Times New Roman" w:eastAsia="Times New Roman" w:hAnsi="Times New Roman"/>
                <w:sz w:val="15"/>
                <w:szCs w:val="15"/>
                <w:color w:val="auto"/>
              </w:rPr>
              <w:t>Maturities</w:t>
            </w:r>
          </w:p>
        </w:tc>
        <w:tc>
          <w:tcPr>
            <w:tcW w:w="0" w:type="dxa"/>
            <w:vAlign w:val="bottom"/>
          </w:tcPr>
          <w:p>
            <w:pPr>
              <w:spacing w:after="0"/>
              <w:rPr>
                <w:sz w:val="1"/>
                <w:szCs w:val="1"/>
                <w:color w:val="auto"/>
              </w:rPr>
            </w:pPr>
          </w:p>
        </w:tc>
      </w:tr>
      <w:tr>
        <w:trPr>
          <w:trHeight w:val="18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 (remaining three months)</w:t>
            </w:r>
          </w:p>
        </w:tc>
        <w:tc>
          <w:tcPr>
            <w:tcW w:w="2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20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3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187,500</w:t>
            </w:r>
          </w:p>
        </w:tc>
        <w:tc>
          <w:tcPr>
            <w:tcW w:w="0" w:type="dxa"/>
            <w:vAlign w:val="bottom"/>
          </w:tcPr>
          <w:p>
            <w:pPr>
              <w:spacing w:after="0"/>
              <w:rPr>
                <w:sz w:val="1"/>
                <w:szCs w:val="1"/>
                <w:color w:val="auto"/>
              </w:rPr>
            </w:pPr>
          </w:p>
        </w:tc>
      </w:tr>
      <w:tr>
        <w:trPr>
          <w:trHeight w:val="195"/>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37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3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750,000</w:t>
            </w:r>
          </w:p>
        </w:tc>
        <w:tc>
          <w:tcPr>
            <w:tcW w:w="0" w:type="dxa"/>
            <w:vAlign w:val="bottom"/>
          </w:tcPr>
          <w:p>
            <w:pPr>
              <w:spacing w:after="0"/>
              <w:rPr>
                <w:sz w:val="1"/>
                <w:szCs w:val="1"/>
                <w:color w:val="auto"/>
              </w:rPr>
            </w:pPr>
          </w:p>
        </w:tc>
      </w:tr>
      <w:tr>
        <w:trPr>
          <w:trHeight w:val="195"/>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37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21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211"/>
        </w:trPr>
        <w:tc>
          <w:tcPr>
            <w:tcW w:w="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37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20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1,437,500</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2022 Credit Agreement</w:t>
      </w:r>
    </w:p>
    <w:p>
      <w:pPr>
        <w:spacing w:after="0" w:line="164" w:lineRule="exact"/>
        <w:rPr>
          <w:sz w:val="20"/>
          <w:szCs w:val="20"/>
          <w:color w:val="auto"/>
        </w:rPr>
      </w:pPr>
    </w:p>
    <w:p>
      <w:pPr>
        <w:jc w:val="both"/>
        <w:ind w:left="8"/>
        <w:spacing w:after="0" w:line="291" w:lineRule="auto"/>
        <w:rPr>
          <w:sz w:val="20"/>
          <w:szCs w:val="20"/>
          <w:color w:val="auto"/>
        </w:rPr>
      </w:pPr>
      <w:r>
        <w:rPr>
          <w:rFonts w:ascii="Times New Roman" w:cs="Times New Roman" w:eastAsia="Times New Roman" w:hAnsi="Times New Roman"/>
          <w:sz w:val="15"/>
          <w:szCs w:val="15"/>
          <w:color w:val="auto"/>
        </w:rPr>
        <w:t>On March 1, 2022, we entered into a credit agreement (the "2022 Credit Agreement") and borrowed an aggregate principal amount of $1.0 billion under its senior unsecured term loan credit facility (the "2022 Term Facility") and $250.0 million of the</w:t>
      </w:r>
    </w:p>
    <w:p>
      <w:pPr>
        <w:spacing w:after="0" w:line="200" w:lineRule="exact"/>
        <w:rPr>
          <w:sz w:val="20"/>
          <w:szCs w:val="20"/>
          <w:color w:val="auto"/>
        </w:rPr>
      </w:pPr>
    </w:p>
    <w:p>
      <w:pPr>
        <w:spacing w:after="0" w:line="3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2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We used these borrowings, along with the net proceeds from the issuance of the Senior Notes (as defined below) and cash on hand, to finance the consideration for the CGS acquisition, to repay prior outstanding borrowings and to pay related transaction fees, costs and expenses.</w:t>
      </w:r>
    </w:p>
    <w:p>
      <w:pPr>
        <w:spacing w:after="0" w:line="9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During fiscal 2022, we incurred approximately $9.5 million in debt issuance costs related to the 2022 Credit Facilities. Debt issuance costs are presented in the Consolidated Balance Sheets as a direct deduction from the carrying amount of the debt liability. Debt issuance costs are amortized to Interest expense in the Consolidated Statements of Income on a straight-line basis over the contractual term of the debt, which approximates the effective interest method.</w:t>
      </w:r>
    </w:p>
    <w:p>
      <w:pPr>
        <w:spacing w:after="0" w:line="11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We may voluntarily prepay loans under the 2022 Credit Facilities at any time without premium or penalty. During the three and nine months ended May 31, 2024, we repaid $62.5 million and $187.5 million, respectively, under the 2022 Term Facility, inclusive of voluntary prepayments of $50.0 million and $150.0 million, respectively. Since loan inception on March 1, 2022, we have repaid $812.5 million under the 2022 Term Facility, inclusive of voluntary prepayments of $712.5 million.</w:t>
      </w:r>
    </w:p>
    <w:p>
      <w:pPr>
        <w:spacing w:after="0" w:line="1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From the borrowing date through November 30, 2023, the outstanding borrowings under the 2022 Credit Facilities bore interest at a rate equal to the applicable one-month Term SOFR plus a 1.1% spread (comprised of a 1.0% interest rate margin based on a debt leverage pricing grid plus a 0.1% credit spread adjustment). From December 1, 2023 through May 31, 2024, the spread decreased to 0.975% (comprised of a 0.875% interest rate margin based on a debt leverage pricing grid plus a 0.1% credit spread adjustment). Interest on the 2022 Credit Facilities is currently payable on the last business day of each month, in arrears.</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Additionally, 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May 31, 2024.</w:t>
      </w:r>
    </w:p>
    <w:p>
      <w:pPr>
        <w:spacing w:after="0" w:line="2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2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The 2022 Credit Agreement contains usual and customary affirmative and negative covenants for facilities of this type, including a financial covenant requiring maintenance of a total leverage ratio of no greater than 3.75 to 1.00 as of May 31, 2024. We were in compliance with all covenants and requirements of the 2022 Credit Agreement as of May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Swap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2024 Swap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March 1, 2024, we entered into the 2024 Swap Agreement to hedge a portion of our outstanding floating SOFR debt with a fixed interest rate of 5.145%.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2022 Swap Agreement</w:t>
      </w:r>
    </w:p>
    <w:p>
      <w:pPr>
        <w:spacing w:after="0" w:line="16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On March 1, 2022, we entered into the 2022 Swap Agreement to hedge a portion of our outstanding floating SOFR debt with a fixed interest rate of 1.162%. Effective December 30, 2022, we apportioned the then outstanding notional amount of the 2022 Swap Agreement between two counterparties. The 2022 Swap Agreement matured on February 28,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Note 5, </w:t>
      </w:r>
      <w:r>
        <w:rPr>
          <w:rFonts w:ascii="Times New Roman" w:cs="Times New Roman" w:eastAsia="Times New Roman" w:hAnsi="Times New Roman"/>
          <w:sz w:val="15"/>
          <w:szCs w:val="15"/>
          <w:i w:val="1"/>
          <w:iCs w:val="1"/>
          <w:color w:val="auto"/>
        </w:rPr>
        <w:t>Derivative Instruments</w:t>
      </w:r>
      <w:r>
        <w:rPr>
          <w:rFonts w:ascii="Times New Roman" w:cs="Times New Roman" w:eastAsia="Times New Roman" w:hAnsi="Times New Roman"/>
          <w:sz w:val="15"/>
          <w:szCs w:val="15"/>
          <w:color w:val="auto"/>
        </w:rPr>
        <w:t xml:space="preserve"> for further discussion of the 2022 Swap Agreement and the 2024 Swap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Senior Notes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"Trustee"), as supplemented by the supplemental indenture, dated as of March 1, 2022, between us and the Trustee (the "Supplemental Indenture").</w:t>
      </w:r>
    </w:p>
    <w:p>
      <w:pPr>
        <w:spacing w:after="0" w:line="172" w:lineRule="exact"/>
        <w:rPr>
          <w:sz w:val="20"/>
          <w:szCs w:val="20"/>
          <w:color w:val="auto"/>
        </w:rPr>
      </w:pPr>
    </w:p>
    <w:p>
      <w:pPr>
        <w:jc w:val="both"/>
        <w:ind w:left="8" w:right="20"/>
        <w:spacing w:after="0" w:line="273" w:lineRule="auto"/>
        <w:rPr>
          <w:sz w:val="20"/>
          <w:szCs w:val="20"/>
          <w:color w:val="auto"/>
        </w:rPr>
      </w:pPr>
      <w:r>
        <w:rPr>
          <w:rFonts w:ascii="Times New Roman" w:cs="Times New Roman" w:eastAsia="Times New Roman" w:hAnsi="Times New Roman"/>
          <w:sz w:val="15"/>
          <w:szCs w:val="15"/>
          <w:color w:val="auto"/>
        </w:rPr>
        <w:t>The Senior Notes were issued at an aggregate discount of $2.8 million and we incurred approximately $9.1 million in debt issuance costs.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Interest on the Senior Notes is payable semiannually in arrears on March 1 and September 1 of each year.</w:t>
      </w:r>
    </w:p>
    <w:p>
      <w:pPr>
        <w:spacing w:after="0" w:line="160" w:lineRule="exact"/>
        <w:rPr>
          <w:sz w:val="20"/>
          <w:szCs w:val="20"/>
          <w:color w:val="auto"/>
        </w:rPr>
      </w:pPr>
    </w:p>
    <w:p>
      <w:pPr>
        <w:jc w:val="both"/>
        <w:ind w:left="8"/>
        <w:spacing w:after="0" w:line="291" w:lineRule="auto"/>
        <w:rPr>
          <w:sz w:val="20"/>
          <w:szCs w:val="20"/>
          <w:color w:val="auto"/>
        </w:rPr>
      </w:pPr>
      <w:r>
        <w:rPr>
          <w:rFonts w:ascii="Times New Roman" w:cs="Times New Roman" w:eastAsia="Times New Roman" w:hAnsi="Times New Roman"/>
          <w:sz w:val="15"/>
          <w:szCs w:val="15"/>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Interest Expense</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following table presents the interest expense on our outstanding debt which is a component of Interest expense in our Consolidated Statements of Income:</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52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color w:val="auto"/>
              </w:rPr>
              <w:t>Three Months Ended</w:t>
            </w:r>
          </w:p>
        </w:tc>
        <w:tc>
          <w:tcPr>
            <w:tcW w:w="360" w:type="dxa"/>
            <w:vAlign w:val="bottom"/>
          </w:tcPr>
          <w:p>
            <w:pPr>
              <w:spacing w:after="0"/>
              <w:rPr>
                <w:sz w:val="16"/>
                <w:szCs w:val="16"/>
                <w:color w:val="auto"/>
              </w:rPr>
            </w:pPr>
          </w:p>
        </w:tc>
        <w:tc>
          <w:tcPr>
            <w:tcW w:w="254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195"/>
        </w:trPr>
        <w:tc>
          <w:tcPr>
            <w:tcW w:w="39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900" w:type="dxa"/>
            <w:vAlign w:val="bottom"/>
          </w:tcPr>
          <w:p>
            <w:pPr>
              <w:spacing w:after="0"/>
              <w:rPr>
                <w:sz w:val="16"/>
                <w:szCs w:val="16"/>
                <w:color w:val="auto"/>
              </w:rPr>
            </w:pPr>
          </w:p>
        </w:tc>
        <w:tc>
          <w:tcPr>
            <w:tcW w:w="1520" w:type="dxa"/>
            <w:vAlign w:val="bottom"/>
          </w:tcPr>
          <w:p>
            <w:pPr>
              <w:jc w:val="center"/>
              <w:ind w:left="624"/>
              <w:spacing w:after="0"/>
              <w:rPr>
                <w:sz w:val="20"/>
                <w:szCs w:val="20"/>
                <w:color w:val="auto"/>
              </w:rPr>
            </w:pPr>
            <w:r>
              <w:rPr>
                <w:rFonts w:ascii="Times New Roman" w:cs="Times New Roman" w:eastAsia="Times New Roman" w:hAnsi="Times New Roman"/>
                <w:sz w:val="15"/>
                <w:szCs w:val="15"/>
                <w:color w:val="auto"/>
                <w:w w:val="99"/>
              </w:rPr>
              <w:t>May 31,</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center"/>
              <w:ind w:left="604"/>
              <w:spacing w:after="0"/>
              <w:rPr>
                <w:sz w:val="20"/>
                <w:szCs w:val="20"/>
                <w:color w:val="auto"/>
              </w:rPr>
            </w:pPr>
            <w:r>
              <w:rPr>
                <w:rFonts w:ascii="Times New Roman" w:cs="Times New Roman" w:eastAsia="Times New Roman" w:hAnsi="Times New Roman"/>
                <w:sz w:val="15"/>
                <w:szCs w:val="15"/>
                <w:color w:val="auto"/>
              </w:rPr>
              <w:t>May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40" w:type="dxa"/>
            <w:vAlign w:val="bottom"/>
            <w:tcBorders>
              <w:bottom w:val="single" w:sz="8" w:color="auto"/>
            </w:tcBorders>
            <w:vMerge w:val="continue"/>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rPr>
              <w:t>2024</w:t>
            </w: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rPr>
              <w:t>2024</w:t>
            </w:r>
          </w:p>
        </w:tc>
        <w:tc>
          <w:tcPr>
            <w:tcW w:w="10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39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5"/>
                <w:szCs w:val="15"/>
                <w:color w:val="auto"/>
              </w:rPr>
              <w:t>Interest expense on outstanding debt</w:t>
            </w:r>
            <w:r>
              <w:rPr>
                <w:rFonts w:ascii="Times New Roman" w:cs="Times New Roman" w:eastAsia="Times New Roman" w:hAnsi="Times New Roman"/>
                <w:sz w:val="19"/>
                <w:szCs w:val="19"/>
                <w:color w:val="auto"/>
                <w:vertAlign w:val="superscript"/>
              </w:rPr>
              <w:t>(1)</w:t>
            </w:r>
          </w:p>
        </w:tc>
        <w:tc>
          <w:tcPr>
            <w:tcW w:w="19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212529"/>
              </w:rPr>
              <w:t>$</w:t>
            </w:r>
          </w:p>
        </w:tc>
        <w:tc>
          <w:tcPr>
            <w:tcW w:w="15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212529"/>
              </w:rPr>
              <w:t xml:space="preserve">16,558 </w:t>
            </w:r>
            <w:r>
              <w:rPr>
                <w:rFonts w:ascii="Times New Roman" w:cs="Times New Roman" w:eastAsia="Times New Roman" w:hAnsi="Times New Roman"/>
                <w:sz w:val="15"/>
                <w:szCs w:val="15"/>
                <w:color w:val="00000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16,345</w:t>
            </w:r>
          </w:p>
        </w:tc>
        <w:tc>
          <w:tcPr>
            <w:tcW w:w="3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49,876 $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49,601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08" w:hanging="308"/>
        <w:spacing w:after="0"/>
        <w:tabs>
          <w:tab w:leader="none" w:pos="30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on our outstanding debt includes the related amortization of debt issuance costs and debt discounts. Interest expense is net of the effects of our interest rate swap agreements.</w:t>
      </w:r>
    </w:p>
    <w:p>
      <w:pPr>
        <w:spacing w:after="0" w:line="2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2" w:lineRule="exact"/>
        <w:rPr>
          <w:sz w:val="20"/>
          <w:szCs w:val="20"/>
          <w:color w:val="auto"/>
        </w:rPr>
      </w:pPr>
    </w:p>
    <w:p>
      <w:pPr>
        <w:jc w:val="both"/>
        <w:ind w:left="8" w:right="20"/>
        <w:spacing w:after="0" w:line="291" w:lineRule="auto"/>
        <w:rPr>
          <w:sz w:val="20"/>
          <w:szCs w:val="20"/>
          <w:color w:val="auto"/>
        </w:rPr>
      </w:pPr>
      <w:r>
        <w:rPr>
          <w:rFonts w:ascii="Times New Roman" w:cs="Times New Roman" w:eastAsia="Times New Roman" w:hAnsi="Times New Roman"/>
          <w:sz w:val="15"/>
          <w:szCs w:val="15"/>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98"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5"/>
          <w:szCs w:val="15"/>
          <w:color w:val="auto"/>
        </w:rPr>
        <w:t>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the most probable estimate of the loss, or the minimum amount when no amount within the range is a better estimate than any other amount. We review accruals on a quarterly basis and adjust, as necessary, to reflect the impact of negotiations, settlements, rulings, advice of legal counsel and other current information. Contingent gains are recognized only when realized.</w:t>
      </w:r>
    </w:p>
    <w:p>
      <w:pPr>
        <w:spacing w:after="0" w:line="123" w:lineRule="exact"/>
        <w:rPr>
          <w:sz w:val="20"/>
          <w:szCs w:val="20"/>
          <w:color w:val="auto"/>
        </w:rPr>
      </w:pPr>
    </w:p>
    <w:p>
      <w:pPr>
        <w:jc w:val="both"/>
        <w:ind w:left="8"/>
        <w:spacing w:after="0" w:line="276" w:lineRule="auto"/>
        <w:rPr>
          <w:sz w:val="20"/>
          <w:szCs w:val="20"/>
          <w:color w:val="auto"/>
        </w:rPr>
      </w:pPr>
      <w:r>
        <w:rPr>
          <w:rFonts w:ascii="Times New Roman" w:cs="Times New Roman" w:eastAsia="Times New Roman" w:hAnsi="Times New Roman"/>
          <w:sz w:val="15"/>
          <w:szCs w:val="15"/>
          <w:color w:val="auto"/>
        </w:rPr>
        <w:t xml:space="preserve">Income tax contingencies related to uncertain tax positions are accounted for in accordance with applicable accounting guidance. Refer to Note 2, </w:t>
      </w:r>
      <w:r>
        <w:rPr>
          <w:rFonts w:ascii="Times New Roman" w:cs="Times New Roman" w:eastAsia="Times New Roman" w:hAnsi="Times New Roman"/>
          <w:sz w:val="15"/>
          <w:szCs w:val="15"/>
          <w:i w:val="1"/>
          <w:iCs w:val="1"/>
          <w:color w:val="auto"/>
        </w:rPr>
        <w:t>Summary of Significant Accounting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Policies - Income Taxes </w:t>
      </w:r>
      <w:r>
        <w:rPr>
          <w:rFonts w:ascii="Times New Roman" w:cs="Times New Roman" w:eastAsia="Times New Roman" w:hAnsi="Times New Roman"/>
          <w:sz w:val="15"/>
          <w:szCs w:val="15"/>
          <w:color w:val="auto"/>
        </w:rPr>
        <w:t>in the Notes to the Consolidated Financial Statements included in Part II, Item 8. of our Annual Report on Form 10-K for the fiscal year ended August 31, 2023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further details.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Purchase Commitments with Suppliers and Vendors</w:t>
      </w:r>
    </w:p>
    <w:p>
      <w:pPr>
        <w:spacing w:after="0" w:line="164" w:lineRule="exact"/>
        <w:rPr>
          <w:sz w:val="20"/>
          <w:szCs w:val="20"/>
          <w:color w:val="auto"/>
        </w:rPr>
      </w:pPr>
    </w:p>
    <w:p>
      <w:pPr>
        <w:jc w:val="both"/>
        <w:ind w:left="8"/>
        <w:spacing w:after="0" w:line="264" w:lineRule="auto"/>
        <w:rPr>
          <w:sz w:val="20"/>
          <w:szCs w:val="20"/>
          <w:color w:val="auto"/>
        </w:rPr>
      </w:pPr>
      <w:r>
        <w:rPr>
          <w:rFonts w:ascii="Times New Roman" w:cs="Times New Roman" w:eastAsia="Times New Roman" w:hAnsi="Times New Roman"/>
          <w:sz w:val="15"/>
          <w:szCs w:val="15"/>
          <w:color w:val="auto"/>
        </w:rPr>
        <w:t>Purchase obligations represent our legally-binding agreements to purchase fixed or minimum quantities at determinable prices. As of August 31, 2023, we had total purchase obligations with suppliers of $362.2 million. Our total purchase obligations as of August 31, 2023 primarily related to hosting services, acquisition of data, and, to a lesser extent, third-party software providers. Hosting services support our hybrid cloud strategy, which relies in large part on third-party hosting providers. Data is an integral component of the value we provide to our clients. Our commitments to third-party software providers mainly include internal-use software licenses. For the nine months ended May 31, 2024, there were no material changes to our purchase obligations.</w:t>
      </w:r>
    </w:p>
    <w:p>
      <w:pPr>
        <w:spacing w:after="0" w:line="126" w:lineRule="exact"/>
        <w:rPr>
          <w:sz w:val="20"/>
          <w:szCs w:val="20"/>
          <w:color w:val="auto"/>
        </w:rPr>
      </w:pPr>
    </w:p>
    <w:p>
      <w:pPr>
        <w:jc w:val="both"/>
        <w:ind w:left="8"/>
        <w:spacing w:after="0" w:line="296" w:lineRule="auto"/>
        <w:rPr>
          <w:sz w:val="20"/>
          <w:szCs w:val="20"/>
          <w:color w:val="auto"/>
        </w:rPr>
      </w:pPr>
      <w:r>
        <w:rPr>
          <w:rFonts w:ascii="Times New Roman" w:cs="Times New Roman" w:eastAsia="Times New Roman" w:hAnsi="Times New Roman"/>
          <w:sz w:val="15"/>
          <w:szCs w:val="15"/>
          <w:color w:val="auto"/>
        </w:rPr>
        <w:t xml:space="preserve">We also have contractual obligations related to our lease liabilities and outstanding debt. Refer to Note 9,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xml:space="preserve"> and Note 10,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for information regarding lease commitments and outstanding debt obligations, respectively.</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Capital Commitments</w:t>
      </w:r>
    </w:p>
    <w:p>
      <w:pPr>
        <w:spacing w:after="0" w:line="200" w:lineRule="exact"/>
        <w:rPr>
          <w:sz w:val="20"/>
          <w:szCs w:val="20"/>
          <w:color w:val="auto"/>
        </w:rPr>
      </w:pPr>
    </w:p>
    <w:p>
      <w:pPr>
        <w:spacing w:after="0" w:line="2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May 31, 2024 and August 31, 2023, we had outstanding capital commitments related to an investment of $0.6 million and $0.7 million,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Letters of Credit</w:t>
      </w:r>
    </w:p>
    <w:p>
      <w:pPr>
        <w:spacing w:after="0" w:line="15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From time to time, we are required to obtain letters of credit in the ordinary course of business. As of May 31, 2024 and August 31, 2023, we had $0.4 million and $0.6 million of standby letters of credit outstanding, respectively. No liabilities related to these arrangements are reflected in the Consolidated Balance Sheets.</w:t>
      </w:r>
    </w:p>
    <w:p>
      <w:pPr>
        <w:spacing w:after="0" w:line="9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 xml:space="preserve">Our 2022 Revolving Facility allows for the availability of up to $100.0 million in the form of letters of credit. We have not obtained any letters of credit under the 2022 Revolving Facility since its inception. Refer to Note 10,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for information regarding the 2022 Revolving Facility.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Contingencies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Legal Matters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May 31, 2024,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Sales Tax Matters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 relating to the tax periods from January 1, 2019 through June 30, 2021. We requested pre-assessment conferences with the Department of Revenue's Office of Appeals to appeal the Notices, and on May 24, 2023, we received a Letter of Determination from the Commonwealth upholding the Notices, along with a Notice of Assessment for all the periods covered by the Notices. On June 22, 2023, we filed an Application for Abatement with the Commonwealth disputing all amounts assessed, which was subsequently denied. On February 20, 2024, we received a “Notice of Selection for Audit” for sales tax for the period from July 1, 2021 through December 31, 2023. We have filed petitions with the Appellate Tax Board to appeal all amounts assessed by the Commonwealth and believe that we will ultimately prevail; however, if we do not prevail, the amount of these assessments could have a material impact on our consolidated financial position, results of operations and cash flows.</w:t>
      </w:r>
    </w:p>
    <w:p>
      <w:pPr>
        <w:spacing w:after="0" w:line="12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We have concluded that some payment to the Commonwealth is probable. We have recorded an accrual which is not material to our Consolidated Financial Statements. While we believe that the assumptions and estimates used to determine the accrual are reasonable, future developments could result in adjustments being made to this accrual.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Indemnifications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It is not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obligations.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8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The following table presents the shares of common stock repurchased under our share repurchase program and acquired from holders of our stock-based awards upon vesting to satisfy tax withholding requirements: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 Repurchases</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64"/>
        </w:trPr>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gridSpan w:val="3"/>
          </w:tcPr>
          <w:p>
            <w:pPr>
              <w:jc w:val="right"/>
              <w:ind w:right="604"/>
              <w:spacing w:after="0"/>
              <w:rPr>
                <w:sz w:val="20"/>
                <w:szCs w:val="20"/>
                <w:color w:val="auto"/>
              </w:rPr>
            </w:pPr>
            <w:r>
              <w:rPr>
                <w:rFonts w:ascii="Times New Roman" w:cs="Times New Roman" w:eastAsia="Times New Roman" w:hAnsi="Times New Roman"/>
                <w:sz w:val="15"/>
                <w:szCs w:val="15"/>
                <w:color w:val="auto"/>
              </w:rPr>
              <w:t>Three Months Ended</w:t>
            </w:r>
          </w:p>
        </w:tc>
        <w:tc>
          <w:tcPr>
            <w:tcW w:w="300" w:type="dxa"/>
            <w:vAlign w:val="bottom"/>
          </w:tcPr>
          <w:p>
            <w:pPr>
              <w:spacing w:after="0"/>
              <w:rPr>
                <w:sz w:val="24"/>
                <w:szCs w:val="24"/>
                <w:color w:val="auto"/>
              </w:rPr>
            </w:pPr>
          </w:p>
        </w:tc>
        <w:tc>
          <w:tcPr>
            <w:tcW w:w="2380" w:type="dxa"/>
            <w:vAlign w:val="bottom"/>
            <w:gridSpan w:val="3"/>
          </w:tcPr>
          <w:p>
            <w:pPr>
              <w:jc w:val="right"/>
              <w:ind w:right="644"/>
              <w:spacing w:after="0"/>
              <w:rPr>
                <w:sz w:val="20"/>
                <w:szCs w:val="20"/>
                <w:color w:val="auto"/>
              </w:rPr>
            </w:pPr>
            <w:r>
              <w:rPr>
                <w:rFonts w:ascii="Times New Roman" w:cs="Times New Roman" w:eastAsia="Times New Roman" w:hAnsi="Times New Roman"/>
                <w:sz w:val="15"/>
                <w:szCs w:val="15"/>
                <w:color w:val="auto"/>
              </w:rPr>
              <w:t>Nine Months Ended</w:t>
            </w:r>
          </w:p>
        </w:tc>
      </w:tr>
      <w:tr>
        <w:trPr>
          <w:trHeight w:val="198"/>
        </w:trPr>
        <w:tc>
          <w:tcPr>
            <w:tcW w:w="5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May 31,</w:t>
            </w:r>
          </w:p>
        </w:tc>
        <w:tc>
          <w:tcPr>
            <w:tcW w:w="960" w:type="dxa"/>
            <w:vAlign w:val="bottom"/>
          </w:tcPr>
          <w:p>
            <w:pPr>
              <w:spacing w:after="0"/>
              <w:rPr>
                <w:sz w:val="17"/>
                <w:szCs w:val="17"/>
                <w:color w:val="auto"/>
              </w:rPr>
            </w:pPr>
          </w:p>
        </w:tc>
      </w:tr>
      <w:tr>
        <w:trPr>
          <w:trHeight w:val="229"/>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 except share data)</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2023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2023</w:t>
            </w:r>
          </w:p>
        </w:tc>
      </w:tr>
      <w:tr>
        <w:trPr>
          <w:trHeight w:val="18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Repurchases of common stock under the share repurchase program</w:t>
            </w: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135,150</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165,950</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384,150</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165,950</w:t>
            </w:r>
          </w:p>
        </w:tc>
      </w:tr>
      <w:tr>
        <w:trPr>
          <w:trHeight w:val="19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Total cost of common stock repurchased under the share repurchase program</w:t>
            </w: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59,753</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67,092</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171,918</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67,092</w:t>
            </w:r>
          </w:p>
        </w:tc>
      </w:tr>
      <w:tr>
        <w:trPr>
          <w:trHeight w:val="149"/>
        </w:trPr>
        <w:tc>
          <w:tcPr>
            <w:tcW w:w="5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Repurchases of common stock to satisfy tax withholding requirements due upon vesting of</w:t>
            </w:r>
          </w:p>
        </w:tc>
        <w:tc>
          <w:tcPr>
            <w:tcW w:w="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0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awards</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2,843</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35,226</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28,952</w:t>
            </w:r>
          </w:p>
        </w:tc>
      </w:tr>
      <w:tr>
        <w:trPr>
          <w:trHeight w:val="149"/>
        </w:trPr>
        <w:tc>
          <w:tcPr>
            <w:tcW w:w="574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Total cost of repurchases of common stock to satisfy withholding requirements due upon</w:t>
            </w: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vesting of stock-based awards</w:t>
            </w: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15,689</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12,274</w:t>
            </w:r>
          </w:p>
        </w:tc>
      </w:tr>
    </w:tbl>
    <w:p>
      <w:pPr>
        <w:spacing w:after="0" w:line="2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may repurchase shares of our common stock under our share repurchase program from time-to-time in the open market or via privately negotiated transactions, subject to market conditions. We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to prioritize the repayment of debt under the 2022 Credit Facilities. We resumed our share repurchase program in the third quarter of fiscal 2023.</w:t>
      </w:r>
    </w:p>
    <w:p>
      <w:pPr>
        <w:spacing w:after="0" w:line="11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 xml:space="preserve">There is no defined number of shares to be repurchased over a specified timeframe through the life of our share repurchase program. As of May 31, 2024, $128.1 million remained authorized under our share repurchase program for future share repurchases. Refer to Part II, Item 2. </w:t>
      </w:r>
      <w:r>
        <w:rPr>
          <w:rFonts w:ascii="Times New Roman" w:cs="Times New Roman" w:eastAsia="Times New Roman" w:hAnsi="Times New Roman"/>
          <w:sz w:val="15"/>
          <w:szCs w:val="15"/>
          <w:i w:val="1"/>
          <w:iCs w:val="1"/>
          <w:color w:val="auto"/>
        </w:rPr>
        <w:t>Unregistered Sales of Equity Securities and Use of Proceeds</w:t>
      </w:r>
      <w:r>
        <w:rPr>
          <w:rFonts w:ascii="Times New Roman" w:cs="Times New Roman" w:eastAsia="Times New Roman" w:hAnsi="Times New Roman"/>
          <w:sz w:val="15"/>
          <w:szCs w:val="15"/>
          <w:color w:val="auto"/>
        </w:rPr>
        <w:t>, of this Quarterly Report on Form 10-Q for further discussion on our share repurchase program.</w:t>
      </w:r>
    </w:p>
    <w:p>
      <w:pPr>
        <w:spacing w:after="0" w:line="11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Equity-based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Note 14, </w:t>
      </w:r>
      <w:r>
        <w:rPr>
          <w:rFonts w:ascii="Times New Roman" w:cs="Times New Roman" w:eastAsia="Times New Roman" w:hAnsi="Times New Roman"/>
          <w:sz w:val="15"/>
          <w:szCs w:val="15"/>
          <w:i w:val="1"/>
          <w:iCs w:val="1"/>
          <w:color w:val="auto"/>
        </w:rPr>
        <w:t>Stock-Based Compensation</w:t>
      </w:r>
      <w:r>
        <w:rPr>
          <w:rFonts w:ascii="Times New Roman" w:cs="Times New Roman" w:eastAsia="Times New Roman" w:hAnsi="Times New Roman"/>
          <w:sz w:val="15"/>
          <w:szCs w:val="15"/>
          <w:color w:val="auto"/>
        </w:rPr>
        <w:t xml:space="preserve"> for more information on equity awards issued during the nine months ended May 31, 2024 and May 31,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Table of Contents</w:t>
            </w:r>
          </w:p>
        </w:tc>
        <w:tc>
          <w:tcPr>
            <w:tcW w:w="2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3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Our Board of Directors approved the following dividends: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rPr>
              <w:t>Dividends per</w:t>
            </w:r>
          </w:p>
        </w:tc>
        <w:tc>
          <w:tcPr>
            <w:tcW w:w="1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vMerge w:val="restart"/>
          </w:tcPr>
          <w:p>
            <w:pPr>
              <w:jc w:val="right"/>
              <w:ind w:right="244"/>
              <w:spacing w:after="0"/>
              <w:rPr>
                <w:sz w:val="20"/>
                <w:szCs w:val="20"/>
                <w:color w:val="auto"/>
              </w:rPr>
            </w:pPr>
            <w:r>
              <w:rPr>
                <w:rFonts w:ascii="Times New Roman" w:cs="Times New Roman" w:eastAsia="Times New Roman" w:hAnsi="Times New Roman"/>
                <w:sz w:val="15"/>
                <w:szCs w:val="15"/>
                <w:color w:val="auto"/>
              </w:rPr>
              <w:t>Total Amount</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Year Ended</w:t>
            </w:r>
          </w:p>
        </w:tc>
        <w:tc>
          <w:tcPr>
            <w:tcW w:w="460" w:type="dxa"/>
            <w:vAlign w:val="bottom"/>
          </w:tcPr>
          <w:p>
            <w:pPr>
              <w:spacing w:after="0"/>
              <w:rPr>
                <w:sz w:val="13"/>
                <w:szCs w:val="13"/>
                <w:color w:val="auto"/>
              </w:rPr>
            </w:pPr>
          </w:p>
        </w:tc>
        <w:tc>
          <w:tcPr>
            <w:tcW w:w="1320" w:type="dxa"/>
            <w:vAlign w:val="bottom"/>
          </w:tcPr>
          <w:p>
            <w:pPr>
              <w:jc w:val="center"/>
              <w:ind w:right="104"/>
              <w:spacing w:after="0" w:line="152" w:lineRule="exact"/>
              <w:rPr>
                <w:sz w:val="20"/>
                <w:szCs w:val="20"/>
                <w:color w:val="auto"/>
              </w:rPr>
            </w:pPr>
            <w:r>
              <w:rPr>
                <w:rFonts w:ascii="Times New Roman" w:cs="Times New Roman" w:eastAsia="Times New Roman" w:hAnsi="Times New Roman"/>
                <w:sz w:val="15"/>
                <w:szCs w:val="15"/>
                <w:color w:val="auto"/>
                <w:w w:val="99"/>
              </w:rPr>
              <w:t>Share of</w:t>
            </w:r>
          </w:p>
        </w:tc>
        <w:tc>
          <w:tcPr>
            <w:tcW w:w="1680" w:type="dxa"/>
            <w:vAlign w:val="bottom"/>
            <w:vMerge w:val="restart"/>
          </w:tcPr>
          <w:p>
            <w:pPr>
              <w:ind w:left="620"/>
              <w:spacing w:after="0"/>
              <w:rPr>
                <w:sz w:val="20"/>
                <w:szCs w:val="20"/>
                <w:color w:val="auto"/>
              </w:rPr>
            </w:pPr>
            <w:r>
              <w:rPr>
                <w:rFonts w:ascii="Times New Roman" w:cs="Times New Roman" w:eastAsia="Times New Roman" w:hAnsi="Times New Roman"/>
                <w:sz w:val="15"/>
                <w:szCs w:val="15"/>
                <w:color w:val="auto"/>
              </w:rPr>
              <w:t>Record Date</w:t>
            </w:r>
          </w:p>
        </w:tc>
        <w:tc>
          <w:tcPr>
            <w:tcW w:w="5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5"/>
                <w:szCs w:val="15"/>
                <w:color w:val="auto"/>
              </w:rPr>
              <w:t>Payment Date</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5"/>
                <w:szCs w:val="15"/>
                <w:color w:val="auto"/>
              </w:rPr>
              <w:t>Common Stock</w:t>
            </w:r>
          </w:p>
        </w:tc>
        <w:tc>
          <w:tcPr>
            <w:tcW w:w="16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2024</w:t>
            </w:r>
          </w:p>
        </w:tc>
        <w:tc>
          <w:tcPr>
            <w:tcW w:w="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First Quarter</w:t>
            </w: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16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November 30, 2023</w:t>
            </w:r>
          </w:p>
        </w:tc>
        <w:tc>
          <w:tcPr>
            <w:tcW w:w="5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37,299</w:t>
            </w:r>
          </w:p>
        </w:tc>
        <w:tc>
          <w:tcPr>
            <w:tcW w:w="2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December 21, 2023</w:t>
            </w:r>
          </w:p>
        </w:tc>
        <w:tc>
          <w:tcPr>
            <w:tcW w:w="0" w:type="dxa"/>
            <w:vAlign w:val="bottom"/>
          </w:tcPr>
          <w:p>
            <w:pPr>
              <w:spacing w:after="0"/>
              <w:rPr>
                <w:sz w:val="1"/>
                <w:szCs w:val="1"/>
                <w:color w:val="auto"/>
              </w:rPr>
            </w:pPr>
          </w:p>
        </w:tc>
      </w:tr>
      <w:tr>
        <w:trPr>
          <w:trHeight w:val="195"/>
        </w:trPr>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Second Quarter</w:t>
            </w:r>
          </w:p>
        </w:tc>
        <w:tc>
          <w:tcPr>
            <w:tcW w:w="4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February 29, 2024</w:t>
            </w:r>
          </w:p>
        </w:tc>
        <w:tc>
          <w:tcPr>
            <w:tcW w:w="5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37,360</w:t>
            </w:r>
          </w:p>
        </w:tc>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March 21, 2024</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rPr>
              <w:t>Third Quarter</w:t>
            </w:r>
          </w:p>
        </w:tc>
        <w:tc>
          <w:tcPr>
            <w:tcW w:w="4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May 31, 2024</w:t>
            </w:r>
          </w:p>
        </w:tc>
        <w:tc>
          <w:tcPr>
            <w:tcW w:w="5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39,589</w:t>
            </w:r>
          </w:p>
        </w:tc>
        <w:tc>
          <w:tcPr>
            <w:tcW w:w="2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June 20, 2024</w:t>
            </w:r>
          </w:p>
        </w:tc>
        <w:tc>
          <w:tcPr>
            <w:tcW w:w="0" w:type="dxa"/>
            <w:vAlign w:val="bottom"/>
          </w:tcPr>
          <w:p>
            <w:pPr>
              <w:spacing w:after="0"/>
              <w:rPr>
                <w:sz w:val="1"/>
                <w:szCs w:val="1"/>
                <w:color w:val="auto"/>
              </w:rPr>
            </w:pPr>
          </w:p>
        </w:tc>
      </w:tr>
      <w:tr>
        <w:trPr>
          <w:trHeight w:val="18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2023</w:t>
            </w:r>
          </w:p>
        </w:tc>
        <w:tc>
          <w:tcPr>
            <w:tcW w:w="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First Quarter</w:t>
            </w: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0.89</w:t>
            </w:r>
          </w:p>
        </w:tc>
        <w:tc>
          <w:tcPr>
            <w:tcW w:w="16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November 30, 2022</w:t>
            </w:r>
          </w:p>
        </w:tc>
        <w:tc>
          <w:tcPr>
            <w:tcW w:w="5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34,010</w:t>
            </w:r>
          </w:p>
        </w:tc>
        <w:tc>
          <w:tcPr>
            <w:tcW w:w="2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December 15, 2022</w:t>
            </w:r>
          </w:p>
        </w:tc>
        <w:tc>
          <w:tcPr>
            <w:tcW w:w="0" w:type="dxa"/>
            <w:vAlign w:val="bottom"/>
          </w:tcPr>
          <w:p>
            <w:pPr>
              <w:spacing w:after="0"/>
              <w:rPr>
                <w:sz w:val="1"/>
                <w:szCs w:val="1"/>
                <w:color w:val="auto"/>
              </w:rPr>
            </w:pPr>
          </w:p>
        </w:tc>
      </w:tr>
      <w:tr>
        <w:trPr>
          <w:trHeight w:val="195"/>
        </w:trPr>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Second Quarter</w:t>
            </w:r>
          </w:p>
        </w:tc>
        <w:tc>
          <w:tcPr>
            <w:tcW w:w="4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0.89</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February 28, 2023</w:t>
            </w:r>
          </w:p>
        </w:tc>
        <w:tc>
          <w:tcPr>
            <w:tcW w:w="5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34,099</w:t>
            </w:r>
          </w:p>
        </w:tc>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March 16, 2023</w:t>
            </w:r>
          </w:p>
        </w:tc>
        <w:tc>
          <w:tcPr>
            <w:tcW w:w="0" w:type="dxa"/>
            <w:vAlign w:val="bottom"/>
          </w:tcPr>
          <w:p>
            <w:pPr>
              <w:spacing w:after="0"/>
              <w:rPr>
                <w:sz w:val="1"/>
                <w:szCs w:val="1"/>
                <w:color w:val="auto"/>
              </w:rPr>
            </w:pPr>
          </w:p>
        </w:tc>
      </w:tr>
      <w:tr>
        <w:trPr>
          <w:trHeight w:val="198"/>
        </w:trPr>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Third Quarter</w:t>
            </w: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16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May 31, 2023</w:t>
            </w:r>
          </w:p>
        </w:tc>
        <w:tc>
          <w:tcPr>
            <w:tcW w:w="5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37,442</w:t>
            </w:r>
          </w:p>
        </w:tc>
        <w:tc>
          <w:tcPr>
            <w:tcW w:w="2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June 15, 2023</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5"/>
          <w:szCs w:val="15"/>
          <w:color w:val="auto"/>
        </w:rPr>
        <w:t>In the third quarter of fiscal 2024, our Board of Directors approved a 6% increase in the regular quarterly dividend from $0.98 to $1.04 per share. Future cash dividend payments are subject to final determination by our Board of Directors and will depend on our earnings, capital requirements, financial condition and other relevant factors.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Accumulated Other Comprehensive Loss</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33"/>
        </w:trPr>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The components of AOCL as of May 31, 2024 and August 31, 2023 were as follows:</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8"/>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May 31, 2024</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August 31, 2023</w:t>
            </w:r>
          </w:p>
        </w:tc>
      </w:tr>
      <w:tr>
        <w:trPr>
          <w:trHeight w:val="18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unrealized gains (losses) on cash flow hedges, net of tax</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2,880</w:t>
            </w:r>
          </w:p>
        </w:tc>
      </w:tr>
      <w:tr>
        <w:trPr>
          <w:trHeight w:val="195"/>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Accumulated foreign currency translation adjustments</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(92,351)</w:t>
            </w: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(90,021)</w:t>
            </w:r>
          </w:p>
        </w:tc>
      </w:tr>
      <w:tr>
        <w:trPr>
          <w:trHeight w:val="18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AOCL</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(92,646)</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(87,141)</w:t>
            </w: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5"/>
          <w:szCs w:val="15"/>
          <w:color w:val="auto"/>
        </w:rPr>
        <w:t>Basic earnings per common share ("Basic EPS") is computed by dividing net income by the number of weighted average common shares outstanding during the period. Diluted earnings per common share ("Diluted EPS") is calculated by using the treasury stock method which assumes the issuance of common stock for all potentially dilutive stock-based awards.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reconciliation of the weighted average shares outstanding used in the Basic EPS and Diluted EPS computation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Three Months Ended</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Nine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6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400" w:type="dxa"/>
            <w:vAlign w:val="bottom"/>
          </w:tcPr>
          <w:p>
            <w:pPr>
              <w:spacing w:after="0"/>
              <w:rPr>
                <w:sz w:val="16"/>
                <w:szCs w:val="16"/>
                <w:color w:val="auto"/>
              </w:rPr>
            </w:pPr>
          </w:p>
        </w:tc>
        <w:tc>
          <w:tcPr>
            <w:tcW w:w="198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color w:val="auto"/>
              </w:rPr>
              <w:t>May 31,</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2"/>
          </w:tcPr>
          <w:p>
            <w:pPr>
              <w:jc w:val="right"/>
              <w:ind w:right="324"/>
              <w:spacing w:after="0"/>
              <w:rPr>
                <w:sz w:val="20"/>
                <w:szCs w:val="20"/>
                <w:color w:val="auto"/>
              </w:rPr>
            </w:pPr>
            <w:r>
              <w:rPr>
                <w:rFonts w:ascii="Times New Roman" w:cs="Times New Roman" w:eastAsia="Times New Roman" w:hAnsi="Times New Roman"/>
                <w:sz w:val="15"/>
                <w:szCs w:val="15"/>
                <w:color w:val="auto"/>
              </w:rPr>
              <w:t>May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color w:val="auto"/>
              </w:rPr>
              <w:t>2024</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color w:val="auto"/>
                <w:w w:val="99"/>
              </w:rPr>
              <w:t>2023</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color w:val="auto"/>
              </w:rPr>
              <w:t>2024</w:t>
            </w: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Numerator</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income used for calculating Basic EPS and Diluted EPS</w:t>
            </w: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158,135</w:t>
            </w:r>
          </w:p>
        </w:tc>
        <w:tc>
          <w:tcPr>
            <w:tcW w:w="7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134,663</w:t>
            </w:r>
          </w:p>
        </w:tc>
        <w:tc>
          <w:tcPr>
            <w:tcW w:w="4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447,630</w:t>
            </w:r>
          </w:p>
        </w:tc>
        <w:tc>
          <w:tcPr>
            <w:tcW w:w="6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403,054</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Denominator</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used in the calculation of Basic EPS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38,089</w:t>
            </w: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38,278</w:t>
            </w: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38,069</w:t>
            </w:r>
          </w:p>
        </w:tc>
        <w:tc>
          <w:tcPr>
            <w:tcW w:w="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38,227</w:t>
            </w:r>
          </w:p>
        </w:tc>
        <w:tc>
          <w:tcPr>
            <w:tcW w:w="0" w:type="dxa"/>
            <w:vAlign w:val="bottom"/>
          </w:tcPr>
          <w:p>
            <w:pPr>
              <w:spacing w:after="0"/>
              <w:rPr>
                <w:sz w:val="1"/>
                <w:szCs w:val="1"/>
                <w:color w:val="auto"/>
              </w:rPr>
            </w:pPr>
          </w:p>
        </w:tc>
      </w:tr>
      <w:tr>
        <w:trPr>
          <w:trHeight w:val="157"/>
        </w:trPr>
        <w:tc>
          <w:tcPr>
            <w:tcW w:w="44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5"/>
                <w:szCs w:val="15"/>
                <w:color w:val="auto"/>
              </w:rPr>
              <w:t>Common stock equivalents associated with stock-based compensation</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plan</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7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6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0" w:type="dxa"/>
            <w:vAlign w:val="bottom"/>
          </w:tcPr>
          <w:p>
            <w:pPr>
              <w:spacing w:after="0"/>
              <w:rPr>
                <w:sz w:val="1"/>
                <w:szCs w:val="1"/>
                <w:color w:val="auto"/>
              </w:rPr>
            </w:pPr>
          </w:p>
        </w:tc>
      </w:tr>
      <w:tr>
        <w:trPr>
          <w:trHeight w:val="18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Shares used in the calculation of Diluted EPS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38,640</w:t>
            </w: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38,912</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38,644</w:t>
            </w: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38,936</w:t>
            </w:r>
          </w:p>
        </w:tc>
        <w:tc>
          <w:tcPr>
            <w:tcW w:w="0" w:type="dxa"/>
            <w:vAlign w:val="bottom"/>
          </w:tcPr>
          <w:p>
            <w:pPr>
              <w:spacing w:after="0"/>
              <w:rPr>
                <w:sz w:val="1"/>
                <w:szCs w:val="1"/>
                <w:color w:val="auto"/>
              </w:rPr>
            </w:pPr>
          </w:p>
        </w:tc>
      </w:tr>
      <w:tr>
        <w:trPr>
          <w:trHeight w:val="211"/>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EPS</w:t>
            </w: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700" w:type="dxa"/>
            <w:vAlign w:val="bottom"/>
            <w:tcBorders>
              <w:bottom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42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68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Diluted EPS</w:t>
            </w:r>
          </w:p>
        </w:tc>
        <w:tc>
          <w:tcPr>
            <w:tcW w:w="400" w:type="dxa"/>
            <w:vAlign w:val="bottom"/>
            <w:tcBorders>
              <w:bottom w:val="single" w:sz="8" w:color="auto"/>
            </w:tcBorders>
          </w:tcPr>
          <w:p>
            <w:pPr>
              <w:jc w:val="right"/>
              <w:ind w:right="22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4.09</w:t>
            </w:r>
          </w:p>
        </w:tc>
        <w:tc>
          <w:tcPr>
            <w:tcW w:w="700" w:type="dxa"/>
            <w:vAlign w:val="bottom"/>
            <w:tcBorders>
              <w:bottom w:val="single" w:sz="8" w:color="auto"/>
            </w:tcBorders>
          </w:tcPr>
          <w:p>
            <w:pPr>
              <w:jc w:val="right"/>
              <w:ind w:right="50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3.46</w:t>
            </w:r>
          </w:p>
        </w:tc>
        <w:tc>
          <w:tcPr>
            <w:tcW w:w="420" w:type="dxa"/>
            <w:vAlign w:val="bottom"/>
            <w:tcBorders>
              <w:bottom w:val="single" w:sz="8" w:color="auto"/>
            </w:tcBorders>
          </w:tcPr>
          <w:p>
            <w:pPr>
              <w:jc w:val="right"/>
              <w:ind w:right="22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11.58</w:t>
            </w:r>
          </w:p>
        </w:tc>
        <w:tc>
          <w:tcPr>
            <w:tcW w:w="680" w:type="dxa"/>
            <w:vAlign w:val="bottom"/>
            <w:tcBorders>
              <w:bottom w:val="single" w:sz="8" w:color="auto"/>
            </w:tcBorders>
          </w:tcPr>
          <w:p>
            <w:pPr>
              <w:jc w:val="right"/>
              <w:ind w:right="48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10.35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28</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4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The following table presents the potential common shares that were excluded from Diluted EPS as they relate to stock-based awards that were antidilutive or subject to performance conditions for which the necessary conditions have not been satisfied by the end of the reporting period: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4040" w:type="dxa"/>
            <w:vAlign w:val="bottom"/>
            <w:gridSpan w:val="2"/>
          </w:tcPr>
          <w:p>
            <w:pPr>
              <w:jc w:val="right"/>
              <w:ind w:right="964"/>
              <w:spacing w:after="0"/>
              <w:rPr>
                <w:sz w:val="20"/>
                <w:szCs w:val="20"/>
                <w:color w:val="auto"/>
              </w:rPr>
            </w:pPr>
            <w:r>
              <w:rPr>
                <w:rFonts w:ascii="Times New Roman" w:cs="Times New Roman" w:eastAsia="Times New Roman" w:hAnsi="Times New Roman"/>
                <w:sz w:val="15"/>
                <w:szCs w:val="15"/>
                <w:color w:val="auto"/>
              </w:rPr>
              <w:t>Three Months Ended</w:t>
            </w:r>
          </w:p>
        </w:tc>
        <w:tc>
          <w:tcPr>
            <w:tcW w:w="2620" w:type="dxa"/>
            <w:vAlign w:val="bottom"/>
            <w:gridSpan w:val="2"/>
          </w:tcPr>
          <w:p>
            <w:pPr>
              <w:jc w:val="right"/>
              <w:ind w:right="744"/>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195"/>
        </w:trPr>
        <w:tc>
          <w:tcPr>
            <w:tcW w:w="46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7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May 31,</w:t>
            </w:r>
          </w:p>
        </w:tc>
        <w:tc>
          <w:tcPr>
            <w:tcW w:w="1280" w:type="dxa"/>
            <w:vAlign w:val="bottom"/>
          </w:tcPr>
          <w:p>
            <w:pPr>
              <w:spacing w:after="0"/>
              <w:rPr>
                <w:sz w:val="16"/>
                <w:szCs w:val="16"/>
                <w:color w:val="auto"/>
              </w:rPr>
            </w:pPr>
          </w:p>
        </w:tc>
        <w:tc>
          <w:tcPr>
            <w:tcW w:w="16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May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vMerge w:val="continue"/>
          </w:tcPr>
          <w:p>
            <w:pPr>
              <w:spacing w:after="0"/>
              <w:rPr>
                <w:sz w:val="17"/>
                <w:szCs w:val="17"/>
                <w:color w:val="auto"/>
              </w:rPr>
            </w:pPr>
          </w:p>
        </w:tc>
        <w:tc>
          <w:tcPr>
            <w:tcW w:w="27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rPr>
              <w:t>2024</w:t>
            </w:r>
          </w:p>
        </w:tc>
        <w:tc>
          <w:tcPr>
            <w:tcW w:w="128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5"/>
                <w:szCs w:val="15"/>
                <w:color w:val="auto"/>
              </w:rPr>
              <w:t>2023</w:t>
            </w:r>
          </w:p>
        </w:tc>
        <w:tc>
          <w:tcPr>
            <w:tcW w:w="160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rPr>
              <w:t>2024</w:t>
            </w:r>
          </w:p>
        </w:tc>
        <w:tc>
          <w:tcPr>
            <w:tcW w:w="10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w:t>
            </w:r>
          </w:p>
        </w:tc>
        <w:tc>
          <w:tcPr>
            <w:tcW w:w="27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763</w:t>
            </w:r>
          </w:p>
        </w:tc>
        <w:tc>
          <w:tcPr>
            <w:tcW w:w="12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583</w:t>
            </w:r>
          </w:p>
        </w:tc>
        <w:tc>
          <w:tcPr>
            <w:tcW w:w="160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255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Restricted stock units and Performance share units</w:t>
            </w:r>
          </w:p>
        </w:tc>
        <w:tc>
          <w:tcPr>
            <w:tcW w:w="276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93</w:t>
            </w:r>
          </w:p>
        </w:tc>
        <w:tc>
          <w:tcPr>
            <w:tcW w:w="12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93</w:t>
            </w:r>
          </w:p>
        </w:tc>
        <w:tc>
          <w:tcPr>
            <w:tcW w:w="160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95</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Our stock-based awards include stock options, restricted stock units ("RSUs"), performance share units ("PSUs") and common stock purchased by eligible employees under our employee stock purchase plan ("ESPP"). We measure and recognize stock-based compensation for all stock-based awards granted to our employees and our non-employee members of the Board of Directors ("non-employee directors") based on their estimated grant date fair value. To estimate the grant date fair value, we utilize a lattice-binomial option-pricing model ("binomial model") for our employee stock options and the Black-Scholes model for non-employee director stock options and common stock purchased by eligible employees under our ESPP.</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For RSUs and PSUs (collectively, "Restricted Stock Awards"), the grant date fair value is measured by reducing the grant date price of our common stock by the present value of future dividend payments on the underlying stock during the requisite service period. The number of PSUs granted assumes target-level achievement of the specified performance levels within the payout range. The ultimate number of common shares that may be earned from a PSU is determined based on the actual achievement of the specified performance levels within the payout range.</w:t>
      </w:r>
    </w:p>
    <w:p>
      <w:pPr>
        <w:spacing w:after="0" w:line="11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Stock-based compensation expense for stock option and RSU awards is recognized over the requisite service period using the straight-line method. For stock option and RSU grants, the amount of stock-based compensation expense recognized on any date is at least equal to the vested portion of the award on that date.</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PSUs require us to make assumptions regarding the probability of achieving specified performance levels established at the time of grant and we recognize stock-based compensation expense using the straight-line method over the requisite service period. The probability of achieving the specified performance levels is reviewed on a quarterly basis to ensure the amount of stock-based compensation expense appropriately reflects the expected achievement. The ultimate number of common shares that may be earned pursuant to our PSU awards depends on the level of our achievement of stated financial performance objectives. The achievement range was 0% to 200% for the November 2023 annual grant and 0% to 150% for the November 2022 annual grant.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our ESPP, stock-based compensation expense is recognized on a straight-line basis over the offering period.</w:t>
      </w:r>
    </w:p>
    <w:p>
      <w:pPr>
        <w:spacing w:after="0" w:line="16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Stock-based awards are subject to the continued employment and continued service at the time of vesting by employees and non-employee directors, respectively. Compensation expense for stock-based awards is recorded net of estimated forfeitures, which are based on historical forfeiture rates and are revised if actual forfeitures differ from those estimates.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presents the stock-based compensation for the periods presented:</w:t>
            </w: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gridSpan w:val="2"/>
          </w:tcPr>
          <w:p>
            <w:pPr>
              <w:jc w:val="center"/>
              <w:ind w:right="204"/>
              <w:spacing w:after="0"/>
              <w:rPr>
                <w:sz w:val="20"/>
                <w:szCs w:val="20"/>
                <w:color w:val="auto"/>
              </w:rPr>
            </w:pPr>
            <w:r>
              <w:rPr>
                <w:rFonts w:ascii="Times New Roman" w:cs="Times New Roman" w:eastAsia="Times New Roman" w:hAnsi="Times New Roman"/>
                <w:sz w:val="15"/>
                <w:szCs w:val="15"/>
                <w:color w:val="auto"/>
              </w:rPr>
              <w:t>Three Months Ended</w:t>
            </w:r>
          </w:p>
        </w:tc>
        <w:tc>
          <w:tcPr>
            <w:tcW w:w="360" w:type="dxa"/>
            <w:vAlign w:val="bottom"/>
          </w:tcPr>
          <w:p>
            <w:pPr>
              <w:spacing w:after="0"/>
              <w:rPr>
                <w:sz w:val="18"/>
                <w:szCs w:val="18"/>
                <w:color w:val="auto"/>
              </w:rPr>
            </w:pPr>
          </w:p>
        </w:tc>
        <w:tc>
          <w:tcPr>
            <w:tcW w:w="254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Nine Months Ended</w:t>
            </w:r>
          </w:p>
        </w:tc>
        <w:tc>
          <w:tcPr>
            <w:tcW w:w="0" w:type="dxa"/>
            <w:vAlign w:val="bottom"/>
          </w:tcPr>
          <w:p>
            <w:pPr>
              <w:spacing w:after="0"/>
              <w:rPr>
                <w:sz w:val="1"/>
                <w:szCs w:val="1"/>
                <w:color w:val="auto"/>
              </w:rPr>
            </w:pPr>
          </w:p>
        </w:tc>
      </w:tr>
      <w:tr>
        <w:trPr>
          <w:trHeight w:val="195"/>
        </w:trPr>
        <w:tc>
          <w:tcPr>
            <w:tcW w:w="54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80" w:type="dxa"/>
            <w:vAlign w:val="bottom"/>
          </w:tcPr>
          <w:p>
            <w:pPr>
              <w:spacing w:after="0"/>
              <w:rPr>
                <w:sz w:val="16"/>
                <w:szCs w:val="16"/>
                <w:color w:val="auto"/>
              </w:rPr>
            </w:pPr>
          </w:p>
        </w:tc>
        <w:tc>
          <w:tcPr>
            <w:tcW w:w="1500" w:type="dxa"/>
            <w:vAlign w:val="bottom"/>
          </w:tcPr>
          <w:p>
            <w:pPr>
              <w:jc w:val="center"/>
              <w:ind w:left="624"/>
              <w:spacing w:after="0"/>
              <w:rPr>
                <w:sz w:val="20"/>
                <w:szCs w:val="20"/>
                <w:color w:val="auto"/>
              </w:rPr>
            </w:pPr>
            <w:r>
              <w:rPr>
                <w:rFonts w:ascii="Times New Roman" w:cs="Times New Roman" w:eastAsia="Times New Roman" w:hAnsi="Times New Roman"/>
                <w:sz w:val="15"/>
                <w:szCs w:val="15"/>
                <w:color w:val="auto"/>
              </w:rPr>
              <w:t>May 31,</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center"/>
              <w:ind w:left="604"/>
              <w:spacing w:after="0"/>
              <w:rPr>
                <w:sz w:val="20"/>
                <w:szCs w:val="20"/>
                <w:color w:val="auto"/>
              </w:rPr>
            </w:pPr>
            <w:r>
              <w:rPr>
                <w:rFonts w:ascii="Times New Roman" w:cs="Times New Roman" w:eastAsia="Times New Roman" w:hAnsi="Times New Roman"/>
                <w:sz w:val="15"/>
                <w:szCs w:val="15"/>
                <w:color w:val="auto"/>
              </w:rPr>
              <w:t>May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0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rPr>
              <w:t>2024</w:t>
            </w:r>
          </w:p>
        </w:tc>
        <w:tc>
          <w:tcPr>
            <w:tcW w:w="10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4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212529"/>
              </w:rPr>
              <w:t>$</w:t>
            </w:r>
          </w:p>
        </w:tc>
        <w:tc>
          <w:tcPr>
            <w:tcW w:w="15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212529"/>
              </w:rPr>
              <w:t xml:space="preserve">15,745 </w:t>
            </w:r>
            <w:r>
              <w:rPr>
                <w:rFonts w:ascii="Times New Roman" w:cs="Times New Roman" w:eastAsia="Times New Roman" w:hAnsi="Times New Roman"/>
                <w:sz w:val="15"/>
                <w:szCs w:val="15"/>
                <w:color w:val="00000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16,865</w:t>
            </w:r>
          </w:p>
        </w:tc>
        <w:tc>
          <w:tcPr>
            <w:tcW w:w="3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46,707 $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44,365</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There were no stock-based compensation costs capitalized in any periods presented. As of May 31, 2024, $141.2 million of total unrecognized compensation expense related to non-vested stock-based awards is expected to be recognized over a weighted average vesting period of 2.9 years.</w:t>
      </w:r>
    </w:p>
    <w:p>
      <w:pPr>
        <w:spacing w:after="0" w:line="10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As of May 31, 2024, we had 3.7 million employee stock-based awards available for grant under the FactSet Research Systems Inc. Stock Option and Award Plan, as Amended and Restated (the "LTIP").</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9" w:name="page30"/>
    <w:bookmarkEnd w:id="29"/>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Employee Stock Option Awards</w:t>
      </w:r>
    </w:p>
    <w:p>
      <w:pPr>
        <w:spacing w:after="0" w:line="176"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5"/>
          <w:szCs w:val="15"/>
          <w:color w:val="auto"/>
        </w:rPr>
        <w:t>Our annual employee stock option grant, made during the first quarter of each fiscal year, makes up the majority of our employee stock options granted under the LTIP in each fiscal year.</w:t>
      </w:r>
    </w:p>
    <w:p>
      <w:pPr>
        <w:spacing w:after="0" w:line="3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following table presents the employee stock options granted under the LTIP for the nine months ended May 31, 2024 and May 31, 2023:</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532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Nine Months Ended</w:t>
            </w:r>
          </w:p>
        </w:tc>
        <w:tc>
          <w:tcPr>
            <w:tcW w:w="560" w:type="dxa"/>
            <w:vAlign w:val="bottom"/>
          </w:tcPr>
          <w:p>
            <w:pPr>
              <w:spacing w:after="0"/>
              <w:rPr>
                <w:sz w:val="16"/>
                <w:szCs w:val="16"/>
                <w:color w:val="auto"/>
              </w:rPr>
            </w:pPr>
          </w:p>
        </w:tc>
      </w:tr>
      <w:tr>
        <w:trPr>
          <w:trHeight w:val="195"/>
        </w:trPr>
        <w:tc>
          <w:tcPr>
            <w:tcW w:w="53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40" w:type="dxa"/>
            <w:vAlign w:val="bottom"/>
            <w:gridSpan w:val="2"/>
          </w:tcPr>
          <w:p>
            <w:pPr>
              <w:jc w:val="right"/>
              <w:ind w:right="544"/>
              <w:spacing w:after="0"/>
              <w:rPr>
                <w:sz w:val="20"/>
                <w:szCs w:val="20"/>
                <w:color w:val="auto"/>
              </w:rPr>
            </w:pPr>
            <w:r>
              <w:rPr>
                <w:rFonts w:ascii="Times New Roman" w:cs="Times New Roman" w:eastAsia="Times New Roman" w:hAnsi="Times New Roman"/>
                <w:sz w:val="15"/>
                <w:szCs w:val="15"/>
                <w:color w:val="auto"/>
              </w:rPr>
              <w:t>May 31,</w:t>
            </w:r>
          </w:p>
        </w:tc>
        <w:tc>
          <w:tcPr>
            <w:tcW w:w="560" w:type="dxa"/>
            <w:vAlign w:val="bottom"/>
          </w:tcPr>
          <w:p>
            <w:pPr>
              <w:spacing w:after="0"/>
              <w:rPr>
                <w:sz w:val="16"/>
                <w:szCs w:val="16"/>
                <w:color w:val="auto"/>
              </w:rPr>
            </w:pPr>
          </w:p>
        </w:tc>
      </w:tr>
      <w:tr>
        <w:trPr>
          <w:trHeight w:val="198"/>
        </w:trPr>
        <w:tc>
          <w:tcPr>
            <w:tcW w:w="53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560" w:type="dxa"/>
            <w:vAlign w:val="bottom"/>
            <w:tcBorders>
              <w:bottom w:val="single" w:sz="8" w:color="auto"/>
            </w:tcBorders>
          </w:tcPr>
          <w:p>
            <w:pPr>
              <w:spacing w:after="0"/>
              <w:rPr>
                <w:sz w:val="17"/>
                <w:szCs w:val="17"/>
                <w:color w:val="auto"/>
              </w:rPr>
            </w:pPr>
          </w:p>
        </w:tc>
      </w:tr>
      <w:tr>
        <w:trPr>
          <w:trHeight w:val="186"/>
        </w:trPr>
        <w:tc>
          <w:tcPr>
            <w:tcW w:w="53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5"/>
                <w:szCs w:val="15"/>
                <w:color w:val="auto"/>
              </w:rPr>
              <w:t>Stock options granted</w:t>
            </w:r>
            <w:r>
              <w:rPr>
                <w:rFonts w:ascii="Times New Roman" w:cs="Times New Roman" w:eastAsia="Times New Roman" w:hAnsi="Times New Roman"/>
                <w:sz w:val="19"/>
                <w:szCs w:val="19"/>
                <w:color w:val="auto"/>
                <w:vertAlign w:val="superscript"/>
              </w:rPr>
              <w:t>(1)</w:t>
            </w:r>
          </w:p>
        </w:tc>
        <w:tc>
          <w:tcPr>
            <w:tcW w:w="3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243,379</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268,185</w:t>
            </w:r>
          </w:p>
        </w:tc>
      </w:tr>
      <w:tr>
        <w:trPr>
          <w:trHeight w:val="195"/>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exercise price</w:t>
            </w:r>
          </w:p>
        </w:tc>
        <w:tc>
          <w:tcPr>
            <w:tcW w:w="388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436.61</w:t>
            </w:r>
          </w:p>
        </w:tc>
        <w:tc>
          <w:tcPr>
            <w:tcW w:w="90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426.22</w:t>
            </w:r>
          </w:p>
        </w:tc>
      </w:tr>
      <w:tr>
        <w:trPr>
          <w:trHeight w:val="19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grant date fair value</w:t>
            </w:r>
          </w:p>
        </w:tc>
        <w:tc>
          <w:tcPr>
            <w:tcW w:w="3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132.59</w:t>
            </w:r>
          </w:p>
        </w:tc>
        <w:tc>
          <w:tcPr>
            <w:tcW w:w="90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125.57</w:t>
            </w:r>
          </w:p>
        </w:tc>
      </w:tr>
    </w:tbl>
    <w:p>
      <w:pPr>
        <w:spacing w:after="0" w:line="173" w:lineRule="exact"/>
        <w:rPr>
          <w:sz w:val="20"/>
          <w:szCs w:val="20"/>
          <w:color w:val="auto"/>
        </w:rPr>
      </w:pPr>
    </w:p>
    <w:p>
      <w:pPr>
        <w:ind w:left="208" w:hanging="208"/>
        <w:spacing w:after="0" w:line="282" w:lineRule="auto"/>
        <w:tabs>
          <w:tab w:leader="none" w:pos="20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annual employee grant on November 1, 2023 and November 1, 2022 of 242,371 and 266,051 stock options, respectively. These annual employee grants both vest 20% annually on the anniversary date of the grant and are fully vested after five years, expiring ten years from the date of grant.</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As part of the November 1, 2023 annual employee grant, the estimated grant date fair value, using the binomial model, leveraged the following assumptions:</w:t>
      </w:r>
    </w:p>
    <w:p>
      <w:pPr>
        <w:spacing w:after="0" w:line="2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November 1, 2023 Annual Employee Grant Details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344"/>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granted</w:t>
            </w:r>
          </w:p>
        </w:tc>
        <w:tc>
          <w:tcPr>
            <w:tcW w:w="5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242,371</w:t>
            </w:r>
          </w:p>
        </w:tc>
      </w:tr>
      <w:tr>
        <w:trPr>
          <w:trHeight w:val="195"/>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5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 - 5.53%</w:t>
            </w:r>
          </w:p>
        </w:tc>
      </w:tr>
      <w:tr>
        <w:trPr>
          <w:trHeight w:val="19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life (years)</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w:t>
            </w:r>
          </w:p>
        </w:tc>
      </w:tr>
      <w:tr>
        <w:trPr>
          <w:trHeight w:val="195"/>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5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19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0.90%</w:t>
            </w:r>
          </w:p>
        </w:tc>
      </w:tr>
      <w:tr>
        <w:trPr>
          <w:trHeight w:val="195"/>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Estimated fair value</w:t>
            </w:r>
          </w:p>
        </w:tc>
        <w:tc>
          <w:tcPr>
            <w:tcW w:w="5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$132.60</w:t>
            </w:r>
          </w:p>
        </w:tc>
      </w:tr>
      <w:tr>
        <w:trPr>
          <w:trHeight w:val="19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$436.57</w:t>
            </w:r>
          </w:p>
        </w:tc>
      </w:tr>
    </w:tbl>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Employee Restricted Stock Awards</w:t>
      </w:r>
    </w:p>
    <w:p>
      <w:pPr>
        <w:spacing w:after="0" w:line="164" w:lineRule="exact"/>
        <w:rPr>
          <w:sz w:val="20"/>
          <w:szCs w:val="20"/>
          <w:color w:val="auto"/>
        </w:rPr>
      </w:pPr>
    </w:p>
    <w:p>
      <w:pPr>
        <w:jc w:val="both"/>
        <w:ind w:left="8" w:right="20"/>
        <w:spacing w:after="0" w:line="273" w:lineRule="auto"/>
        <w:rPr>
          <w:sz w:val="20"/>
          <w:szCs w:val="20"/>
          <w:color w:val="auto"/>
        </w:rPr>
      </w:pPr>
      <w:r>
        <w:rPr>
          <w:rFonts w:ascii="Times New Roman" w:cs="Times New Roman" w:eastAsia="Times New Roman" w:hAnsi="Times New Roman"/>
          <w:sz w:val="15"/>
          <w:szCs w:val="15"/>
          <w:color w:val="auto"/>
        </w:rPr>
        <w:t>Our annual employee Restricted Stock Awards grant, made during the first quarter of each fiscal year, makes up the majority of our employee Restricted Stock Awards granted under the LTIP in each fiscal year. These awards entitle the holders to shares of common stock as the Restricted Stock Awards vest, but not to dividends declared on the underlying shares while the stock subject to the Restricted Stock Awards is unvested.</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following table presents the employee Restricted Stock Awards granted under the LTIP for the nine months ended May 31, 2024 and May 31, 2023:</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3"/>
          </w:tcPr>
          <w:p>
            <w:pPr>
              <w:jc w:val="center"/>
              <w:ind w:left="384"/>
              <w:spacing w:after="0"/>
              <w:rPr>
                <w:sz w:val="20"/>
                <w:szCs w:val="20"/>
                <w:color w:val="auto"/>
              </w:rPr>
            </w:pPr>
            <w:r>
              <w:rPr>
                <w:rFonts w:ascii="Times New Roman" w:cs="Times New Roman" w:eastAsia="Times New Roman" w:hAnsi="Times New Roman"/>
                <w:sz w:val="15"/>
                <w:szCs w:val="15"/>
                <w:color w:val="auto"/>
              </w:rPr>
              <w:t>Nine Months Ended</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center"/>
              <w:ind w:left="1244"/>
              <w:spacing w:after="0"/>
              <w:rPr>
                <w:sz w:val="20"/>
                <w:szCs w:val="20"/>
                <w:color w:val="auto"/>
              </w:rPr>
            </w:pPr>
            <w:r>
              <w:rPr>
                <w:rFonts w:ascii="Times New Roman" w:cs="Times New Roman" w:eastAsia="Times New Roman" w:hAnsi="Times New Roman"/>
                <w:sz w:val="15"/>
                <w:szCs w:val="15"/>
                <w:color w:val="auto"/>
              </w:rPr>
              <w:t>May 31,</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344"/>
              <w:spacing w:after="0"/>
              <w:rPr>
                <w:sz w:val="20"/>
                <w:szCs w:val="20"/>
                <w:color w:val="auto"/>
              </w:rPr>
            </w:pPr>
            <w:r>
              <w:rPr>
                <w:rFonts w:ascii="Times New Roman" w:cs="Times New Roman" w:eastAsia="Times New Roman" w:hAnsi="Times New Roman"/>
                <w:sz w:val="15"/>
                <w:szCs w:val="15"/>
                <w:color w:val="auto"/>
                <w:w w:val="99"/>
              </w:rPr>
              <w:t>2024</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41"/>
        </w:trPr>
        <w:tc>
          <w:tcPr>
            <w:tcW w:w="5100" w:type="dxa"/>
            <w:vAlign w:val="bottom"/>
          </w:tcPr>
          <w:p>
            <w:pPr>
              <w:spacing w:after="0"/>
              <w:rPr>
                <w:sz w:val="12"/>
                <w:szCs w:val="12"/>
                <w:color w:val="auto"/>
              </w:rPr>
            </w:pPr>
          </w:p>
        </w:tc>
        <w:tc>
          <w:tcPr>
            <w:tcW w:w="1300" w:type="dxa"/>
            <w:vAlign w:val="bottom"/>
            <w:vMerge w:val="restart"/>
          </w:tcPr>
          <w:p>
            <w:pPr>
              <w:jc w:val="right"/>
              <w:ind w:right="364"/>
              <w:spacing w:after="0"/>
              <w:rPr>
                <w:sz w:val="20"/>
                <w:szCs w:val="20"/>
                <w:color w:val="auto"/>
              </w:rPr>
            </w:pPr>
            <w:r>
              <w:rPr>
                <w:rFonts w:ascii="Times New Roman" w:cs="Times New Roman" w:eastAsia="Times New Roman" w:hAnsi="Times New Roman"/>
                <w:sz w:val="15"/>
                <w:szCs w:val="15"/>
                <w:color w:val="auto"/>
              </w:rPr>
              <w:t>Shares</w:t>
            </w:r>
          </w:p>
        </w:tc>
        <w:tc>
          <w:tcPr>
            <w:tcW w:w="120" w:type="dxa"/>
            <w:vAlign w:val="bottom"/>
          </w:tcPr>
          <w:p>
            <w:pPr>
              <w:spacing w:after="0"/>
              <w:rPr>
                <w:sz w:val="12"/>
                <w:szCs w:val="12"/>
                <w:color w:val="auto"/>
              </w:rPr>
            </w:pPr>
          </w:p>
        </w:tc>
        <w:tc>
          <w:tcPr>
            <w:tcW w:w="200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5"/>
                <w:szCs w:val="15"/>
                <w:color w:val="auto"/>
              </w:rPr>
              <w:t>Weighted Average</w:t>
            </w:r>
          </w:p>
        </w:tc>
        <w:tc>
          <w:tcPr>
            <w:tcW w:w="860" w:type="dxa"/>
            <w:vAlign w:val="bottom"/>
            <w:vMerge w:val="restart"/>
          </w:tcPr>
          <w:p>
            <w:pPr>
              <w:jc w:val="right"/>
              <w:ind w:right="284"/>
              <w:spacing w:after="0"/>
              <w:rPr>
                <w:sz w:val="20"/>
                <w:szCs w:val="20"/>
                <w:color w:val="auto"/>
              </w:rPr>
            </w:pPr>
            <w:r>
              <w:rPr>
                <w:rFonts w:ascii="Times New Roman" w:cs="Times New Roman" w:eastAsia="Times New Roman" w:hAnsi="Times New Roman"/>
                <w:sz w:val="15"/>
                <w:szCs w:val="15"/>
                <w:color w:val="auto"/>
              </w:rPr>
              <w:t>Shares</w:t>
            </w:r>
          </w:p>
        </w:tc>
        <w:tc>
          <w:tcPr>
            <w:tcW w:w="160" w:type="dxa"/>
            <w:vAlign w:val="bottom"/>
          </w:tcPr>
          <w:p>
            <w:pPr>
              <w:spacing w:after="0"/>
              <w:rPr>
                <w:sz w:val="12"/>
                <w:szCs w:val="12"/>
                <w:color w:val="auto"/>
              </w:rPr>
            </w:pPr>
          </w:p>
        </w:tc>
        <w:tc>
          <w:tcPr>
            <w:tcW w:w="172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5"/>
                <w:szCs w:val="15"/>
                <w:color w:val="auto"/>
                <w:w w:val="99"/>
              </w:rPr>
              <w:t>Weighted Average</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5"/>
                <w:szCs w:val="15"/>
                <w:color w:val="auto"/>
              </w:rPr>
              <w:t>Grant Date Fair Value</w:t>
            </w:r>
          </w:p>
        </w:tc>
        <w:tc>
          <w:tcPr>
            <w:tcW w:w="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jc w:val="center"/>
              <w:ind w:right="104"/>
              <w:spacing w:after="0" w:line="158" w:lineRule="exact"/>
              <w:rPr>
                <w:sz w:val="20"/>
                <w:szCs w:val="20"/>
                <w:color w:val="auto"/>
              </w:rPr>
            </w:pPr>
            <w:r>
              <w:rPr>
                <w:rFonts w:ascii="Times New Roman" w:cs="Times New Roman" w:eastAsia="Times New Roman" w:hAnsi="Times New Roman"/>
                <w:sz w:val="15"/>
                <w:szCs w:val="15"/>
                <w:color w:val="auto"/>
              </w:rPr>
              <w:t>Grant Date Fair Value</w:t>
            </w:r>
          </w:p>
        </w:tc>
        <w:tc>
          <w:tcPr>
            <w:tcW w:w="0" w:type="dxa"/>
            <w:vAlign w:val="bottom"/>
          </w:tcPr>
          <w:p>
            <w:pPr>
              <w:spacing w:after="0"/>
              <w:rPr>
                <w:sz w:val="1"/>
                <w:szCs w:val="1"/>
                <w:color w:val="auto"/>
              </w:rPr>
            </w:pPr>
          </w:p>
        </w:tc>
      </w:tr>
      <w:tr>
        <w:trPr>
          <w:trHeight w:val="198"/>
        </w:trPr>
        <w:tc>
          <w:tcPr>
            <w:tcW w:w="5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5"/>
                <w:szCs w:val="15"/>
                <w:color w:val="auto"/>
                <w:w w:val="99"/>
              </w:rPr>
              <w:t>Per Award</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5"/>
                <w:szCs w:val="15"/>
                <w:color w:val="auto"/>
                <w:w w:val="99"/>
              </w:rPr>
              <w:t>Per Award</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5"/>
                <w:szCs w:val="15"/>
                <w:color w:val="auto"/>
              </w:rPr>
              <w:t>RSUs Granted</w:t>
            </w:r>
            <w:r>
              <w:rPr>
                <w:rFonts w:ascii="Times New Roman" w:cs="Times New Roman" w:eastAsia="Times New Roman" w:hAnsi="Times New Roman"/>
                <w:sz w:val="19"/>
                <w:szCs w:val="19"/>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423.07</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47,474</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415.31</w:t>
            </w:r>
          </w:p>
        </w:tc>
        <w:tc>
          <w:tcPr>
            <w:tcW w:w="0" w:type="dxa"/>
            <w:vAlign w:val="bottom"/>
          </w:tcPr>
          <w:p>
            <w:pPr>
              <w:spacing w:after="0"/>
              <w:rPr>
                <w:sz w:val="1"/>
                <w:szCs w:val="1"/>
                <w:color w:val="auto"/>
              </w:rPr>
            </w:pPr>
          </w:p>
        </w:tc>
      </w:tr>
      <w:tr>
        <w:trPr>
          <w:trHeight w:val="195"/>
        </w:trPr>
        <w:tc>
          <w:tcPr>
            <w:tcW w:w="5100" w:type="dxa"/>
            <w:vAlign w:val="bottom"/>
          </w:tcPr>
          <w:p>
            <w:pPr>
              <w:spacing w:after="0" w:line="195" w:lineRule="exact"/>
              <w:rPr>
                <w:sz w:val="20"/>
                <w:szCs w:val="20"/>
                <w:color w:val="auto"/>
              </w:rPr>
            </w:pPr>
            <w:r>
              <w:rPr>
                <w:rFonts w:ascii="Times New Roman" w:cs="Times New Roman" w:eastAsia="Times New Roman" w:hAnsi="Times New Roman"/>
                <w:sz w:val="15"/>
                <w:szCs w:val="15"/>
                <w:color w:val="auto"/>
              </w:rPr>
              <w:t>PSUs Granted</w:t>
            </w:r>
            <w:r>
              <w:rPr>
                <w:rFonts w:ascii="Times New Roman" w:cs="Times New Roman" w:eastAsia="Times New Roman" w:hAnsi="Times New Roman"/>
                <w:sz w:val="19"/>
                <w:szCs w:val="19"/>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37,008</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424.63</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34,482</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415.31</w:t>
            </w: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5"/>
                <w:szCs w:val="15"/>
                <w:color w:val="auto"/>
              </w:rPr>
              <w:t>Performance adjustment - PSUs</w:t>
            </w:r>
            <w:r>
              <w:rPr>
                <w:rFonts w:ascii="Times New Roman" w:cs="Times New Roman" w:eastAsia="Times New Roman" w:hAnsi="Times New Roman"/>
                <w:sz w:val="19"/>
                <w:szCs w:val="19"/>
                <w:color w:val="auto"/>
                <w:vertAlign w:val="superscript"/>
              </w:rPr>
              <w:t>(3)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306.33</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8,542</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245.67</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Total Restricted Stock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125,835</w:t>
            </w: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90,498</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8" w:hanging="208"/>
        <w:spacing w:after="0" w:line="265" w:lineRule="auto"/>
        <w:tabs>
          <w:tab w:leader="none" w:pos="20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annual employee grant on November 1, 2023 and November 1, 2022 of 63,722 and 46,264 RSUs, respectively. The majority of the RSUs granted vest 20% annually on the anniversary date of the grant and are fully vested after five years.</w:t>
      </w:r>
    </w:p>
    <w:p>
      <w:pPr>
        <w:spacing w:after="0" w:line="200" w:lineRule="exact"/>
        <w:rPr>
          <w:sz w:val="20"/>
          <w:szCs w:val="20"/>
          <w:color w:val="auto"/>
        </w:rPr>
      </w:pPr>
    </w:p>
    <w:p>
      <w:pPr>
        <w:spacing w:after="0" w:line="2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30" w:name="page31"/>
    <w:bookmarkEnd w:id="30"/>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both"/>
        <w:ind w:left="208" w:hanging="208"/>
        <w:spacing w:after="0" w:line="261" w:lineRule="auto"/>
        <w:tabs>
          <w:tab w:leader="none" w:pos="20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annual employee grant on November 1, 2023 and November 1, 2022 of 36,860 and 34,482 PSUs, respectively. The majority of the PSUs granted cliff vest on the third anniversary of the grant date, subject to the achievement of certain performance metrics. The ultimate number of common shares that may be earned pursuant to our PSU awards depends on the level of our achievement of stated financial performance objectives. The achievement range was 0% to 200% for the November 2023 annual grant and 0% to 150% for the November 2022 annual grant.</w:t>
      </w:r>
    </w:p>
    <w:p>
      <w:pPr>
        <w:spacing w:after="0" w:line="13" w:lineRule="exact"/>
        <w:rPr>
          <w:rFonts w:ascii="Times New Roman" w:cs="Times New Roman" w:eastAsia="Times New Roman" w:hAnsi="Times New Roman"/>
          <w:sz w:val="14"/>
          <w:szCs w:val="14"/>
          <w:color w:val="auto"/>
        </w:rPr>
      </w:pPr>
    </w:p>
    <w:p>
      <w:pPr>
        <w:ind w:left="208" w:right="20" w:hanging="208"/>
        <w:spacing w:after="0" w:line="282" w:lineRule="auto"/>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PSUs were granted during the first quarter of fiscal 2024 and fiscal 2023 based on performance above the specified target level of achievement for PSUs granted on November 9, 2020 and November 1, 2019, respectively.</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Employee Stock Purchase Plan</w:t>
      </w:r>
    </w:p>
    <w:p>
      <w:pPr>
        <w:spacing w:after="0" w:line="176"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5"/>
          <w:szCs w:val="15"/>
          <w:color w:val="auto"/>
        </w:rPr>
        <w:t>Shares of FactSet common stock may be purchased by eligible employees under our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for each calendar year. Shares purchased through our ESPP cannot be sold or otherwise transferred for 18 months after purchase. Dividends paid on shares held in our ESPP are used to purchase additional ESPP shares at the market price on the dividend payment date.</w:t>
      </w:r>
    </w:p>
    <w:p>
      <w:pPr>
        <w:spacing w:after="0" w:line="116" w:lineRule="exact"/>
        <w:rPr>
          <w:sz w:val="20"/>
          <w:szCs w:val="20"/>
          <w:color w:val="auto"/>
        </w:rPr>
      </w:pPr>
    </w:p>
    <w:p>
      <w:pPr>
        <w:jc w:val="both"/>
        <w:ind w:left="8"/>
        <w:spacing w:after="0" w:line="291" w:lineRule="auto"/>
        <w:rPr>
          <w:sz w:val="20"/>
          <w:szCs w:val="20"/>
          <w:color w:val="auto"/>
        </w:rPr>
      </w:pPr>
      <w:r>
        <w:rPr>
          <w:rFonts w:ascii="Times New Roman" w:cs="Times New Roman" w:eastAsia="Times New Roman" w:hAnsi="Times New Roman"/>
          <w:sz w:val="15"/>
          <w:szCs w:val="15"/>
          <w:color w:val="auto"/>
        </w:rPr>
        <w:t>Stock-based compensation expense related to our ESPP was $0.7 million for both the three months ended May 31, 2024 and May 31, 2023. Stock-based compensation expense related to our ESPP was $1.9 million for the nine months ended May 31, 2024 and $2.0 million for the nine months ended May 31, 2023.</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As of May 31, 2024, our ESPP had 36,607 shares reserved for future issuance.</w:t>
      </w:r>
    </w:p>
    <w:p>
      <w:pPr>
        <w:spacing w:after="0" w:line="2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72"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that have the following characteristics: (i) they engage in business activities from which they may earn revenue and incur expense, (ii) their operating results are regularly reviewed by the CODM for resource allocation decisions and performance assessment, and (iii) their discrete financial information is available. Our Chief Executive Officer functions as our CODM.</w:t>
      </w:r>
    </w:p>
    <w:p>
      <w:pPr>
        <w:spacing w:after="0" w:line="111" w:lineRule="exact"/>
        <w:rPr>
          <w:sz w:val="20"/>
          <w:szCs w:val="20"/>
          <w:color w:val="auto"/>
        </w:rPr>
      </w:pPr>
    </w:p>
    <w:p>
      <w:pPr>
        <w:jc w:val="both"/>
        <w:ind w:left="8"/>
        <w:spacing w:after="0" w:line="291" w:lineRule="auto"/>
        <w:rPr>
          <w:sz w:val="20"/>
          <w:szCs w:val="20"/>
          <w:color w:val="auto"/>
        </w:rPr>
      </w:pPr>
      <w:r>
        <w:rPr>
          <w:rFonts w:ascii="Times New Roman" w:cs="Times New Roman" w:eastAsia="Times New Roman" w:hAnsi="Times New Roman"/>
          <w:sz w:val="15"/>
          <w:szCs w:val="15"/>
          <w:color w:val="auto"/>
        </w:rPr>
        <w:t>We have three operating segments: Americas, EMEA and Asia Pacific. This is how our CODM manages our business and the geographic markets in which we operate. These operating segments are consistent with our reportable segments.</w:t>
      </w:r>
    </w:p>
    <w:p>
      <w:pPr>
        <w:spacing w:after="0" w:line="98" w:lineRule="exact"/>
        <w:rPr>
          <w:sz w:val="20"/>
          <w:szCs w:val="20"/>
          <w:color w:val="auto"/>
        </w:rPr>
      </w:pPr>
    </w:p>
    <w:p>
      <w:pPr>
        <w:jc w:val="both"/>
        <w:ind w:left="8"/>
        <w:spacing w:after="0" w:line="291" w:lineRule="auto"/>
        <w:rPr>
          <w:sz w:val="20"/>
          <w:szCs w:val="20"/>
          <w:color w:val="auto"/>
        </w:rPr>
      </w:pPr>
      <w:r>
        <w:rPr>
          <w:rFonts w:ascii="Times New Roman" w:cs="Times New Roman" w:eastAsia="Times New Roman" w:hAnsi="Times New Roman"/>
          <w:sz w:val="15"/>
          <w:szCs w:val="15"/>
          <w:color w:val="auto"/>
        </w:rPr>
        <w:t>The Americas segment serves our clients throughout North, Central, and South America. The EMEA segment serves our clients in Europe, the Middle East, and Africa. The Asia Pacific segment serves our clients in Asia and Australasia. Segment revenues reflect sales to our clients based on their respective geographic locations.</w:t>
      </w:r>
    </w:p>
    <w:p>
      <w:pPr>
        <w:spacing w:after="0" w:line="109" w:lineRule="exact"/>
        <w:rPr>
          <w:sz w:val="20"/>
          <w:szCs w:val="20"/>
          <w:color w:val="auto"/>
        </w:rPr>
      </w:pPr>
    </w:p>
    <w:p>
      <w:pPr>
        <w:jc w:val="both"/>
        <w:ind w:left="8" w:right="20"/>
        <w:spacing w:after="0" w:line="273" w:lineRule="auto"/>
        <w:rPr>
          <w:sz w:val="20"/>
          <w:szCs w:val="20"/>
          <w:color w:val="auto"/>
        </w:rPr>
      </w:pPr>
      <w:r>
        <w:rPr>
          <w:rFonts w:ascii="Times New Roman" w:cs="Times New Roman" w:eastAsia="Times New Roman" w:hAnsi="Times New Roman"/>
          <w:sz w:val="15"/>
          <w:szCs w:val="15"/>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their respective percentage of revenues as this reflects the benefits provided by each segment.</w:t>
      </w: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Table of Contents</w:t>
            </w: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817"/>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tables reflect the results of operations of our segments: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5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Total</w:t>
            </w:r>
          </w:p>
        </w:tc>
      </w:tr>
      <w:tr>
        <w:trPr>
          <w:trHeight w:val="175"/>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the three months ended May 31, 2024</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5"/>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Revenues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356,468</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141,279</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54,961</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552,708</w:t>
            </w:r>
          </w:p>
        </w:tc>
      </w:tr>
      <w:tr>
        <w:trPr>
          <w:trHeight w:val="195"/>
        </w:trPr>
        <w:tc>
          <w:tcPr>
            <w:tcW w:w="5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income</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87,696</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75,463</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39,300</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202,459</w:t>
            </w:r>
          </w:p>
        </w:tc>
      </w:tr>
      <w:tr>
        <w:trPr>
          <w:trHeight w:val="261"/>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Capital expenditures</w:t>
            </w:r>
            <w:r>
              <w:rPr>
                <w:rFonts w:ascii="Times New Roman" w:cs="Times New Roman" w:eastAsia="Times New Roman" w:hAnsi="Times New Roman"/>
                <w:sz w:val="19"/>
                <w:szCs w:val="19"/>
                <w:color w:val="auto"/>
                <w:vertAlign w:val="superscript"/>
              </w:rPr>
              <w:t>(1)</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19,491</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21,339</w:t>
            </w:r>
          </w:p>
        </w:tc>
      </w:tr>
      <w:tr>
        <w:trPr>
          <w:trHeight w:val="358"/>
        </w:trPr>
        <w:tc>
          <w:tcPr>
            <w:tcW w:w="5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Total</w:t>
            </w:r>
          </w:p>
        </w:tc>
      </w:tr>
      <w:tr>
        <w:trPr>
          <w:trHeight w:val="175"/>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the three months ended May 31, 2023</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5"/>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Revenues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337,691</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137,973</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54,147</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529,811</w:t>
            </w:r>
          </w:p>
        </w:tc>
      </w:tr>
      <w:tr>
        <w:trPr>
          <w:trHeight w:val="195"/>
        </w:trPr>
        <w:tc>
          <w:tcPr>
            <w:tcW w:w="5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income</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79,005</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58,607</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34,347</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171,959</w:t>
            </w:r>
          </w:p>
        </w:tc>
      </w:tr>
      <w:tr>
        <w:trPr>
          <w:trHeight w:val="261"/>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Capital expenditures</w:t>
            </w:r>
            <w:r>
              <w:rPr>
                <w:rFonts w:ascii="Times New Roman" w:cs="Times New Roman" w:eastAsia="Times New Roman" w:hAnsi="Times New Roman"/>
                <w:sz w:val="19"/>
                <w:szCs w:val="19"/>
                <w:color w:val="auto"/>
                <w:vertAlign w:val="superscript"/>
              </w:rPr>
              <w:t>(1)</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24,956</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26,005</w:t>
            </w:r>
          </w:p>
        </w:tc>
      </w:tr>
      <w:tr>
        <w:trPr>
          <w:trHeight w:val="358"/>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the nine months ended May 31, 2024</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Americas</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EMEA</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Asia Pacific</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rPr>
              <w:t>Total</w:t>
            </w:r>
          </w:p>
        </w:tc>
      </w:tr>
      <w:tr>
        <w:trPr>
          <w:trHeight w:val="186"/>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Revenues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1,057,453</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420,016</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163,400</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1,640,869</w:t>
            </w:r>
          </w:p>
        </w:tc>
      </w:tr>
      <w:tr>
        <w:trPr>
          <w:trHeight w:val="195"/>
        </w:trPr>
        <w:tc>
          <w:tcPr>
            <w:tcW w:w="5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income</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250,255</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207,167</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116,019</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573,441</w:t>
            </w:r>
          </w:p>
        </w:tc>
      </w:tr>
      <w:tr>
        <w:trPr>
          <w:trHeight w:val="261"/>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Capital expenditures</w:t>
            </w:r>
            <w:r>
              <w:rPr>
                <w:rFonts w:ascii="Times New Roman" w:cs="Times New Roman" w:eastAsia="Times New Roman" w:hAnsi="Times New Roman"/>
                <w:sz w:val="19"/>
                <w:szCs w:val="19"/>
                <w:color w:val="auto"/>
                <w:vertAlign w:val="superscript"/>
              </w:rPr>
              <w:t>(1)</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54,284</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1,664</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3,774</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59,722</w:t>
            </w:r>
          </w:p>
        </w:tc>
      </w:tr>
      <w:tr>
        <w:trPr>
          <w:trHeight w:val="358"/>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the nine months ended May 31, 2023</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Americas</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EMEA</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Asia Pacific</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rPr>
              <w:t>Total</w:t>
            </w:r>
          </w:p>
        </w:tc>
      </w:tr>
      <w:tr>
        <w:trPr>
          <w:trHeight w:val="186"/>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Revenues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992,179</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401,219</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156,313</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1,549,711</w:t>
            </w:r>
          </w:p>
        </w:tc>
      </w:tr>
      <w:tr>
        <w:trPr>
          <w:trHeight w:val="195"/>
        </w:trPr>
        <w:tc>
          <w:tcPr>
            <w:tcW w:w="5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income</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207,717</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194,870</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110,517</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513,104</w:t>
            </w:r>
          </w:p>
        </w:tc>
      </w:tr>
      <w:tr>
        <w:trPr>
          <w:trHeight w:val="261"/>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Capital expenditures</w:t>
            </w:r>
            <w:r>
              <w:rPr>
                <w:rFonts w:ascii="Times New Roman" w:cs="Times New Roman" w:eastAsia="Times New Roman" w:hAnsi="Times New Roman"/>
                <w:sz w:val="19"/>
                <w:szCs w:val="19"/>
                <w:color w:val="auto"/>
                <w:vertAlign w:val="superscript"/>
              </w:rPr>
              <w:t>(1)</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56,299</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1,651</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3,471</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61,421</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Capital expenditures includes purchases of property, equipment and leasehold improvements and capitalized internal-use software.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Segment Total Assets</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33"/>
        </w:trPr>
        <w:tc>
          <w:tcPr>
            <w:tcW w:w="724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reflects the total assets for our segments as of:</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8"/>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May 31, 2024</w:t>
            </w: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August 31, 2023</w:t>
            </w:r>
          </w:p>
        </w:tc>
      </w:tr>
      <w:tr>
        <w:trPr>
          <w:trHeight w:val="18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Segment Assets</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195"/>
        </w:trPr>
        <w:tc>
          <w:tcPr>
            <w:tcW w:w="7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Americas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3,137,992</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3,148,192</w:t>
            </w:r>
          </w:p>
        </w:tc>
      </w:tr>
      <w:tr>
        <w:trPr>
          <w:trHeight w:val="19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EMEA</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635,175</w:t>
            </w:r>
          </w:p>
        </w:tc>
        <w:tc>
          <w:tcPr>
            <w:tcW w:w="3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558,393</w:t>
            </w:r>
          </w:p>
        </w:tc>
      </w:tr>
      <w:tr>
        <w:trPr>
          <w:trHeight w:val="195"/>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Asia Pacific</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266,534</w:t>
            </w: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256,337</w:t>
            </w:r>
          </w:p>
        </w:tc>
      </w:tr>
      <w:tr>
        <w:trPr>
          <w:trHeight w:val="186"/>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assets</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4,039,701</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3,962,922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20"/>
        <w:spacing w:after="0" w:line="291" w:lineRule="auto"/>
        <w:rPr>
          <w:sz w:val="20"/>
          <w:szCs w:val="20"/>
          <w:color w:val="auto"/>
        </w:rPr>
      </w:pPr>
      <w:r>
        <w:rPr>
          <w:rFonts w:ascii="Times New Roman" w:cs="Times New Roman" w:eastAsia="Times New Roman" w:hAnsi="Times New Roman"/>
          <w:sz w:val="21"/>
          <w:szCs w:val="21"/>
          <w:b w:val="1"/>
          <w:bCs w:val="1"/>
          <w:color w:val="auto"/>
        </w:rPr>
        <w:t>ITEM 2. MANAGEMENT’S DISCUSSION AND ANALYSIS OF FINANCIAL CONDITION AND RESULTS OF OPERATIONS</w:t>
      </w:r>
    </w:p>
    <w:p>
      <w:pPr>
        <w:spacing w:after="0" w:line="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2023,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5"/>
          <w:szCs w:val="15"/>
          <w:i w:val="1"/>
          <w:iCs w:val="1"/>
          <w:color w:val="auto"/>
        </w:rPr>
        <w:t>Risk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Factors </w:t>
      </w:r>
      <w:r>
        <w:rPr>
          <w:rFonts w:ascii="Times New Roman" w:cs="Times New Roman" w:eastAsia="Times New Roman" w:hAnsi="Times New Roman"/>
          <w:sz w:val="15"/>
          <w:szCs w:val="15"/>
          <w:color w:val="auto"/>
        </w:rPr>
        <w:t>in our Annual Report on Form 10-K for the fiscal year ended August 31, 2023.</w:t>
      </w:r>
    </w:p>
    <w:p>
      <w:pPr>
        <w:spacing w:after="0" w:line="11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09" w:lineRule="exact"/>
        <w:rPr>
          <w:sz w:val="20"/>
          <w:szCs w:val="20"/>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Overview</w:t>
      </w:r>
    </w:p>
    <w:p>
      <w:pPr>
        <w:spacing w:after="0" w:line="25"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Subscription Value ("ASV")</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Client and User Additions</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Headcount</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of Operations</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Non-GAAP Financial Measures</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Liquidity and Capital Resources</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Off-Balance Sheet Arrangements</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Exposure</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Critical Accounting Estimates</w:t>
      </w:r>
    </w:p>
    <w:p>
      <w:pPr>
        <w:spacing w:after="0" w:line="11" w:lineRule="exact"/>
        <w:rPr>
          <w:rFonts w:ascii="Times New Roman" w:cs="Times New Roman" w:eastAsia="Times New Roman" w:hAnsi="Times New Roman"/>
          <w:sz w:val="15"/>
          <w:szCs w:val="15"/>
          <w:color w:val="auto"/>
        </w:rPr>
      </w:pPr>
    </w:p>
    <w:p>
      <w:pPr>
        <w:ind w:left="1360" w:hanging="267"/>
        <w:spacing w:after="0"/>
        <w:tabs>
          <w:tab w:leader="none" w:pos="13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Accounting Pronouncements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FactSet Research Systems Inc. and its wholly-owned subsidiaries (collectively, "we," "our," "us," the "Company" or "FactSet") is a global financial digital platform and enterprise solutions provider with open and flexible technologies that drive the investment community to see more, think bigger and do its best work.</w:t>
      </w:r>
    </w:p>
    <w:p>
      <w:pPr>
        <w:spacing w:after="0" w:line="8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5"/>
          <w:szCs w:val="15"/>
          <w:color w:val="auto"/>
        </w:rPr>
        <w:t>Our platform delivers expansive data, sophisticated analytics, and flexible technology used by global financial professionals to power their critical investment workflows. As of May 31, 2024, we had more than 8,000 clients comprised of over 208,000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These platforms and solutions are supported by our dedicated client service team.</w:t>
      </w:r>
    </w:p>
    <w:p>
      <w:pPr>
        <w:spacing w:after="0" w:line="1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We operate our business through three reportable segments ("segments"): the Americas, EMEA and Asia Pacific. During fiscal 2024, we revised our internal organization within each segment to offer data, products and analytical applications by firm type:</w:t>
      </w:r>
    </w:p>
    <w:p>
      <w:pPr>
        <w:spacing w:after="0" w:line="98" w:lineRule="exact"/>
        <w:rPr>
          <w:sz w:val="20"/>
          <w:szCs w:val="20"/>
          <w:color w:val="auto"/>
        </w:rPr>
      </w:pPr>
    </w:p>
    <w:p>
      <w:pPr>
        <w:ind w:left="540" w:hanging="273"/>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Buyside" focuses on asset managers, asset owners, and hedge fund companies,</w:t>
      </w:r>
    </w:p>
    <w:p>
      <w:pPr>
        <w:spacing w:after="0" w:line="91" w:lineRule="exact"/>
        <w:rPr>
          <w:rFonts w:ascii="Times New Roman" w:cs="Times New Roman" w:eastAsia="Times New Roman" w:hAnsi="Times New Roman"/>
          <w:sz w:val="15"/>
          <w:szCs w:val="15"/>
          <w:color w:val="auto"/>
        </w:rPr>
      </w:pPr>
    </w:p>
    <w:p>
      <w:pPr>
        <w:ind w:left="540" w:hanging="273"/>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"Dealmakers" focuses on banking and sell-side research, corporate, and private equity and venture capital workflows,</w:t>
      </w:r>
    </w:p>
    <w:p>
      <w:pPr>
        <w:spacing w:after="0" w:line="79" w:lineRule="exact"/>
        <w:rPr>
          <w:rFonts w:ascii="Times New Roman" w:cs="Times New Roman" w:eastAsia="Times New Roman" w:hAnsi="Times New Roman"/>
          <w:sz w:val="15"/>
          <w:szCs w:val="15"/>
          <w:color w:val="auto"/>
        </w:rPr>
      </w:pPr>
    </w:p>
    <w:p>
      <w:pPr>
        <w:ind w:left="540" w:hanging="273"/>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"Wealth" focuses on wealth management workflows, and</w:t>
      </w:r>
    </w:p>
    <w:p>
      <w:pPr>
        <w:spacing w:after="0" w:line="91" w:lineRule="exact"/>
        <w:rPr>
          <w:rFonts w:ascii="Times New Roman" w:cs="Times New Roman" w:eastAsia="Times New Roman" w:hAnsi="Times New Roman"/>
          <w:sz w:val="15"/>
          <w:szCs w:val="15"/>
          <w:color w:val="auto"/>
        </w:rPr>
      </w:pPr>
    </w:p>
    <w:p>
      <w:pPr>
        <w:ind w:left="540" w:hanging="273"/>
        <w:spacing w:after="0" w:line="291" w:lineRule="auto"/>
        <w:tabs>
          <w:tab w:leader="none" w:pos="53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and CGS": "Partnerships" delivers solutions to content providers, financial exchanges, and rating agencies. "CGS" is the exclusive issuer of Committee on Uniform Security Identification Procedures ("CUSIP") and CUSIP International Number System ("CINS") identifiers.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As our chief operating decision maker ("CODM") continues to review our business and operating results based on our three segments, the Americas, EMEA and Asia Pacific, the realignment of our internal organization by firm type will not impact our segments for fiscal 2024. Refer to Note 15, </w:t>
      </w:r>
      <w:r>
        <w:rPr>
          <w:rFonts w:ascii="Times New Roman" w:cs="Times New Roman" w:eastAsia="Times New Roman" w:hAnsi="Times New Roman"/>
          <w:sz w:val="15"/>
          <w:szCs w:val="15"/>
          <w:i w:val="1"/>
          <w:iCs w:val="1"/>
          <w:color w:val="auto"/>
        </w:rPr>
        <w:t>Segment Information,</w:t>
      </w:r>
      <w:r>
        <w:rPr>
          <w:rFonts w:ascii="Times New Roman" w:cs="Times New Roman" w:eastAsia="Times New Roman" w:hAnsi="Times New Roman"/>
          <w:sz w:val="15"/>
          <w:szCs w:val="15"/>
          <w:color w:val="auto"/>
        </w:rPr>
        <w:t xml:space="preserve"> in the Notes to the Consolidated Financial Statements included in Part I, Item 1. of this Quarterly Report on Form 10-Q for more information on our segments and CODM.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Strategy</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Our strategy is to build the leading open content and analytics platform and powerful enterprise solutions that deliver a differentiated advantage for our clients’ success. By offering personalized digital products, we strive to be a trusted partner and service provider, delivering relevant insights and research ideas tailored to our clients' specific business models.</w:t>
      </w:r>
    </w:p>
    <w:p>
      <w:pPr>
        <w:spacing w:after="0" w:line="15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We are focused on growing our global business through three strategically aligned geographic segments: the Americas, EMEA and Asia Pacific. This approach allows us to better manage resources, target solutions and interact with clients effectively. To execute our strategy, we have outlined the following key initiatives:</w:t>
      </w:r>
    </w:p>
    <w:p>
      <w:pPr>
        <w:spacing w:after="0" w:line="94" w:lineRule="exact"/>
        <w:rPr>
          <w:sz w:val="20"/>
          <w:szCs w:val="20"/>
          <w:color w:val="auto"/>
        </w:rPr>
      </w:pPr>
    </w:p>
    <w:p>
      <w:pPr>
        <w:jc w:val="both"/>
        <w:ind w:left="540" w:hanging="273"/>
        <w:spacing w:after="0" w:line="265" w:lineRule="auto"/>
        <w:tabs>
          <w:tab w:leader="none" w:pos="53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Expanding our Digital Platform</w:t>
      </w:r>
      <w:r>
        <w:rPr>
          <w:rFonts w:ascii="Times New Roman" w:cs="Times New Roman" w:eastAsia="Times New Roman" w:hAnsi="Times New Roman"/>
          <w:sz w:val="15"/>
          <w:szCs w:val="15"/>
          <w:color w:val="auto"/>
        </w:rPr>
        <w:t>: We are scaling up our content refinery to provide a comprehensive inventory of industry, proprietary and third-party data. This includes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granular data for key industry verticals, real-time data, fund data and sustainable finance. Through an open ecosystem of cloud-based data and analytics, we aim to offer flexible solutions and content accessible through various delivery methods. In addition, we are working to expand our use of artificial intelligence to drive efficiencies for our clients, with anticipated initiatives including automation of tasks and integration of natural language queries. We believe that our breadth of high-quality, connected content will be a critical raw material for large language models.</w:t>
      </w:r>
    </w:p>
    <w:p>
      <w:pPr>
        <w:spacing w:after="0" w:line="125" w:lineRule="exact"/>
        <w:rPr>
          <w:rFonts w:ascii="Times New Roman" w:cs="Times New Roman" w:eastAsia="Times New Roman" w:hAnsi="Times New Roman"/>
          <w:sz w:val="15"/>
          <w:szCs w:val="15"/>
          <w:color w:val="auto"/>
        </w:rPr>
      </w:pPr>
    </w:p>
    <w:p>
      <w:pPr>
        <w:jc w:val="both"/>
        <w:ind w:left="540" w:right="20" w:hanging="273"/>
        <w:spacing w:after="0" w:line="276" w:lineRule="auto"/>
        <w:tabs>
          <w:tab w:leader="none" w:pos="53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Ensuring Execution Excellence</w:t>
      </w:r>
      <w:r>
        <w:rPr>
          <w:rFonts w:ascii="Times New Roman" w:cs="Times New Roman" w:eastAsia="Times New Roman" w:hAnsi="Times New Roman"/>
          <w:sz w:val="15"/>
          <w:szCs w:val="15"/>
          <w:color w:val="auto"/>
        </w:rPr>
        <w:t>: Innovation and collaboration are at the core of our approach. We employ technology to accelerate content collection, data connectivity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development of summaries and themes. Our sales force is committed to enhancing price realization, productivity, efficiency and improved client outcomes. We are also optimizing operations and managing expenses to improve returns on our investments.</w:t>
      </w:r>
    </w:p>
    <w:p>
      <w:pPr>
        <w:spacing w:after="0" w:line="104" w:lineRule="exact"/>
        <w:rPr>
          <w:rFonts w:ascii="Times New Roman" w:cs="Times New Roman" w:eastAsia="Times New Roman" w:hAnsi="Times New Roman"/>
          <w:sz w:val="15"/>
          <w:szCs w:val="15"/>
          <w:color w:val="auto"/>
        </w:rPr>
      </w:pPr>
    </w:p>
    <w:p>
      <w:pPr>
        <w:jc w:val="both"/>
        <w:ind w:left="540" w:hanging="273"/>
        <w:spacing w:after="0" w:line="288" w:lineRule="auto"/>
        <w:tabs>
          <w:tab w:leader="none" w:pos="53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Fostering a Growth Mindset</w:t>
      </w:r>
      <w:r>
        <w:rPr>
          <w:rFonts w:ascii="Times New Roman" w:cs="Times New Roman" w:eastAsia="Times New Roman" w:hAnsi="Times New Roman"/>
          <w:sz w:val="15"/>
          <w:szCs w:val="15"/>
          <w:color w:val="auto"/>
        </w:rPr>
        <w:t>: We prioritize recruiting, training and empowering a diverse and efficient workforce. We are driving sustainable growth by investing in talent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can create leading technological solutions and efficiently execute our strategy. Additionally, strategic partnerships and acquisitions help to accelerate our expansion in key areas.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Fiscal 2024 Third Quarter in Review</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Revenues in the third quarter of fiscal 2024 were $552.7 million, an increase of 4.3% from the comparable prior year period. The growth in revenues was reflective of organic revenues growth of 4.5% for the third quarter of fiscal 2024 compared with the prior year period. Revenues increased in all our segments, primarily in the Americas and, to a lesser extent, EMEA and Asia Pacific. Revenues increased due to higher demand and price increases primarily from workstations, data solutions and middle office solutions. Refer to Part I, Item 2. </w:t>
      </w:r>
      <w:r>
        <w:rPr>
          <w:rFonts w:ascii="Times New Roman" w:cs="Times New Roman" w:eastAsia="Times New Roman" w:hAnsi="Times New Roman"/>
          <w:sz w:val="15"/>
          <w:szCs w:val="15"/>
          <w:i w:val="1"/>
          <w:iCs w:val="1"/>
          <w:color w:val="auto"/>
        </w:rPr>
        <w:t xml:space="preserve">Management's Discussion and Analysis of Financial Condition and Results of Operations, Non-GAAP Financial Measures, </w:t>
      </w:r>
      <w:r>
        <w:rPr>
          <w:rFonts w:ascii="Times New Roman" w:cs="Times New Roman" w:eastAsia="Times New Roman" w:hAnsi="Times New Roman"/>
          <w:sz w:val="15"/>
          <w:szCs w:val="15"/>
          <w:color w:val="auto"/>
        </w:rPr>
        <w:t>of this Quarterly Report on Form 10-Q for a definition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organic revenues and a reconciliation between revenues and organic revenues.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As of May 31, 2024, organic annual subscription value ("Organic ASV") plus Professional Services totaled $2,220.4 million, an increase of 5.0% over the prior year. Organic ASV increased in all our segments, with the majority of the increase in the Americas and, to a lesser extent, EMEA and Asia Pacific. The Organic ASV increase was driven by higher demand and price increases primarily from workstations, data solutions, middle office solutions and CGS subscriptions. Refer to Part I, Item 2. </w:t>
      </w:r>
      <w:r>
        <w:rPr>
          <w:rFonts w:ascii="Times New Roman" w:cs="Times New Roman" w:eastAsia="Times New Roman" w:hAnsi="Times New Roman"/>
          <w:sz w:val="15"/>
          <w:szCs w:val="15"/>
          <w:i w:val="1"/>
          <w:iCs w:val="1"/>
          <w:color w:val="auto"/>
        </w:rPr>
        <w:t>Management's Discussion and Analysis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of Financial Condition and Results of Operations, Annual Subscription Value, </w:t>
      </w:r>
      <w:r>
        <w:rPr>
          <w:rFonts w:ascii="Times New Roman" w:cs="Times New Roman" w:eastAsia="Times New Roman" w:hAnsi="Times New Roman"/>
          <w:sz w:val="15"/>
          <w:szCs w:val="15"/>
          <w:color w:val="auto"/>
        </w:rPr>
        <w:t>of this Quarterly Report on Form 10-Q for the definitions of Organic ASV and Organic ASV plus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Professional Services.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Operating margin increased to 36.6% during the three months ended May 31, 2024, compared with 32.5% in the prior year period. This increase was mainly due to growth in revenues and, when expressed as a percentage of revenues, a decrease in compensation costs and bad debt expense, partially offset by an increase in amortization of intangible assets, marketing costs and computer-related expenses. Diluted earnings per common share ("Diluted EPS") for the three months ended May 31, 2024 was $4.09, an increase of 18.2% compared with the prior year period.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4" w:name="page35"/>
    <w:bookmarkEnd w:id="34"/>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Annual Subscription Value ("ASV")</w:t>
      </w: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We believe ASV reflects our ability to grow recurring revenues, generate positive cash flows and serves as a key indicator of the successful execution of our business strategy.</w:t>
      </w:r>
    </w:p>
    <w:p>
      <w:pPr>
        <w:spacing w:after="0" w:line="218" w:lineRule="exact"/>
        <w:rPr>
          <w:sz w:val="20"/>
          <w:szCs w:val="20"/>
          <w:color w:val="auto"/>
        </w:rPr>
      </w:pPr>
    </w:p>
    <w:p>
      <w:pPr>
        <w:ind w:left="548" w:hanging="275"/>
        <w:spacing w:after="0" w:line="265" w:lineRule="auto"/>
        <w:rPr>
          <w:sz w:val="20"/>
          <w:szCs w:val="20"/>
          <w:color w:val="auto"/>
        </w:rPr>
      </w:pPr>
      <w:r>
        <w:rPr>
          <w:rFonts w:ascii="Times New Roman" w:cs="Times New Roman" w:eastAsia="Times New Roman" w:hAnsi="Times New Roman"/>
          <w:sz w:val="15"/>
          <w:szCs w:val="15"/>
          <w:color w:val="auto"/>
        </w:rPr>
        <w:t>– "ASV" at any point in time represents our forward-looking revenues for the next 12 months from all subscription services currently being supplied to clients, excluding revenues from Professional Services.</w:t>
      </w:r>
    </w:p>
    <w:p>
      <w:pPr>
        <w:ind w:left="548" w:right="20" w:hanging="275"/>
        <w:spacing w:after="0" w:line="255" w:lineRule="auto"/>
        <w:rPr>
          <w:sz w:val="20"/>
          <w:szCs w:val="20"/>
          <w:color w:val="auto"/>
        </w:rPr>
      </w:pPr>
      <w:r>
        <w:rPr>
          <w:rFonts w:ascii="Times New Roman" w:cs="Times New Roman" w:eastAsia="Times New Roman" w:hAnsi="Times New Roman"/>
          <w:sz w:val="15"/>
          <w:szCs w:val="15"/>
          <w:color w:val="auto"/>
        </w:rPr>
        <w:t>– "Organic ASV" at any point in time equals our ASV excluding ASV from acquisitions and dispositions completed within the last 12 months and the effects of foreign currency movements.</w:t>
      </w:r>
    </w:p>
    <w:p>
      <w:pPr>
        <w:ind w:left="268"/>
        <w:spacing w:after="0"/>
        <w:rPr>
          <w:sz w:val="20"/>
          <w:szCs w:val="20"/>
          <w:color w:val="auto"/>
        </w:rPr>
      </w:pPr>
      <w:r>
        <w:rPr>
          <w:rFonts w:ascii="Times New Roman" w:cs="Times New Roman" w:eastAsia="Times New Roman" w:hAnsi="Times New Roman"/>
          <w:sz w:val="15"/>
          <w:szCs w:val="15"/>
          <w:color w:val="auto"/>
        </w:rPr>
        <w:t>–   "Professional Services" are revenues derived from project-based consulting and implementation services, annualized over the past 12 months.</w:t>
      </w:r>
    </w:p>
    <w:p>
      <w:pPr>
        <w:spacing w:after="0" w:line="1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   "Organic ASV plus Professional Services" at any point in time equals the sum of Organic ASV and Professional Services.</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Organic ASV plus Professional Services</w:t>
      </w:r>
    </w:p>
    <w:p>
      <w:pPr>
        <w:spacing w:after="0" w:line="176" w:lineRule="exact"/>
        <w:rPr>
          <w:sz w:val="20"/>
          <w:szCs w:val="20"/>
          <w:color w:val="auto"/>
        </w:rPr>
      </w:pPr>
    </w:p>
    <w:p>
      <w:pPr>
        <w:ind w:left="8" w:right="20"/>
        <w:spacing w:after="0" w:line="300" w:lineRule="auto"/>
        <w:rPr>
          <w:sz w:val="20"/>
          <w:szCs w:val="20"/>
          <w:color w:val="auto"/>
        </w:rPr>
      </w:pPr>
      <w:r>
        <w:rPr>
          <w:rFonts w:ascii="Times New Roman" w:cs="Times New Roman" w:eastAsia="Times New Roman" w:hAnsi="Times New Roman"/>
          <w:sz w:val="15"/>
          <w:szCs w:val="15"/>
          <w:color w:val="auto"/>
        </w:rPr>
        <w:t>The following table presents the calculation of Organic ASV plus Professional Services as of May 31, 2024. With proper notice provided as contractually required, our clients can add to, delete portions of, or terminate service, subject to certain limitations.</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02"/>
        </w:trPr>
        <w:tc>
          <w:tcPr>
            <w:tcW w:w="8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(dollar amounts in millions)</w:t>
            </w: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As of May 31, 2024</w:t>
            </w:r>
          </w:p>
        </w:tc>
      </w:tr>
      <w:tr>
        <w:trPr>
          <w:trHeight w:val="186"/>
        </w:trPr>
        <w:tc>
          <w:tcPr>
            <w:tcW w:w="88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5"/>
                <w:szCs w:val="15"/>
                <w:color w:val="auto"/>
              </w:rPr>
              <w:t>As reported ASV plus Professional Services</w:t>
            </w:r>
            <w:r>
              <w:rPr>
                <w:rFonts w:ascii="Times New Roman" w:cs="Times New Roman" w:eastAsia="Times New Roman" w:hAnsi="Times New Roman"/>
                <w:sz w:val="19"/>
                <w:szCs w:val="19"/>
                <w:color w:val="auto"/>
                <w:vertAlign w:val="superscript"/>
              </w:rPr>
              <w:t>(1)</w:t>
            </w: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2,219.2</w:t>
            </w:r>
          </w:p>
        </w:tc>
      </w:tr>
      <w:tr>
        <w:trPr>
          <w:trHeight w:val="195"/>
        </w:trPr>
        <w:tc>
          <w:tcPr>
            <w:tcW w:w="8840" w:type="dxa"/>
            <w:vAlign w:val="bottom"/>
            <w:tcBorders>
              <w:bottom w:val="single" w:sz="8" w:color="CCEEFF"/>
            </w:tcBorders>
          </w:tcPr>
          <w:p>
            <w:pPr>
              <w:ind w:left="100"/>
              <w:spacing w:after="0" w:line="195" w:lineRule="exact"/>
              <w:rPr>
                <w:sz w:val="20"/>
                <w:szCs w:val="20"/>
                <w:color w:val="auto"/>
              </w:rPr>
            </w:pPr>
            <w:r>
              <w:rPr>
                <w:rFonts w:ascii="Times New Roman" w:cs="Times New Roman" w:eastAsia="Times New Roman" w:hAnsi="Times New Roman"/>
                <w:sz w:val="15"/>
                <w:szCs w:val="15"/>
                <w:color w:val="auto"/>
              </w:rPr>
              <w:t>Currency impact</w:t>
            </w:r>
            <w:r>
              <w:rPr>
                <w:rFonts w:ascii="Times New Roman" w:cs="Times New Roman" w:eastAsia="Times New Roman" w:hAnsi="Times New Roman"/>
                <w:sz w:val="19"/>
                <w:szCs w:val="19"/>
                <w:color w:val="auto"/>
                <w:vertAlign w:val="superscript"/>
              </w:rPr>
              <w:t>(2)</w:t>
            </w: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1.2</w:t>
            </w:r>
          </w:p>
        </w:tc>
      </w:tr>
      <w:tr>
        <w:trPr>
          <w:trHeight w:val="18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Organic ASV plus Professional Services</w:t>
            </w: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2,220.4</w:t>
            </w:r>
          </w:p>
        </w:tc>
      </w:tr>
      <w:tr>
        <w:trPr>
          <w:trHeight w:val="202"/>
        </w:trPr>
        <w:tc>
          <w:tcPr>
            <w:tcW w:w="88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Organic ASV plus Professional Services annual growth rate</w:t>
            </w:r>
          </w:p>
        </w:tc>
        <w:tc>
          <w:tcPr>
            <w:tcW w:w="34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5.0 %</w:t>
            </w:r>
          </w:p>
        </w:tc>
      </w:tr>
    </w:tbl>
    <w:p>
      <w:pPr>
        <w:spacing w:after="0" w:line="143" w:lineRule="exact"/>
        <w:rPr>
          <w:sz w:val="20"/>
          <w:szCs w:val="20"/>
          <w:color w:val="auto"/>
        </w:rPr>
      </w:pPr>
    </w:p>
    <w:p>
      <w:pPr>
        <w:ind w:left="208" w:hanging="208"/>
        <w:spacing w:after="0"/>
        <w:tabs>
          <w:tab w:leader="none" w:pos="20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$17.2 million in Professional Services as of May 31, 2024.</w:t>
      </w:r>
    </w:p>
    <w:p>
      <w:pPr>
        <w:spacing w:after="0" w:line="102"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from foreign currency movements.</w:t>
      </w:r>
    </w:p>
    <w:p>
      <w:pPr>
        <w:spacing w:after="0" w:line="145"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5"/>
          <w:szCs w:val="15"/>
          <w:color w:val="auto"/>
        </w:rPr>
        <w:t>As of May 31, 2024, Organic ASV plus Professional Services was $2,220.4 million, an increase of 5.0% compared with May 31, 2023. Organic ASV increased in all our segments, with the majority of the increase related to the Americas, and, to a lesser extent, EMEA and Asia Pacific. This increase in Organic ASV was primarily driven by higher sales to existing clients and, to a lesser extent, price increases to existing clients and sales to new clients, partially offset by existing client cancellations. These higher sales and price increases were primarily attributable to workstations, data solutions, middle office solutions and CGS subscriptions.</w:t>
      </w:r>
    </w:p>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i w:val="1"/>
          <w:iCs w:val="1"/>
          <w:color w:val="auto"/>
        </w:rPr>
        <w:t>Segment ASV</w:t>
      </w:r>
    </w:p>
    <w:p>
      <w:pPr>
        <w:spacing w:after="0" w:line="176"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5"/>
          <w:szCs w:val="15"/>
          <w:color w:val="auto"/>
        </w:rPr>
        <w:t>As of May 31, 2024, ASV from the Americas represented 64% of total ASV and was $1,417.1 million, an increase from $1,344.7 million as of May 31, 2023. Americas Organic ASV was $1,417.1 million as of May 31, 2024, a 5.7% increase from the prior year period. The Organic ASV increase in the Americas was driven by higher demand and price increases primarily from workstations and CGS subscriptions.</w:t>
      </w:r>
    </w:p>
    <w:p>
      <w:pPr>
        <w:spacing w:after="0" w:line="111"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5"/>
          <w:szCs w:val="15"/>
          <w:color w:val="auto"/>
        </w:rPr>
        <w:t>As of May 31, 2024, ASV from EMEA represented 26% of total ASV and was $565.7 million, an increase from $541.3 million as of May 31, 2023. EMEA Organic ASV was $565.5 million as of May 31, 2024, a 4.4% increase from the prior year period. The EMEA Organic ASV increase was driven by higher demand and price increases mainly from data solutions and middle office solutions.</w:t>
      </w:r>
    </w:p>
    <w:p>
      <w:pPr>
        <w:spacing w:after="0" w:line="111"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5"/>
          <w:szCs w:val="15"/>
          <w:color w:val="auto"/>
        </w:rPr>
        <w:t>As of May 31, 2024, ASV from Asia Pacific represented 10% of total ASV and was $219.2 million, an increase from $209.8 million as of May 31, 2023. Asia Pacific Organic ASV was $220.6 million as of May 31, 2024, a 6.1% increase from the prior year period. The Asia Pacific Organic ASV increase was driven by higher demand and price increases primarily from middle office solutions and data solutions.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Buy-side and Sell-side Organic ASV Growth</w:t>
      </w:r>
    </w:p>
    <w:p>
      <w:pPr>
        <w:spacing w:after="0" w:line="164"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5"/>
          <w:szCs w:val="15"/>
          <w:color w:val="auto"/>
        </w:rPr>
        <w:t>The buy-side and sell-side Organic ASV annual growth rates as of May 31, 2024 were 5.3% and 3.7%, respectively. Buy-side clients account for approximately 82% of our Organic ASV, consistent with the prior year period, and primarily include institutional asset managers, wealth managers, asset owners, partners, hedge funds and corporate clients. The remainder of our Organic ASV is derived from sell-side firms and primarily include broker-dealers, banking and advisory, and private equity and venture capital firms.</w:t>
      </w: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and User Additions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The table below presents our total clients and users:</w:t>
            </w:r>
          </w:p>
        </w:tc>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8"/>
        </w:trPr>
        <w:tc>
          <w:tcPr>
            <w:tcW w:w="7040" w:type="dxa"/>
            <w:vAlign w:val="bottom"/>
            <w:tcBorders>
              <w:bottom w:val="single" w:sz="8" w:color="auto"/>
            </w:tcBorders>
          </w:tcPr>
          <w:p>
            <w:pPr>
              <w:ind w:left="5800"/>
              <w:spacing w:after="0"/>
              <w:rPr>
                <w:sz w:val="20"/>
                <w:szCs w:val="20"/>
                <w:color w:val="auto"/>
              </w:rPr>
            </w:pPr>
            <w:r>
              <w:rPr>
                <w:rFonts w:ascii="Times New Roman" w:cs="Times New Roman" w:eastAsia="Times New Roman" w:hAnsi="Times New Roman"/>
                <w:sz w:val="15"/>
                <w:szCs w:val="15"/>
                <w:color w:val="auto"/>
              </w:rPr>
              <w:t>As of May 31, 2024</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As of May 31, 2023</w:t>
            </w: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Change</w:t>
            </w:r>
          </w:p>
        </w:tc>
      </w:tr>
      <w:tr>
        <w:trPr>
          <w:trHeight w:val="186"/>
        </w:trPr>
        <w:tc>
          <w:tcPr>
            <w:tcW w:w="70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5"/>
                <w:szCs w:val="15"/>
                <w:color w:val="auto"/>
              </w:rPr>
              <w:t>Clients</w:t>
            </w:r>
            <w:r>
              <w:rPr>
                <w:rFonts w:ascii="Times New Roman" w:cs="Times New Roman" w:eastAsia="Times New Roman" w:hAnsi="Times New Roman"/>
                <w:sz w:val="19"/>
                <w:szCs w:val="19"/>
                <w:color w:val="auto"/>
                <w:vertAlign w:val="superscript"/>
              </w:rPr>
              <w:t>(1)</w:t>
            </w:r>
          </w:p>
        </w:tc>
        <w:tc>
          <w:tcPr>
            <w:tcW w:w="2400" w:type="dxa"/>
            <w:vAlign w:val="bottom"/>
            <w:shd w:val="clear" w:color="auto" w:fill="CCEEFF"/>
          </w:tcPr>
          <w:p>
            <w:pPr>
              <w:jc w:val="right"/>
              <w:ind w:right="1804"/>
              <w:spacing w:after="0"/>
              <w:rPr>
                <w:sz w:val="20"/>
                <w:szCs w:val="20"/>
                <w:color w:val="auto"/>
              </w:rPr>
            </w:pPr>
            <w:r>
              <w:rPr>
                <w:rFonts w:ascii="Times New Roman" w:cs="Times New Roman" w:eastAsia="Times New Roman" w:hAnsi="Times New Roman"/>
                <w:sz w:val="15"/>
                <w:szCs w:val="15"/>
                <w:color w:val="auto"/>
              </w:rPr>
              <w:t>8,029</w:t>
            </w:r>
          </w:p>
        </w:tc>
        <w:tc>
          <w:tcPr>
            <w:tcW w:w="7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7,770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r>
      <w:tr>
        <w:trPr>
          <w:trHeight w:val="198"/>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Users</w:t>
            </w:r>
          </w:p>
        </w:tc>
        <w:tc>
          <w:tcPr>
            <w:tcW w:w="2400" w:type="dxa"/>
            <w:vAlign w:val="bottom"/>
          </w:tcPr>
          <w:p>
            <w:pPr>
              <w:jc w:val="right"/>
              <w:ind w:right="1804"/>
              <w:spacing w:after="0"/>
              <w:rPr>
                <w:sz w:val="20"/>
                <w:szCs w:val="20"/>
                <w:color w:val="auto"/>
              </w:rPr>
            </w:pPr>
            <w:r>
              <w:rPr>
                <w:rFonts w:ascii="Times New Roman" w:cs="Times New Roman" w:eastAsia="Times New Roman" w:hAnsi="Times New Roman"/>
                <w:sz w:val="15"/>
                <w:szCs w:val="15"/>
                <w:color w:val="auto"/>
              </w:rPr>
              <w:t>208,140</w:t>
            </w:r>
          </w:p>
        </w:tc>
        <w:tc>
          <w:tcPr>
            <w:tcW w:w="7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187,845</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10.8 %</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client count includes clients with ASV of $10,000 and above.</w:t>
      </w:r>
    </w:p>
    <w:p>
      <w:pPr>
        <w:spacing w:after="0" w:line="1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Our total client count was 8,029 as of May 31, 2024, a net increase of 3.3% or 259 clients in the last 12 months, mainly due to an increase in corporate clients and, to a lesser extent, wealth management clients.</w:t>
      </w:r>
    </w:p>
    <w:p>
      <w:pPr>
        <w:spacing w:after="0" w:line="9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As of May 31, 2024, there were 208,140 professionals using FactSet, representing a net increase of 10.8% or 20,295 users in the last 12 months, primarily driven by an increase in wealth users.</w:t>
      </w:r>
    </w:p>
    <w:p>
      <w:pPr>
        <w:spacing w:after="0" w:line="9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Annual ASV retention was greater than 95% of ASV for the period ended May 31, 2024 and May 31, 2023. When expressed as a percentage of clients, annual retention was approximately 90% for the period ended May 31, 2024, compared with approximately 92% for the period ended May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Headcount</w:t>
      </w:r>
    </w:p>
    <w:p>
      <w:pPr>
        <w:spacing w:after="0" w:line="1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As of May 31, 2024, our net employee headcount increased by 1.6% to 12,262, compared with 12,072 employees as of May 31, 2023. This net headcount growth was primarily due to our continued investment in our centers of excellence ("COEs"), particularly through expanding our talent pool in our India and Philippines locations. Our COEs account for approximately 68% of our employees.</w:t>
      </w:r>
    </w:p>
    <w:p>
      <w:pPr>
        <w:spacing w:after="0" w:line="11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As of May 31, 2024 compared to May 31, 2023, our net headcount growth in Asia Pacific was 5.4%, while the Americas and EMEA experienced a net headcount decrease of 7.9% and 3.3%, respectively. As of May 31, 2024, we had 8,521 employees located in Asia Pacific, 2,343 in the Americas and 1,398 in EMEA.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For an understanding of the significant factors that influenced our performance for the three and nine months ended May 31, 2024 and May 31, 2023, the following discussion should be read in conjunction with the Consolidated Financial Statements and related Notes presented in Part I, Item 1. in this Quarterly Report on Form 10-Q.</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results of operations for the periods described: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3"/>
          </w:tcPr>
          <w:p>
            <w:pPr>
              <w:jc w:val="right"/>
              <w:ind w:right="564"/>
              <w:spacing w:after="0"/>
              <w:rPr>
                <w:sz w:val="20"/>
                <w:szCs w:val="20"/>
                <w:color w:val="auto"/>
              </w:rPr>
            </w:pPr>
            <w:r>
              <w:rPr>
                <w:rFonts w:ascii="Times New Roman" w:cs="Times New Roman" w:eastAsia="Times New Roman" w:hAnsi="Times New Roman"/>
                <w:sz w:val="15"/>
                <w:szCs w:val="15"/>
                <w:color w:val="auto"/>
              </w:rPr>
              <w:t>Three Months Ended</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3"/>
          </w:tcPr>
          <w:p>
            <w:pPr>
              <w:jc w:val="right"/>
              <w:ind w:right="584"/>
              <w:spacing w:after="0"/>
              <w:rPr>
                <w:sz w:val="20"/>
                <w:szCs w:val="20"/>
                <w:color w:val="auto"/>
              </w:rPr>
            </w:pPr>
            <w:r>
              <w:rPr>
                <w:rFonts w:ascii="Times New Roman" w:cs="Times New Roman" w:eastAsia="Times New Roman" w:hAnsi="Times New Roman"/>
                <w:sz w:val="15"/>
                <w:szCs w:val="15"/>
                <w:color w:val="auto"/>
              </w:rPr>
              <w:t>Nine Months Ended</w:t>
            </w:r>
          </w:p>
        </w:tc>
        <w:tc>
          <w:tcPr>
            <w:tcW w:w="1060" w:type="dxa"/>
            <w:vAlign w:val="bottom"/>
          </w:tcPr>
          <w:p>
            <w:pPr>
              <w:spacing w:after="0"/>
              <w:rPr>
                <w:sz w:val="17"/>
                <w:szCs w:val="17"/>
                <w:color w:val="auto"/>
              </w:rPr>
            </w:pPr>
          </w:p>
        </w:tc>
      </w:tr>
      <w:tr>
        <w:trPr>
          <w:trHeight w:val="229"/>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May 31,</w:t>
            </w: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May 31,</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2023</w:t>
            </w:r>
          </w:p>
        </w:tc>
        <w:tc>
          <w:tcPr>
            <w:tcW w:w="1300" w:type="dxa"/>
            <w:vAlign w:val="bottom"/>
            <w:tcBorders>
              <w:bottom w:val="single" w:sz="8" w:color="auto"/>
            </w:tcBorders>
            <w:gridSpan w:val="2"/>
          </w:tcPr>
          <w:p>
            <w:pPr>
              <w:jc w:val="right"/>
              <w:ind w:right="384"/>
              <w:spacing w:after="0"/>
              <w:rPr>
                <w:sz w:val="20"/>
                <w:szCs w:val="20"/>
                <w:color w:val="auto"/>
              </w:rPr>
            </w:pPr>
            <w:r>
              <w:rPr>
                <w:rFonts w:ascii="Times New Roman" w:cs="Times New Roman" w:eastAsia="Times New Roman" w:hAnsi="Times New Roman"/>
                <w:sz w:val="15"/>
                <w:szCs w:val="15"/>
                <w:color w:val="auto"/>
              </w:rPr>
              <w:t>% Change</w:t>
            </w: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10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 Change</w:t>
            </w:r>
          </w:p>
        </w:tc>
      </w:tr>
      <w:tr>
        <w:trPr>
          <w:trHeight w:val="18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552,708</w:t>
            </w:r>
          </w:p>
        </w:tc>
        <w:tc>
          <w:tcPr>
            <w:tcW w:w="40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529,811</w:t>
            </w:r>
          </w:p>
        </w:tc>
        <w:tc>
          <w:tcPr>
            <w:tcW w:w="13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4.3 %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1,640,869</w:t>
            </w: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1,549,711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r>
      <w:tr>
        <w:trPr>
          <w:trHeight w:val="195"/>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Cost of services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246,986</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241,689</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753,749</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709,537</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6.2 %</w:t>
            </w:r>
          </w:p>
        </w:tc>
      </w:tr>
      <w:tr>
        <w:trPr>
          <w:trHeight w:val="19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103,098</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312,616</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325,903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95"/>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Asset impairments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8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202,459</w:t>
            </w:r>
          </w:p>
        </w:tc>
        <w:tc>
          <w:tcPr>
            <w:tcW w:w="40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171,959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17.7 %</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573,441</w:t>
            </w: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513,104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11.8 %</w:t>
            </w:r>
          </w:p>
        </w:tc>
      </w:tr>
      <w:tr>
        <w:trPr>
          <w:trHeight w:val="229"/>
        </w:trPr>
        <w:tc>
          <w:tcPr>
            <w:tcW w:w="4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18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158,135</w:t>
            </w:r>
          </w:p>
        </w:tc>
        <w:tc>
          <w:tcPr>
            <w:tcW w:w="40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134,663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17.4 %</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447,630</w:t>
            </w: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403,054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11.1 %</w:t>
            </w:r>
          </w:p>
        </w:tc>
      </w:t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Diluted weighted average common shares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38,640</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38,912</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38,644</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38,936</w:t>
            </w:r>
          </w:p>
        </w:tc>
        <w:tc>
          <w:tcPr>
            <w:tcW w:w="1060" w:type="dxa"/>
            <w:vAlign w:val="bottom"/>
          </w:tcPr>
          <w:p>
            <w:pPr>
              <w:spacing w:after="0"/>
              <w:rPr>
                <w:sz w:val="16"/>
                <w:szCs w:val="16"/>
                <w:color w:val="auto"/>
              </w:rPr>
            </w:pPr>
          </w:p>
        </w:tc>
      </w:tr>
      <w:tr>
        <w:trPr>
          <w:trHeight w:val="195"/>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Diluted EPS</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40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3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18.2 %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11.9 %</w:t>
            </w:r>
          </w:p>
        </w:tc>
      </w:tr>
      <w:tr>
        <w:trPr>
          <w:trHeight w:val="883"/>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95"/>
        </w:trPr>
        <w:tc>
          <w:tcPr>
            <w:tcW w:w="4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Three months ended May 31, 2024 compared with three months ended May 31, 2023</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Revenues for the three months ended May 31, 2024 were $552.7 million, an increase of 4.3%. This growth in revenues of 4.3% was reflective of a 4.5% increase in organic revenues, partially offset by a 0.2% decrease from foreign currency exchange rate fluctuations. Organic revenues increased to $553.4 million for the three months ended May 31, 2024. Revenues increased in all our segments, primarily in the Americas and, to a lesser extent, EMEA and Asia Pacific.</w:t>
      </w:r>
    </w:p>
    <w:p>
      <w:pPr>
        <w:spacing w:after="0" w:line="11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The increase in revenues was driven by increased sales to existing clients and, to a lesser extent, price increases to existing clients and sales to new clients, partially offset by existing client cancellations. Revenues increased due to higher demand and price increases primarily from workstations, data solutions and middle office solutions.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Nine months ended May 31, 2024 compared with nine months ended May 31, 2023</w:t>
      </w:r>
    </w:p>
    <w:p>
      <w:pPr>
        <w:spacing w:after="0" w:line="2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Revenues for the nine months ended May 31, 2024 were $1,640.9 million, an increase of 5.9%. This growth in revenues was reflective of organic revenues growth of 5.9%, with organic revenues increasing to $1,641.0 for the nine months ended May 31, 2024. Revenues increased in all our geographic segments, primarily in the Americas and, to a lesser extent, EMEA and Asia Pacific.</w:t>
      </w:r>
    </w:p>
    <w:p>
      <w:pPr>
        <w:spacing w:after="0" w:line="15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The increase in revenues was mainly due to increased sales to existing clients and, to a lesser extent, price increases to existing clients and sales to new clients, partially offset by existing client cancellations. Revenues increased due to higher demand and price increases primarily from workstations, data solutions and middle office solutions.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Revenues by Segment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our revenues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3"/>
          </w:tcPr>
          <w:p>
            <w:pPr>
              <w:jc w:val="right"/>
              <w:ind w:right="744"/>
              <w:spacing w:after="0"/>
              <w:rPr>
                <w:sz w:val="20"/>
                <w:szCs w:val="20"/>
                <w:color w:val="auto"/>
              </w:rPr>
            </w:pPr>
            <w:r>
              <w:rPr>
                <w:rFonts w:ascii="Times New Roman" w:cs="Times New Roman" w:eastAsia="Times New Roman" w:hAnsi="Times New Roman"/>
                <w:sz w:val="15"/>
                <w:szCs w:val="15"/>
                <w:color w:val="auto"/>
              </w:rPr>
              <w:t>Three Months Ended</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0" w:type="dxa"/>
            <w:vAlign w:val="bottom"/>
            <w:gridSpan w:val="3"/>
          </w:tcPr>
          <w:p>
            <w:pPr>
              <w:jc w:val="right"/>
              <w:ind w:right="784"/>
              <w:spacing w:after="0"/>
              <w:rPr>
                <w:sz w:val="20"/>
                <w:szCs w:val="20"/>
                <w:color w:val="auto"/>
              </w:rPr>
            </w:pPr>
            <w:r>
              <w:rPr>
                <w:rFonts w:ascii="Times New Roman" w:cs="Times New Roman" w:eastAsia="Times New Roman" w:hAnsi="Times New Roman"/>
                <w:sz w:val="15"/>
                <w:szCs w:val="15"/>
                <w:color w:val="auto"/>
              </w:rPr>
              <w:t>Nine Months Ended</w:t>
            </w:r>
          </w:p>
        </w:tc>
        <w:tc>
          <w:tcPr>
            <w:tcW w:w="1100" w:type="dxa"/>
            <w:vAlign w:val="bottom"/>
          </w:tcPr>
          <w:p>
            <w:pPr>
              <w:spacing w:after="0"/>
              <w:rPr>
                <w:sz w:val="17"/>
                <w:szCs w:val="17"/>
                <w:color w:val="auto"/>
              </w:rPr>
            </w:pPr>
          </w:p>
        </w:tc>
      </w:tr>
      <w:tr>
        <w:trPr>
          <w:trHeight w:val="229"/>
        </w:trPr>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May 31,</w:t>
            </w: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May 31,</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(dollar amounts 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2023</w:t>
            </w:r>
          </w:p>
        </w:tc>
        <w:tc>
          <w:tcPr>
            <w:tcW w:w="1440" w:type="dxa"/>
            <w:vAlign w:val="bottom"/>
            <w:tcBorders>
              <w:bottom w:val="single" w:sz="8" w:color="auto"/>
            </w:tcBorders>
            <w:gridSpan w:val="2"/>
          </w:tcPr>
          <w:p>
            <w:pPr>
              <w:jc w:val="right"/>
              <w:ind w:right="504"/>
              <w:spacing w:after="0"/>
              <w:rPr>
                <w:sz w:val="20"/>
                <w:szCs w:val="20"/>
                <w:color w:val="auto"/>
              </w:rPr>
            </w:pPr>
            <w:r>
              <w:rPr>
                <w:rFonts w:ascii="Times New Roman" w:cs="Times New Roman" w:eastAsia="Times New Roman" w:hAnsi="Times New Roman"/>
                <w:sz w:val="15"/>
                <w:szCs w:val="15"/>
                <w:color w:val="auto"/>
              </w:rPr>
              <w:t>% Change</w:t>
            </w: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2023</w:t>
            </w: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 Change</w:t>
            </w:r>
          </w:p>
        </w:tc>
      </w:tr>
      <w:tr>
        <w:trPr>
          <w:trHeight w:val="18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Americas</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356,468</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337,691</w:t>
            </w:r>
          </w:p>
        </w:tc>
        <w:tc>
          <w:tcPr>
            <w:tcW w:w="14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5.6 % $</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1,057,453</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992,179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r>
      <w:tr>
        <w:trPr>
          <w:trHeight w:val="195"/>
        </w:trPr>
        <w:tc>
          <w:tcPr>
            <w:tcW w:w="3200" w:type="dxa"/>
            <w:vAlign w:val="bottom"/>
          </w:tcPr>
          <w:p>
            <w:pPr>
              <w:ind w:left="560"/>
              <w:spacing w:after="0"/>
              <w:rPr>
                <w:sz w:val="20"/>
                <w:szCs w:val="20"/>
                <w:color w:val="auto"/>
              </w:rPr>
            </w:pPr>
            <w:r>
              <w:rPr>
                <w:rFonts w:ascii="Times New Roman" w:cs="Times New Roman" w:eastAsia="Times New Roman" w:hAnsi="Times New Roman"/>
                <w:sz w:val="15"/>
                <w:szCs w:val="15"/>
                <w:i w:val="1"/>
                <w:iCs w:val="1"/>
                <w:color w:val="auto"/>
              </w:rPr>
              <w:t>% of revenues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64.5 %</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63.8 %</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64.4 %</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64.0 %</w:t>
            </w:r>
          </w:p>
        </w:tc>
        <w:tc>
          <w:tcPr>
            <w:tcW w:w="1100" w:type="dxa"/>
            <w:vAlign w:val="bottom"/>
          </w:tcPr>
          <w:p>
            <w:pPr>
              <w:spacing w:after="0"/>
              <w:rPr>
                <w:sz w:val="16"/>
                <w:szCs w:val="16"/>
                <w:color w:val="auto"/>
              </w:rPr>
            </w:pPr>
          </w:p>
        </w:tc>
      </w:tr>
      <w:tr>
        <w:trPr>
          <w:trHeight w:val="19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EMEA</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141,279</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137,973</w:t>
            </w:r>
          </w:p>
        </w:tc>
        <w:tc>
          <w:tcPr>
            <w:tcW w:w="14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2.4 % $</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420,016</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401,219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4.7 %</w:t>
            </w:r>
          </w:p>
        </w:tc>
      </w:tr>
      <w:tr>
        <w:trPr>
          <w:trHeight w:val="195"/>
        </w:trPr>
        <w:tc>
          <w:tcPr>
            <w:tcW w:w="3200" w:type="dxa"/>
            <w:vAlign w:val="bottom"/>
          </w:tcPr>
          <w:p>
            <w:pPr>
              <w:ind w:left="560"/>
              <w:spacing w:after="0"/>
              <w:rPr>
                <w:sz w:val="20"/>
                <w:szCs w:val="20"/>
                <w:color w:val="auto"/>
              </w:rPr>
            </w:pPr>
            <w:r>
              <w:rPr>
                <w:rFonts w:ascii="Times New Roman" w:cs="Times New Roman" w:eastAsia="Times New Roman" w:hAnsi="Times New Roman"/>
                <w:sz w:val="15"/>
                <w:szCs w:val="15"/>
                <w:i w:val="1"/>
                <w:iCs w:val="1"/>
                <w:color w:val="auto"/>
              </w:rPr>
              <w:t>% of revenues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25.6 %</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26.0 %</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25.6 %</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25.9 %</w:t>
            </w:r>
          </w:p>
        </w:tc>
        <w:tc>
          <w:tcPr>
            <w:tcW w:w="1100" w:type="dxa"/>
            <w:vAlign w:val="bottom"/>
          </w:tcPr>
          <w:p>
            <w:pPr>
              <w:spacing w:after="0"/>
              <w:rPr>
                <w:sz w:val="16"/>
                <w:szCs w:val="16"/>
                <w:color w:val="auto"/>
              </w:rPr>
            </w:pPr>
          </w:p>
        </w:tc>
      </w:tr>
      <w:tr>
        <w:trPr>
          <w:trHeight w:val="19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Asia Pacific</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54,961</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54,147</w:t>
            </w:r>
          </w:p>
        </w:tc>
        <w:tc>
          <w:tcPr>
            <w:tcW w:w="14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1.5 % $</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163,400</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156,313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4.5 %</w:t>
            </w:r>
          </w:p>
        </w:tc>
      </w:tr>
      <w:tr>
        <w:trPr>
          <w:trHeight w:val="195"/>
        </w:trPr>
        <w:tc>
          <w:tcPr>
            <w:tcW w:w="32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i w:val="1"/>
                <w:iCs w:val="1"/>
                <w:color w:val="auto"/>
              </w:rPr>
              <w:t>% of revenues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9.9 %</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10.2 %</w:t>
            </w:r>
          </w:p>
        </w:tc>
        <w:tc>
          <w:tcPr>
            <w:tcW w:w="1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10.0 %</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10.1 %</w:t>
            </w:r>
          </w:p>
        </w:tc>
        <w:tc>
          <w:tcPr>
            <w:tcW w:w="1100" w:type="dxa"/>
            <w:vAlign w:val="bottom"/>
            <w:tcBorders>
              <w:bottom w:val="single" w:sz="8" w:color="CCEEFF"/>
            </w:tcBorders>
          </w:tcPr>
          <w:p>
            <w:pPr>
              <w:spacing w:after="0"/>
              <w:rPr>
                <w:sz w:val="16"/>
                <w:szCs w:val="16"/>
                <w:color w:val="auto"/>
              </w:rPr>
            </w:pPr>
          </w:p>
        </w:tc>
      </w:tr>
      <w:tr>
        <w:trPr>
          <w:trHeight w:val="18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Consolidated</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552,708</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529,811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1,640,869</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1,549,711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Three months ended May 31, 2024 compared with three months ended May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Americas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Americas revenues increased 5.6% to $356.5 million during the three months ended May 31, 2024, compared with $337.7 million from the same period a year ago. This growth in revenues was primarily reflective of organic revenues growth of 5.5%. The increase in revenues was driven by higher demand and price increases primarily from workstations and CGS subscriptions.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EMEA</w:t>
      </w:r>
    </w:p>
    <w:p>
      <w:pPr>
        <w:spacing w:after="0" w:line="1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EMEA revenues increased 2.4% to $141.2 million during the three months ended May 31, 2024, compared with $138.0 million from the same period a year ago. This growth in revenues was reflective of organic revenues growth of a 2.4%. The increase in revenues was driven by higher demand and price increases primarily from data solutions and middle office solutions.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Asia Pacific</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Asia Pacific revenues increased 1.5% to $55.0 million during the three months ended May 31, 2024, compared with $54.1 million from the same period a year ago. This growth in revenues of 1.5% was reflective of a 3.0% increase in organic</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revenues, partially offset by a 1.5% decrease from foreign currency exchange rate fluctuations. The increase in revenues was driven by higher demand and price increases primarily from data solutions, workstations and middle office solutions.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Nine months ended May 31, 2024 compared with nine months ended May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Americas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Revenues from the Americas increased 6.6% to $1,057.5 million during the nine months ended May 31, 2024, compared with $992.2 million from the same period a year ago. This growth in revenues was primarily driven by organic revenues growth of 6.5%. The increase in revenues was driven by higher demand and price increases primarily from workstations and, to a lesser extent, CGS subscriptions, data solutions and middle office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EMEA</w:t>
      </w:r>
    </w:p>
    <w:p>
      <w:pPr>
        <w:spacing w:after="0" w:line="16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Revenues from EMEA increased 4.7% to $420.0 million during the nine months ended May 31, 2024, compared with $401.2 million from the same period a year ago. This growth in revenues of 4.7% was reflective of a 4.4% increase in organic revenues and a 0.3% benefit from foreign currency exchange rate fluctuations. The increase in revenues was driven by higher demand and price increases primarily from data solutions and middle office solutions.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Asia Pacific</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Revenues from Asia Pacific increased 4.5% to $163.4 million during the nine months ended May 31, 2024, compared with $156.3 million from the same period a year ago. This growth in revenues of 4.5% was reflective of a 5.6% increase in organic revenues, partially offset by a 1.1% decrease from foreign currency exchange rate fluctuations. The increase in revenues was driven by higher demand and price increases primarily from workstations and data solutions.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Operating Expenses</w:t>
      </w:r>
    </w:p>
    <w:p>
      <w:pPr>
        <w:spacing w:after="0" w:line="1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b w:val="1"/>
          <w:bCs w:val="1"/>
          <w:color w:val="auto"/>
        </w:rPr>
        <w:t xml:space="preserve">Cost of services </w:t>
      </w:r>
      <w:r>
        <w:rPr>
          <w:rFonts w:ascii="Times New Roman" w:cs="Times New Roman" w:eastAsia="Times New Roman" w:hAnsi="Times New Roman"/>
          <w:sz w:val="15"/>
          <w:szCs w:val="15"/>
          <w:color w:val="auto"/>
        </w:rPr>
        <w:t>is mainly comprised of employee compensation costs and also includes expenses related to data costs, computer-related expenses, amortization of intangible assets,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royalty fees, client-related communication costs and computer depreciation.</w:t>
      </w:r>
    </w:p>
    <w:p>
      <w:pPr>
        <w:spacing w:after="0" w:line="9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b w:val="1"/>
          <w:bCs w:val="1"/>
          <w:color w:val="auto"/>
        </w:rPr>
        <w:t xml:space="preserve">Selling, general and administrative ("SG&amp;A") </w:t>
      </w:r>
      <w:r>
        <w:rPr>
          <w:rFonts w:ascii="Times New Roman" w:cs="Times New Roman" w:eastAsia="Times New Roman" w:hAnsi="Times New Roman"/>
          <w:sz w:val="15"/>
          <w:szCs w:val="15"/>
          <w:color w:val="auto"/>
        </w:rPr>
        <w:t>consists primarily of employee compensation costs and also includes expenses related to occupancy costs, professional fees,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depreciation of furniture and fixtures, amortization of leasehold improvements, travel and entertainment expenses, marketing costs, other employee-related expenses, internal communication costs and bad debt expense.</w:t>
      </w:r>
    </w:p>
    <w:p>
      <w:pPr>
        <w:spacing w:after="0" w:line="1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Asset impairments </w:t>
      </w:r>
      <w:r>
        <w:rPr>
          <w:rFonts w:ascii="Times New Roman" w:cs="Times New Roman" w:eastAsia="Times New Roman" w:hAnsi="Times New Roman"/>
          <w:sz w:val="15"/>
          <w:szCs w:val="15"/>
          <w:color w:val="auto"/>
        </w:rPr>
        <w:t>consist primarily of expenses recognized when the carrying value of an asset exceeds its fair value.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components of our total operating expenses and operating margin: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3"/>
          </w:tcPr>
          <w:p>
            <w:pPr>
              <w:jc w:val="right"/>
              <w:ind w:right="644"/>
              <w:spacing w:after="0"/>
              <w:rPr>
                <w:sz w:val="20"/>
                <w:szCs w:val="20"/>
                <w:color w:val="auto"/>
              </w:rPr>
            </w:pPr>
            <w:r>
              <w:rPr>
                <w:rFonts w:ascii="Times New Roman" w:cs="Times New Roman" w:eastAsia="Times New Roman" w:hAnsi="Times New Roman"/>
                <w:sz w:val="15"/>
                <w:szCs w:val="15"/>
                <w:color w:val="auto"/>
              </w:rPr>
              <w:t>Three Months Ended</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3"/>
          </w:tcPr>
          <w:p>
            <w:pPr>
              <w:jc w:val="center"/>
              <w:ind w:right="244"/>
              <w:spacing w:after="0"/>
              <w:rPr>
                <w:sz w:val="20"/>
                <w:szCs w:val="20"/>
                <w:color w:val="auto"/>
              </w:rPr>
            </w:pPr>
            <w:r>
              <w:rPr>
                <w:rFonts w:ascii="Times New Roman" w:cs="Times New Roman" w:eastAsia="Times New Roman" w:hAnsi="Times New Roman"/>
                <w:sz w:val="15"/>
                <w:szCs w:val="15"/>
                <w:color w:val="auto"/>
              </w:rPr>
              <w:t>Nine Months Ended</w:t>
            </w:r>
          </w:p>
        </w:tc>
        <w:tc>
          <w:tcPr>
            <w:tcW w:w="1120" w:type="dxa"/>
            <w:vAlign w:val="bottom"/>
          </w:tcPr>
          <w:p>
            <w:pPr>
              <w:spacing w:after="0"/>
              <w:rPr>
                <w:sz w:val="17"/>
                <w:szCs w:val="17"/>
                <w:color w:val="auto"/>
              </w:rPr>
            </w:pPr>
          </w:p>
        </w:tc>
      </w:tr>
      <w:tr>
        <w:trPr>
          <w:trHeight w:val="229"/>
        </w:trPr>
        <w:tc>
          <w:tcPr>
            <w:tcW w:w="3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center"/>
              <w:ind w:left="644"/>
              <w:spacing w:after="0"/>
              <w:rPr>
                <w:sz w:val="20"/>
                <w:szCs w:val="20"/>
                <w:color w:val="auto"/>
              </w:rPr>
            </w:pPr>
            <w:r>
              <w:rPr>
                <w:rFonts w:ascii="Times New Roman" w:cs="Times New Roman" w:eastAsia="Times New Roman" w:hAnsi="Times New Roman"/>
                <w:sz w:val="15"/>
                <w:szCs w:val="15"/>
                <w:color w:val="auto"/>
              </w:rPr>
              <w:t>May 31,</w:t>
            </w: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(dollar amounts 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2023</w:t>
            </w: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 Change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2024</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2023</w:t>
            </w:r>
          </w:p>
        </w:tc>
        <w:tc>
          <w:tcPr>
            <w:tcW w:w="11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 Change</w:t>
            </w:r>
          </w:p>
        </w:tc>
      </w:tr>
      <w:tr>
        <w:trPr>
          <w:trHeight w:val="18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services</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246,986</w:t>
            </w: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241,689</w:t>
            </w:r>
          </w:p>
        </w:tc>
        <w:tc>
          <w:tcPr>
            <w:tcW w:w="14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2.2 % $</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753,749</w:t>
            </w:r>
          </w:p>
        </w:tc>
        <w:tc>
          <w:tcPr>
            <w:tcW w:w="440" w:type="dxa"/>
            <w:vAlign w:val="bottom"/>
            <w:shd w:val="clear" w:color="auto" w:fill="CCEEFF"/>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709,537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6.2 %</w:t>
            </w:r>
          </w:p>
        </w:tc>
      </w:tr>
      <w:tr>
        <w:trPr>
          <w:trHeight w:val="195"/>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SG&amp;A</w:t>
            </w:r>
          </w:p>
        </w:tc>
        <w:tc>
          <w:tcPr>
            <w:tcW w:w="300" w:type="dxa"/>
            <w:vAlign w:val="bottom"/>
          </w:tcPr>
          <w:p>
            <w:pPr>
              <w:spacing w:after="0"/>
              <w:rPr>
                <w:sz w:val="16"/>
                <w:szCs w:val="16"/>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103,098</w:t>
            </w:r>
          </w:p>
        </w:tc>
        <w:tc>
          <w:tcPr>
            <w:tcW w:w="400" w:type="dxa"/>
            <w:vAlign w:val="bottom"/>
          </w:tcPr>
          <w:p>
            <w:pPr>
              <w:spacing w:after="0"/>
              <w:rPr>
                <w:sz w:val="16"/>
                <w:szCs w:val="16"/>
                <w:color w:val="auto"/>
              </w:rPr>
            </w:pP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115,725</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320" w:type="dxa"/>
            <w:vAlign w:val="bottom"/>
          </w:tcPr>
          <w:p>
            <w:pPr>
              <w:spacing w:after="0"/>
              <w:rPr>
                <w:sz w:val="16"/>
                <w:szCs w:val="16"/>
                <w:color w:val="auto"/>
              </w:rPr>
            </w:pP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312,616</w:t>
            </w:r>
          </w:p>
        </w:tc>
        <w:tc>
          <w:tcPr>
            <w:tcW w:w="44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325,903</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95"/>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 impairments</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165</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1,063</w:t>
            </w: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86"/>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350,249</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357,852</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1,067,428</w:t>
            </w:r>
          </w:p>
        </w:tc>
        <w:tc>
          <w:tcPr>
            <w:tcW w:w="440" w:type="dxa"/>
            <w:vAlign w:val="bottom"/>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1,036,607</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r>
      <w:tr>
        <w:trPr>
          <w:trHeight w:val="229"/>
        </w:trPr>
        <w:tc>
          <w:tcPr>
            <w:tcW w:w="3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5"/>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202,459</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171,959</w:t>
            </w: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17.7 % $</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573,441</w:t>
            </w:r>
          </w:p>
        </w:tc>
        <w:tc>
          <w:tcPr>
            <w:tcW w:w="440" w:type="dxa"/>
            <w:vAlign w:val="bottom"/>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513,104</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11.8 %</w:t>
            </w:r>
          </w:p>
        </w:tc>
      </w:tr>
      <w:tr>
        <w:trPr>
          <w:trHeight w:val="195"/>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Operating margin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36.6 %</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32.5 %</w:t>
            </w: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34.9 %</w:t>
            </w: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33.1 %</w:t>
            </w:r>
          </w:p>
        </w:tc>
        <w:tc>
          <w:tcPr>
            <w:tcW w:w="1120" w:type="dxa"/>
            <w:vAlign w:val="bottom"/>
            <w:shd w:val="clear" w:color="auto" w:fill="CCEEFF"/>
          </w:tcPr>
          <w:p>
            <w:pPr>
              <w:spacing w:after="0"/>
              <w:rPr>
                <w:sz w:val="16"/>
                <w:szCs w:val="16"/>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Cost of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Three months ended May 31, 2024 compared with three months ended May 31, 2023</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Cost of services increased 2.2% to $247.0 million for the three months ended May 31, 2024, compared with $241.7 million for the same period a year ago, primarily due to an increase in amortization of intangible assets and computer-related expenses, partially offset by a decrease in employee compensation costs.</w:t>
      </w:r>
    </w:p>
    <w:p>
      <w:pPr>
        <w:spacing w:after="0" w:line="9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Cost of services, when expressed as a percentage of revenues, was 44.7% for the three months ended May 31, 2024, a decrease of 90 basis points compared with the same period a year ago. This decrease was primarily due to lower employee compensation costs, partially offset by an increase in amortization of intangible assets and computer-related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When expressed as a percentage of revenues:</w:t>
      </w:r>
    </w:p>
    <w:p>
      <w:pPr>
        <w:spacing w:after="0" w:line="160" w:lineRule="exact"/>
        <w:rPr>
          <w:sz w:val="20"/>
          <w:szCs w:val="20"/>
          <w:color w:val="auto"/>
        </w:rPr>
      </w:pPr>
    </w:p>
    <w:p>
      <w:pPr>
        <w:ind w:left="540" w:hanging="273"/>
        <w:spacing w:after="0" w:line="287"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compensation costs decreased by 250 basis points primarily driven by a one-time payroll tax adjustment and a decrease in salaries. The decrease in salaries was primarily driven by higher capitalization of costs related to development of internal-use software.</w:t>
      </w:r>
    </w:p>
    <w:p>
      <w:pPr>
        <w:ind w:left="540" w:hanging="273"/>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Amortization of intangible assets increased 80 basis points mainly due to higher amortization from capitalized costs related to the development of our internal-use software.</w:t>
      </w:r>
    </w:p>
    <w:p>
      <w:pPr>
        <w:spacing w:after="0" w:line="56" w:lineRule="exact"/>
        <w:rPr>
          <w:rFonts w:ascii="Times New Roman" w:cs="Times New Roman" w:eastAsia="Times New Roman" w:hAnsi="Times New Roman"/>
          <w:sz w:val="15"/>
          <w:szCs w:val="15"/>
          <w:color w:val="auto"/>
        </w:rPr>
      </w:pPr>
    </w:p>
    <w:p>
      <w:pPr>
        <w:ind w:left="540" w:hanging="273"/>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Computer-related expenses increased 60 basis points primarily due to higher spending related to cloud-based hosting services and licensed software arrangements.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Nine months ended May 31, 2024 compared with nine months ended May 31, 2023</w:t>
      </w:r>
    </w:p>
    <w:p>
      <w:pPr>
        <w:spacing w:after="0" w:line="1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Cost of services increased 6.2% to $753.7 million for the nine months ended May 31, 2024, compared with $709.5 million in the same period a year ago, primarily due to an increase in employee compensation costs, amortization of intangible assets and computer-related expenses.</w:t>
      </w:r>
    </w:p>
    <w:p>
      <w:pPr>
        <w:spacing w:after="0" w:line="15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Cost of services, when expressed as a percentage of revenues, was 45.9% for the nine months ended May 31, 2024, an increase of 20 basis points compared with the same period a year ago. This increase was primarily driven by higher amortization of intangible assets and increases in the other expenses included in Costs of services outpacing the increase in revenues, partially offset by a decrease in employee compensation costs when expressed as a percentage of 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When expressed as a percentage of revenues:</w:t>
      </w:r>
    </w:p>
    <w:p>
      <w:pPr>
        <w:spacing w:after="0" w:line="218" w:lineRule="exact"/>
        <w:rPr>
          <w:sz w:val="20"/>
          <w:szCs w:val="20"/>
          <w:color w:val="auto"/>
        </w:rPr>
      </w:pPr>
    </w:p>
    <w:p>
      <w:pPr>
        <w:ind w:left="540" w:hanging="273"/>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Amortization of intangible assets increased 40 basis points mainly due to higher amortization from capitalized costs related to the development of our internal-use software.</w:t>
      </w:r>
    </w:p>
    <w:p>
      <w:pPr>
        <w:spacing w:after="0" w:line="25" w:lineRule="exact"/>
        <w:rPr>
          <w:rFonts w:ascii="Times New Roman" w:cs="Times New Roman" w:eastAsia="Times New Roman" w:hAnsi="Times New Roman"/>
          <w:sz w:val="15"/>
          <w:szCs w:val="15"/>
          <w:color w:val="auto"/>
        </w:rPr>
      </w:pPr>
    </w:p>
    <w:p>
      <w:pPr>
        <w:jc w:val="both"/>
        <w:ind w:left="540" w:hanging="273"/>
        <w:spacing w:after="0" w:line="260" w:lineRule="auto"/>
        <w:tabs>
          <w:tab w:leader="none" w:pos="536"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compensation costs decreased 60 basis points primarily due to revenues outpacing the increase in employee compensation costs and a decrease in variable compensation costs, partially offset by higher annual base salaries, net of capitalization of compensation costs related to the development of our internal-use software, and an increase in restructuring charges. The increase in annual base salaries was primarily driven by annual merit increases and a net headcount increase in Cost of services of 257, primarily located in our COEs.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Selling, General and Administrative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Three months ended May 31, 2024 compared with three months ended May 31, 2023</w:t>
      </w:r>
    </w:p>
    <w:p>
      <w:pPr>
        <w:spacing w:after="0" w:line="16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5"/>
          <w:szCs w:val="15"/>
          <w:color w:val="auto"/>
        </w:rPr>
        <w:t>SG&amp;A decreased 10.9% to $103.1 million for the three months ended May 31, 2024, compared with $115.7 million from the same period a year ago, primarily driven by lower employee compensation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SG&amp;A, when expressed as a percentage of revenues, was 18.7% for the three months ended May 31, 2024, a decrease of 320 basis points compared with the same period a year ago.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decrease was primarily driven by lower employee compensation costs, bad debt expense and occupancy costs, partially offset by an increase in marketing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When expressed as a percentage of revenues:</w:t>
      </w:r>
    </w:p>
    <w:p>
      <w:pPr>
        <w:spacing w:after="0" w:line="172" w:lineRule="exact"/>
        <w:rPr>
          <w:sz w:val="20"/>
          <w:szCs w:val="20"/>
          <w:color w:val="auto"/>
        </w:rPr>
      </w:pPr>
    </w:p>
    <w:p>
      <w:pPr>
        <w:ind w:left="540" w:hanging="273"/>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compensation costs decreased by 290 basis points primarily due to a decrease in variable compensation and payroll taxes.</w:t>
      </w:r>
    </w:p>
    <w:p>
      <w:pPr>
        <w:spacing w:after="0" w:line="25" w:lineRule="exact"/>
        <w:rPr>
          <w:rFonts w:ascii="Times New Roman" w:cs="Times New Roman" w:eastAsia="Times New Roman" w:hAnsi="Times New Roman"/>
          <w:sz w:val="15"/>
          <w:szCs w:val="15"/>
          <w:color w:val="auto"/>
        </w:rPr>
      </w:pPr>
    </w:p>
    <w:p>
      <w:pPr>
        <w:ind w:left="540" w:hanging="273"/>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Bad debt expense decreased by 60 basis points as the prior year included a higher expense from our estimated collectibility of outstanding receivables.</w:t>
      </w:r>
    </w:p>
    <w:p>
      <w:pPr>
        <w:spacing w:after="0" w:line="11" w:lineRule="exact"/>
        <w:rPr>
          <w:rFonts w:ascii="Times New Roman" w:cs="Times New Roman" w:eastAsia="Times New Roman" w:hAnsi="Times New Roman"/>
          <w:sz w:val="15"/>
          <w:szCs w:val="15"/>
          <w:color w:val="auto"/>
        </w:rPr>
      </w:pPr>
    </w:p>
    <w:p>
      <w:pPr>
        <w:ind w:left="540" w:hanging="273"/>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Occupancy costs decreased 50 basis points primarily due to exiting certain leased spaces in the prior year.</w:t>
      </w:r>
    </w:p>
    <w:p>
      <w:pPr>
        <w:spacing w:after="0" w:line="11" w:lineRule="exact"/>
        <w:rPr>
          <w:rFonts w:ascii="Times New Roman" w:cs="Times New Roman" w:eastAsia="Times New Roman" w:hAnsi="Times New Roman"/>
          <w:sz w:val="15"/>
          <w:szCs w:val="15"/>
          <w:color w:val="auto"/>
        </w:rPr>
      </w:pPr>
    </w:p>
    <w:p>
      <w:pPr>
        <w:ind w:left="540" w:hanging="273"/>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Marketing expense increased by 60 basis points primarily related to costs associated with a client symposium.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Nine months ended May 31, 2024 compared with nine months ended May 31, 2023</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SG&amp;A expenses decreased 4.1% to $312.6 million for the nine months ended May 31, 2024, compared with $325.9 million for the same period a year ago, primarily driven by lower employee compensation costs.</w:t>
      </w:r>
    </w:p>
    <w:p>
      <w:pPr>
        <w:spacing w:after="0" w:line="15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SG&amp;A expenses, when expressed as a percentage of revenues, were 19.1% for the nine months ended May 31, 2024, a decrease of 200 basis points compared with the same period a year ago. This decrease was primarily due to lower employee compensation costs mainly driven by a reduction in variable compensation expense.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Income and Operating Margin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Three months ended May 31, 2024 compared with three months ended May 31, 2023</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Operating income increased 17.7% to $202.5 million for the three months ended May 31, 2024, compared with $172.0 million in the prior year period. This increase was primarily driven by growth in revenues and a decrease in employee compensation costs, partially offset by an increase in amortization of intangible assets and computer-related expenses. Foreign currency exchange rate fluctuations, net of hedge activity, decreased operating income by $1.1 million for the three months ended May 31, 2024 compared with the three months ended May 31, 2023.</w:t>
      </w:r>
    </w:p>
    <w:p>
      <w:pPr>
        <w:spacing w:after="0" w:line="12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Operating margin increased to 36.6% during the three months ended May 31, 2024, compared with 32.5% in the prior year period. This increase was mainly due to growth in revenues and, when expressed as a percentage of revenues, a decrease in employee compensation costs and bad debt expense, partially offset by higher amortization of intangible assets, marketing costs and computer-related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Nine months ended May 31, 2024 compared with nine months ended May 31, 2023</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Operating income increased 11.8% to $573.4 million for the nine months ended May 31, 2024, compared with $513.1 million in the prior year period. This increase was primarily due to growth in revenues, partially offset by higher amortization of intangible assets, computer-related expenses and employee compensation costs. Foreign currency exchange rate fluctuations, net of hedge activity, decreased operating income by $1.5 million for the nine months ended May 31, 2024 compared with the nine months ended May 31, 2023.</w:t>
      </w:r>
    </w:p>
    <w:p>
      <w:pPr>
        <w:spacing w:after="0" w:line="12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Operating margin increased to 34.9% for the nine months ended May 31, 2024, compared with 33.1% in the prior year period. This increase was primarily due to growth in revenues and, when expressed as a percentage of revenue, a decrease in employee compensation costs, partially offset by higher amortization of intangible assets.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Income by Segment</w:t>
      </w:r>
    </w:p>
    <w:p>
      <w:pPr>
        <w:spacing w:after="0" w:line="17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5"/>
          <w:szCs w:val="15"/>
          <w:color w:val="auto"/>
        </w:rPr>
        <w:t xml:space="preserve">We operate our business through three segments: the Americas; EMEA; and Asia Pacific. Refer to Note 15, </w:t>
      </w:r>
      <w:r>
        <w:rPr>
          <w:rFonts w:ascii="Times New Roman" w:cs="Times New Roman" w:eastAsia="Times New Roman" w:hAnsi="Times New Roman"/>
          <w:sz w:val="15"/>
          <w:szCs w:val="15"/>
          <w:i w:val="1"/>
          <w:iCs w:val="1"/>
          <w:color w:val="auto"/>
        </w:rPr>
        <w:t>Segment Information</w:t>
      </w:r>
      <w:r>
        <w:rPr>
          <w:rFonts w:ascii="Times New Roman" w:cs="Times New Roman" w:eastAsia="Times New Roman" w:hAnsi="Times New Roman"/>
          <w:sz w:val="15"/>
          <w:szCs w:val="15"/>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3"/>
          </w:tcPr>
          <w:p>
            <w:pPr>
              <w:jc w:val="right"/>
              <w:ind w:right="564"/>
              <w:spacing w:after="0"/>
              <w:rPr>
                <w:sz w:val="20"/>
                <w:szCs w:val="20"/>
                <w:color w:val="auto"/>
              </w:rPr>
            </w:pPr>
            <w:r>
              <w:rPr>
                <w:rFonts w:ascii="Times New Roman" w:cs="Times New Roman" w:eastAsia="Times New Roman" w:hAnsi="Times New Roman"/>
                <w:sz w:val="15"/>
                <w:szCs w:val="15"/>
                <w:color w:val="auto"/>
              </w:rPr>
              <w:t>Three Months Ended</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3"/>
          </w:tcPr>
          <w:p>
            <w:pPr>
              <w:jc w:val="right"/>
              <w:ind w:right="624"/>
              <w:spacing w:after="0"/>
              <w:rPr>
                <w:sz w:val="20"/>
                <w:szCs w:val="20"/>
                <w:color w:val="auto"/>
              </w:rPr>
            </w:pPr>
            <w:r>
              <w:rPr>
                <w:rFonts w:ascii="Times New Roman" w:cs="Times New Roman" w:eastAsia="Times New Roman" w:hAnsi="Times New Roman"/>
                <w:sz w:val="15"/>
                <w:szCs w:val="15"/>
                <w:color w:val="auto"/>
              </w:rPr>
              <w:t>Nine Months Ended</w:t>
            </w:r>
          </w:p>
        </w:tc>
        <w:tc>
          <w:tcPr>
            <w:tcW w:w="1160" w:type="dxa"/>
            <w:vAlign w:val="bottom"/>
          </w:tcPr>
          <w:p>
            <w:pPr>
              <w:spacing w:after="0"/>
              <w:rPr>
                <w:sz w:val="17"/>
                <w:szCs w:val="17"/>
                <w:color w:val="auto"/>
              </w:rPr>
            </w:pPr>
          </w:p>
        </w:tc>
      </w:tr>
      <w:tr>
        <w:trPr>
          <w:trHeight w:val="229"/>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w:t>
            </w: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w:t>
            </w: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(dollar amounts 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2024</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1460" w:type="dxa"/>
            <w:vAlign w:val="bottom"/>
            <w:tcBorders>
              <w:bottom w:val="single" w:sz="8" w:color="auto"/>
            </w:tcBorders>
            <w:gridSpan w:val="2"/>
          </w:tcPr>
          <w:p>
            <w:pPr>
              <w:jc w:val="right"/>
              <w:ind w:right="484"/>
              <w:spacing w:after="0"/>
              <w:rPr>
                <w:sz w:val="20"/>
                <w:szCs w:val="20"/>
                <w:color w:val="auto"/>
              </w:rPr>
            </w:pPr>
            <w:r>
              <w:rPr>
                <w:rFonts w:ascii="Times New Roman" w:cs="Times New Roman" w:eastAsia="Times New Roman" w:hAnsi="Times New Roman"/>
                <w:sz w:val="15"/>
                <w:szCs w:val="15"/>
                <w:color w:val="auto"/>
              </w:rPr>
              <w:t>% Change</w:t>
            </w: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11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 Change</w:t>
            </w:r>
          </w:p>
        </w:tc>
      </w:tr>
      <w:tr>
        <w:trPr>
          <w:trHeight w:val="18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Americas</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87,696</w:t>
            </w:r>
          </w:p>
        </w:tc>
        <w:tc>
          <w:tcPr>
            <w:tcW w:w="4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79,005</w:t>
            </w:r>
          </w:p>
        </w:tc>
        <w:tc>
          <w:tcPr>
            <w:tcW w:w="14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11.0 %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250,255</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207,717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20.5 %</w:t>
            </w:r>
          </w:p>
        </w:tc>
      </w:tr>
      <w:tr>
        <w:trPr>
          <w:trHeight w:val="195"/>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EMEA</w:t>
            </w: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75,463</w:t>
            </w: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58,607</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28.8 %</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207,167</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194,870</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6.3 %</w:t>
            </w:r>
          </w:p>
        </w:tc>
      </w:tr>
      <w:tr>
        <w:trPr>
          <w:trHeight w:val="19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Asia Pacific</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39,300</w:t>
            </w:r>
          </w:p>
        </w:tc>
        <w:tc>
          <w:tcPr>
            <w:tcW w:w="4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34,347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14.4 %</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116,019</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110,517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r>
      <w:tr>
        <w:trPr>
          <w:trHeight w:val="190"/>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Total Operating Income</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202,459</w:t>
            </w:r>
          </w:p>
        </w:tc>
        <w:tc>
          <w:tcPr>
            <w:tcW w:w="4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171,959</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17.7 %</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573,441</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513,104</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11.8 %</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Three months ended May 31, 2024 compared with three months ended May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Americas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Americas operating income increased 11.0% to $87.7 million during the three months ended May 31, 2024, compared with $79.0 million in the same period a year ago. This increase was primarily due to growth in revenues of 5.6% and a decrease in employee compensation costs, partially offset by higher amortization of intangible assets and computer-related expenses.</w:t>
      </w:r>
    </w:p>
    <w:p>
      <w:pPr>
        <w:spacing w:after="0" w:line="349" w:lineRule="exact"/>
        <w:rPr>
          <w:sz w:val="20"/>
          <w:szCs w:val="20"/>
          <w:color w:val="auto"/>
        </w:rPr>
      </w:pPr>
    </w:p>
    <w:p>
      <w:pPr>
        <w:jc w:val="both"/>
        <w:ind w:left="540" w:hanging="273"/>
        <w:spacing w:after="0" w:line="262" w:lineRule="auto"/>
        <w:tabs>
          <w:tab w:leader="none" w:pos="536"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compensation costs decreased primarily due to a one-time payroll tax adjustment and a decrease in salaries. The decrease in salaries was mainly driven by a net headcount reduction of 200 employees and higher capitalization of compensation costs related to the development of our internal-use software, partially offset by annual merit increases.</w:t>
      </w:r>
    </w:p>
    <w:p>
      <w:pPr>
        <w:ind w:left="540" w:hanging="273"/>
        <w:spacing w:after="0"/>
        <w:tabs>
          <w:tab w:leader="none" w:pos="540" w:val="left"/>
        </w:tabs>
        <w:numPr>
          <w:ilvl w:val="0"/>
          <w:numId w:val="22"/>
        </w:numPr>
        <w:rPr>
          <w:rFonts w:ascii="Times New Roman" w:cs="Times New Roman" w:eastAsia="Times New Roman" w:hAnsi="Times New Roman"/>
          <w:sz w:val="15"/>
          <w:szCs w:val="15"/>
          <w:b w:val="1"/>
          <w:bCs w:val="1"/>
          <w:i w:val="1"/>
          <w:iCs w:val="1"/>
          <w:color w:val="212529"/>
        </w:rPr>
      </w:pPr>
      <w:r>
        <w:rPr>
          <w:rFonts w:ascii="Times New Roman" w:cs="Times New Roman" w:eastAsia="Times New Roman" w:hAnsi="Times New Roman"/>
          <w:sz w:val="15"/>
          <w:szCs w:val="15"/>
          <w:color w:val="auto"/>
        </w:rPr>
        <w:t>Amortization of intangible assets increased mainly due to higher amortization from capitalized costs related to the development of our internal-use software.</w:t>
      </w:r>
    </w:p>
    <w:p>
      <w:pPr>
        <w:spacing w:after="0" w:line="11" w:lineRule="exact"/>
        <w:rPr>
          <w:rFonts w:ascii="Times New Roman" w:cs="Times New Roman" w:eastAsia="Times New Roman" w:hAnsi="Times New Roman"/>
          <w:sz w:val="15"/>
          <w:szCs w:val="15"/>
          <w:b w:val="1"/>
          <w:bCs w:val="1"/>
          <w:i w:val="1"/>
          <w:iCs w:val="1"/>
          <w:color w:val="212529"/>
        </w:rPr>
      </w:pPr>
    </w:p>
    <w:p>
      <w:pPr>
        <w:ind w:left="540" w:hanging="273"/>
        <w:spacing w:after="0"/>
        <w:tabs>
          <w:tab w:leader="none" w:pos="540" w:val="left"/>
        </w:tabs>
        <w:numPr>
          <w:ilvl w:val="0"/>
          <w:numId w:val="22"/>
        </w:numPr>
        <w:rPr>
          <w:rFonts w:ascii="Times New Roman" w:cs="Times New Roman" w:eastAsia="Times New Roman" w:hAnsi="Times New Roman"/>
          <w:sz w:val="15"/>
          <w:szCs w:val="15"/>
          <w:b w:val="1"/>
          <w:bCs w:val="1"/>
          <w:i w:val="1"/>
          <w:iCs w:val="1"/>
          <w:color w:val="212529"/>
        </w:rPr>
      </w:pPr>
      <w:r>
        <w:rPr>
          <w:rFonts w:ascii="Times New Roman" w:cs="Times New Roman" w:eastAsia="Times New Roman" w:hAnsi="Times New Roman"/>
          <w:sz w:val="15"/>
          <w:szCs w:val="15"/>
          <w:color w:val="auto"/>
        </w:rPr>
        <w:t>Computer-related expenses increased primarily due to higher spending related to cloud-based hosting services and licensed software arrangements.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EMEA</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EMEA operating income increased 28.8% to $75.5 million during the three months ended May 31, 2024, compared with $58.6 million in the same period a year ago. This increase was primarily due to growth in revenues of 2.4% and lower employee compensation costs. Employee compensation costs decreased mainly due to lower variable compensation and a decrease in restructuring charges due to the release of certain accruals during the three months ended May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Asia Pacific</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Asia Pacific operating income increased 14.4% to $39.3 million during the three months ended May 31, 2024, compared with $34.3 million in the same period a year ago. This increase was mainly due to growth in revenues of 1.5% and the reduction of certain operating expenses, partially offset by higher employee compensation costs. Employee compensation costs increased primarily due to higher annual base salaries driven by annual merit increases and a net headcount increase of 438 employees.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Nine months ended May 31, 2024 compared with nine months ended May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Americas</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Americas operating income increased 20.5% to $250.3 million during the nine months ended May 31, 2024, compared with $207.7 million in the same period a year ago. This increase was primarily due to growth in revenues of 6.6% and lower employee compensation costs, partially offset by higher amortization of intangible assets and computer-related expenses.</w:t>
      </w:r>
    </w:p>
    <w:p>
      <w:pPr>
        <w:spacing w:after="0" w:line="155" w:lineRule="exact"/>
        <w:rPr>
          <w:sz w:val="20"/>
          <w:szCs w:val="20"/>
          <w:color w:val="auto"/>
        </w:rPr>
      </w:pPr>
    </w:p>
    <w:p>
      <w:pPr>
        <w:jc w:val="both"/>
        <w:ind w:left="540" w:right="20" w:hanging="273"/>
        <w:spacing w:after="0" w:line="262" w:lineRule="auto"/>
        <w:tabs>
          <w:tab w:leader="none" w:pos="536"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compensation costs decreased primarily due to lower variable compensation and, to a lesser extent, a decrease due to lower salaries and a one-time payroll tax adjustment, partially offset by an increase in restructuring charges. The decrease in salaries was primarily driven by higher capitalization of compensation costs related to the development of our internal-use software.</w:t>
      </w:r>
    </w:p>
    <w:p>
      <w:pPr>
        <w:ind w:left="540" w:hanging="273"/>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Amortization of intangible assets increased mainly due to higher amortization from capitalized costs related to the development of our internal-use software.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540" w:hanging="273"/>
        <w:spacing w:after="0"/>
        <w:tabs>
          <w:tab w:leader="none" w:pos="540" w:val="left"/>
        </w:tabs>
        <w:numPr>
          <w:ilvl w:val="0"/>
          <w:numId w:val="24"/>
        </w:numPr>
        <w:rPr>
          <w:rFonts w:ascii="Times New Roman" w:cs="Times New Roman" w:eastAsia="Times New Roman" w:hAnsi="Times New Roman"/>
          <w:sz w:val="15"/>
          <w:szCs w:val="15"/>
          <w:b w:val="1"/>
          <w:bCs w:val="1"/>
          <w:i w:val="1"/>
          <w:iCs w:val="1"/>
          <w:color w:val="212529"/>
        </w:rPr>
      </w:pPr>
      <w:r>
        <w:rPr>
          <w:rFonts w:ascii="Times New Roman" w:cs="Times New Roman" w:eastAsia="Times New Roman" w:hAnsi="Times New Roman"/>
          <w:sz w:val="15"/>
          <w:szCs w:val="15"/>
          <w:color w:val="auto"/>
        </w:rPr>
        <w:t>Computer-related expenses increased primarily due to higher spending related to cloud-based hosting services and licensed software arrangements.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EMEA</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EMEA operating income increased 6.3% to $207.1 million during the nine months ended May 31, 2024, compared with $194.9 million in the same period a year ago. This increase was primarily due to growth in revenues of 4.7%, partially offset by higher employee compensation costs. Employee compensation costs increased primarily due to higher annual base salaries driven by annual merit increases, partially offset by a net headcount decrease of 48 employees.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Asia Pacific</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Asia Pacific operating income increased 5.0% to $116.0 million during the nine months ended May 31, 2024, compared with $110.5 million in the same period a year ago. This increase was mainly due to growth in revenues of 4.5% and reduction of certain operating expenses, partially offset by higher employee compensation costs. Employee compensation costs increased primarily due to higher annual base salaries driven by annual merit increases and a net headcount increase of 438 employees.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provision for income taxes and the effective tax rate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gridSpan w:val="3"/>
          </w:tcPr>
          <w:p>
            <w:pPr>
              <w:jc w:val="right"/>
              <w:ind w:right="844"/>
              <w:spacing w:after="0"/>
              <w:rPr>
                <w:sz w:val="20"/>
                <w:szCs w:val="20"/>
                <w:color w:val="auto"/>
              </w:rPr>
            </w:pPr>
            <w:r>
              <w:rPr>
                <w:rFonts w:ascii="Times New Roman" w:cs="Times New Roman" w:eastAsia="Times New Roman" w:hAnsi="Times New Roman"/>
                <w:sz w:val="15"/>
                <w:szCs w:val="15"/>
                <w:color w:val="auto"/>
              </w:rPr>
              <w:t>Three Months Ended</w:t>
            </w:r>
          </w:p>
        </w:tc>
        <w:tc>
          <w:tcPr>
            <w:tcW w:w="1380" w:type="dxa"/>
            <w:vAlign w:val="bottom"/>
          </w:tcPr>
          <w:p>
            <w:pPr>
              <w:spacing w:after="0"/>
              <w:rPr>
                <w:sz w:val="16"/>
                <w:szCs w:val="16"/>
                <w:color w:val="auto"/>
              </w:rPr>
            </w:pPr>
          </w:p>
        </w:tc>
        <w:tc>
          <w:tcPr>
            <w:tcW w:w="2660" w:type="dxa"/>
            <w:vAlign w:val="bottom"/>
            <w:gridSpan w:val="3"/>
          </w:tcPr>
          <w:p>
            <w:pPr>
              <w:jc w:val="right"/>
              <w:ind w:right="864"/>
              <w:spacing w:after="0"/>
              <w:rPr>
                <w:sz w:val="20"/>
                <w:szCs w:val="20"/>
                <w:color w:val="auto"/>
              </w:rPr>
            </w:pPr>
            <w:r>
              <w:rPr>
                <w:rFonts w:ascii="Times New Roman" w:cs="Times New Roman" w:eastAsia="Times New Roman" w:hAnsi="Times New Roman"/>
                <w:sz w:val="15"/>
                <w:szCs w:val="15"/>
                <w:color w:val="auto"/>
              </w:rPr>
              <w:t>Nine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(dollar amounts in thousands)</w:t>
            </w:r>
          </w:p>
        </w:tc>
        <w:tc>
          <w:tcPr>
            <w:tcW w:w="980" w:type="dxa"/>
            <w:vAlign w:val="bottom"/>
          </w:tcPr>
          <w:p>
            <w:pPr>
              <w:spacing w:after="0"/>
              <w:rPr>
                <w:sz w:val="16"/>
                <w:szCs w:val="16"/>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w:t>
            </w: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May 31,</w:t>
            </w: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rPr>
              <w:t>2023</w:t>
            </w:r>
          </w:p>
        </w:tc>
        <w:tc>
          <w:tcPr>
            <w:tcW w:w="13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 Change</w:t>
            </w: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color w:val="auto"/>
              </w:rPr>
              <w:t>2023</w:t>
            </w:r>
          </w:p>
        </w:tc>
        <w:tc>
          <w:tcPr>
            <w:tcW w:w="10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 Change</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9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190,532</w:t>
            </w: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161,998</w:t>
            </w:r>
          </w:p>
        </w:tc>
        <w:tc>
          <w:tcPr>
            <w:tcW w:w="13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17.6 % $</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534,373</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476,645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12.1 %</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9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32,397</w:t>
            </w: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27,335</w:t>
            </w:r>
          </w:p>
        </w:tc>
        <w:tc>
          <w:tcPr>
            <w:tcW w:w="13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18.5 % $</w:t>
            </w: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86,743</w:t>
            </w: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73,591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17.9 %</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Effective tax rate</w:t>
            </w:r>
          </w:p>
        </w:tc>
        <w:tc>
          <w:tcPr>
            <w:tcW w:w="9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17.0 %</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16.9 %</w:t>
            </w:r>
          </w:p>
        </w:tc>
        <w:tc>
          <w:tcPr>
            <w:tcW w:w="1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16.2 %</w:t>
            </w: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15.4 %</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subject to taxation in the United States and various foreign jurisdictions in which we conduct our business.</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Our effective tax rate of 17.0% for the three months ended May 31, 2024 was relatively flat compared with 16.9% for the three months ended May 31, 2023. This was primarily due to higher pretax income, which reduced the effective tax rate impact of certain tax benefits, offset by increased utilization of foreign tax credits and excess tax benefits from stock-based compensation.</w:t>
      </w:r>
    </w:p>
    <w:p>
      <w:pPr>
        <w:spacing w:after="0" w:line="11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Our effective tax rate for the nine months ended May 31, 2024 was 16.2%, compared with 15.4% for the nine months ended May 31, 2023. This increase was primarily due to higher pretax income, which reduced the effective tax rate impact of certain tax benefits, partially offset by increased utilization of foreign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Table of Contents</w:t>
            </w:r>
          </w:p>
        </w:tc>
        <w:tc>
          <w:tcPr>
            <w:tcW w:w="2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7"/>
        </w:trPr>
        <w:tc>
          <w:tcPr>
            <w:tcW w:w="3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Income and Diluted EPS</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gridSpan w:val="3"/>
          </w:tcPr>
          <w:p>
            <w:pPr>
              <w:jc w:val="right"/>
              <w:ind w:right="584"/>
              <w:spacing w:after="0"/>
              <w:rPr>
                <w:sz w:val="20"/>
                <w:szCs w:val="20"/>
                <w:color w:val="auto"/>
              </w:rPr>
            </w:pPr>
            <w:r>
              <w:rPr>
                <w:rFonts w:ascii="Times New Roman" w:cs="Times New Roman" w:eastAsia="Times New Roman" w:hAnsi="Times New Roman"/>
                <w:sz w:val="15"/>
                <w:szCs w:val="15"/>
                <w:color w:val="auto"/>
              </w:rPr>
              <w:t>Three Months Ended</w:t>
            </w:r>
          </w:p>
        </w:tc>
        <w:tc>
          <w:tcPr>
            <w:tcW w:w="1240" w:type="dxa"/>
            <w:vAlign w:val="bottom"/>
          </w:tcPr>
          <w:p>
            <w:pPr>
              <w:spacing w:after="0"/>
              <w:rPr>
                <w:sz w:val="24"/>
                <w:szCs w:val="24"/>
                <w:color w:val="auto"/>
              </w:rPr>
            </w:pPr>
          </w:p>
        </w:tc>
        <w:tc>
          <w:tcPr>
            <w:tcW w:w="2260" w:type="dxa"/>
            <w:vAlign w:val="bottom"/>
            <w:gridSpan w:val="3"/>
          </w:tcPr>
          <w:p>
            <w:pPr>
              <w:jc w:val="right"/>
              <w:ind w:right="604"/>
              <w:spacing w:after="0"/>
              <w:rPr>
                <w:sz w:val="20"/>
                <w:szCs w:val="20"/>
                <w:color w:val="auto"/>
              </w:rPr>
            </w:pPr>
            <w:r>
              <w:rPr>
                <w:rFonts w:ascii="Times New Roman" w:cs="Times New Roman" w:eastAsia="Times New Roman" w:hAnsi="Times New Roman"/>
                <w:sz w:val="15"/>
                <w:szCs w:val="15"/>
                <w:color w:val="auto"/>
              </w:rPr>
              <w:t>Nine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1100" w:type="dxa"/>
            <w:vAlign w:val="bottom"/>
          </w:tcPr>
          <w:p>
            <w:pPr>
              <w:spacing w:after="0"/>
              <w:rPr>
                <w:sz w:val="16"/>
                <w:szCs w:val="16"/>
                <w:color w:val="auto"/>
              </w:rPr>
            </w:pPr>
          </w:p>
        </w:tc>
        <w:tc>
          <w:tcPr>
            <w:tcW w:w="13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May 31,</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May 31,</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20" w:type="dxa"/>
            <w:vAlign w:val="bottom"/>
            <w:tcBorders>
              <w:bottom w:val="single" w:sz="8" w:color="auto"/>
            </w:tcBorders>
            <w:gridSpan w:val="2"/>
            <w:vMerge w:val="continue"/>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2023</w:t>
            </w: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 Change</w:t>
            </w: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2023</w:t>
            </w:r>
          </w:p>
        </w:tc>
        <w:tc>
          <w:tcPr>
            <w:tcW w:w="9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 Change</w:t>
            </w:r>
          </w:p>
        </w:tc>
        <w:tc>
          <w:tcPr>
            <w:tcW w:w="0" w:type="dxa"/>
            <w:vAlign w:val="bottom"/>
          </w:tcPr>
          <w:p>
            <w:pPr>
              <w:spacing w:after="0"/>
              <w:rPr>
                <w:sz w:val="1"/>
                <w:szCs w:val="1"/>
                <w:color w:val="auto"/>
              </w:rPr>
            </w:pPr>
          </w:p>
        </w:tc>
      </w:tr>
      <w:tr>
        <w:trPr>
          <w:trHeight w:val="18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158,135</w:t>
            </w:r>
          </w:p>
        </w:tc>
        <w:tc>
          <w:tcPr>
            <w:tcW w:w="40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134,663</w:t>
            </w:r>
          </w:p>
        </w:tc>
        <w:tc>
          <w:tcPr>
            <w:tcW w:w="1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17.4 %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447,630</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403,054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0" w:type="dxa"/>
            <w:vAlign w:val="bottom"/>
          </w:tcPr>
          <w:p>
            <w:pPr>
              <w:spacing w:after="0"/>
              <w:rPr>
                <w:sz w:val="1"/>
                <w:szCs w:val="1"/>
                <w:color w:val="auto"/>
              </w:rPr>
            </w:pPr>
          </w:p>
        </w:tc>
      </w:tr>
      <w:tr>
        <w:trPr>
          <w:trHeight w:val="195"/>
        </w:trPr>
        <w:tc>
          <w:tcPr>
            <w:tcW w:w="3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Diluted weighted average common shares</w:t>
            </w:r>
          </w:p>
        </w:tc>
        <w:tc>
          <w:tcPr>
            <w:tcW w:w="1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38,640</w:t>
            </w:r>
          </w:p>
        </w:tc>
        <w:tc>
          <w:tcPr>
            <w:tcW w:w="4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38,912</w:t>
            </w:r>
          </w:p>
        </w:tc>
        <w:tc>
          <w:tcPr>
            <w:tcW w:w="12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(0.7)%</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38,644</w:t>
            </w:r>
          </w:p>
        </w:tc>
        <w:tc>
          <w:tcPr>
            <w:tcW w:w="38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38,936</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95"/>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EPS</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40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3.46</w:t>
            </w:r>
          </w:p>
        </w:tc>
        <w:tc>
          <w:tcPr>
            <w:tcW w:w="1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18.2 %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10.35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11.9 %</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The increase in Net income and Diluted EPS for the three and nine months ended May 31, 2024, compared to the respective prior year period, was primarily driven by higher operating income, partially offset by an increase in the provision for income taxes.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and adjusted Diluted EPS. The reconciliations 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Organic revenues exclude the current year impact of revenues from acquisitions and dispositions completed within the past 12 months ("Acquisition revenues" and "Disposition revenues", respectively) and the current year impact from changes in foreign currency. For year to date comparisons, organic revenues exclude current year revenues that were incurred prior to the first anniversary date of an acquisition. The table below provides an unaudited reconciliation of revenues to organic revenues: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3"/>
          </w:tcPr>
          <w:p>
            <w:pPr>
              <w:jc w:val="right"/>
              <w:ind w:right="504"/>
              <w:spacing w:after="0"/>
              <w:rPr>
                <w:sz w:val="20"/>
                <w:szCs w:val="20"/>
                <w:color w:val="auto"/>
              </w:rPr>
            </w:pPr>
            <w:r>
              <w:rPr>
                <w:rFonts w:ascii="Times New Roman" w:cs="Times New Roman" w:eastAsia="Times New Roman" w:hAnsi="Times New Roman"/>
                <w:sz w:val="15"/>
                <w:szCs w:val="15"/>
                <w:color w:val="auto"/>
              </w:rPr>
              <w:t>Three Months Ended</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right"/>
              <w:ind w:right="544"/>
              <w:spacing w:after="0"/>
              <w:rPr>
                <w:sz w:val="20"/>
                <w:szCs w:val="20"/>
                <w:color w:val="auto"/>
              </w:rPr>
            </w:pPr>
            <w:r>
              <w:rPr>
                <w:rFonts w:ascii="Times New Roman" w:cs="Times New Roman" w:eastAsia="Times New Roman" w:hAnsi="Times New Roman"/>
                <w:sz w:val="15"/>
                <w:szCs w:val="15"/>
                <w:color w:val="auto"/>
              </w:rPr>
              <w:t>Nine Months Ended</w:t>
            </w:r>
          </w:p>
        </w:tc>
        <w:tc>
          <w:tcPr>
            <w:tcW w:w="1200" w:type="dxa"/>
            <w:vAlign w:val="bottom"/>
          </w:tcPr>
          <w:p>
            <w:pPr>
              <w:spacing w:after="0"/>
              <w:rPr>
                <w:sz w:val="17"/>
                <w:szCs w:val="17"/>
                <w:color w:val="auto"/>
              </w:rPr>
            </w:pPr>
          </w:p>
        </w:tc>
      </w:tr>
      <w:tr>
        <w:trPr>
          <w:trHeight w:val="229"/>
        </w:trPr>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May 31,</w:t>
            </w: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May 31,</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(dollar amounts in thousands)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2023</w:t>
            </w:r>
          </w:p>
        </w:tc>
        <w:tc>
          <w:tcPr>
            <w:tcW w:w="1500" w:type="dxa"/>
            <w:vAlign w:val="bottom"/>
            <w:tcBorders>
              <w:bottom w:val="single" w:sz="8" w:color="auto"/>
            </w:tcBorders>
            <w:gridSpan w:val="2"/>
          </w:tcPr>
          <w:p>
            <w:pPr>
              <w:jc w:val="right"/>
              <w:ind w:right="484"/>
              <w:spacing w:after="0"/>
              <w:rPr>
                <w:sz w:val="20"/>
                <w:szCs w:val="20"/>
                <w:color w:val="auto"/>
              </w:rPr>
            </w:pPr>
            <w:r>
              <w:rPr>
                <w:rFonts w:ascii="Times New Roman" w:cs="Times New Roman" w:eastAsia="Times New Roman" w:hAnsi="Times New Roman"/>
                <w:sz w:val="15"/>
                <w:szCs w:val="15"/>
                <w:color w:val="auto"/>
              </w:rPr>
              <w:t>% Change</w:t>
            </w: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2024</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2023</w:t>
            </w:r>
          </w:p>
        </w:tc>
        <w:tc>
          <w:tcPr>
            <w:tcW w:w="12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 Change</w:t>
            </w:r>
          </w:p>
        </w:tc>
      </w:tr>
      <w:tr>
        <w:trPr>
          <w:trHeight w:val="18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552,708</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529,811</w:t>
            </w:r>
          </w:p>
        </w:tc>
        <w:tc>
          <w:tcPr>
            <w:tcW w:w="15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4.3 %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1,640,869</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1,549,711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r>
      <w:tr>
        <w:trPr>
          <w:trHeight w:val="195"/>
        </w:trPr>
        <w:tc>
          <w:tcPr>
            <w:tcW w:w="39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Acquisition revenues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spacing w:after="0"/>
              <w:rPr>
                <w:sz w:val="16"/>
                <w:szCs w:val="16"/>
                <w:color w:val="auto"/>
              </w:rPr>
            </w:pPr>
          </w:p>
        </w:tc>
      </w:tr>
      <w:tr>
        <w:trPr>
          <w:trHeight w:val="195"/>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Currency impact</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w:t>
            </w: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spacing w:after="0"/>
              <w:rPr>
                <w:sz w:val="16"/>
                <w:szCs w:val="16"/>
                <w:color w:val="auto"/>
              </w:rPr>
            </w:pPr>
          </w:p>
        </w:tc>
      </w:tr>
      <w:tr>
        <w:trPr>
          <w:trHeight w:val="190"/>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Organic revenues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553,432</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529,811</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4.5 %</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1,640,955</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1,549,711</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5.9 %</w:t>
            </w:r>
          </w:p>
        </w:tc>
      </w:tr>
      <w:tr>
        <w:trPr>
          <w:trHeight w:val="731"/>
        </w:trPr>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584"/>
              <w:spacing w:after="0"/>
              <w:rPr>
                <w:sz w:val="20"/>
                <w:szCs w:val="20"/>
                <w:color w:val="auto"/>
              </w:rPr>
            </w:pPr>
            <w:r>
              <w:rPr>
                <w:rFonts w:ascii="Times New Roman" w:cs="Times New Roman" w:eastAsia="Times New Roman" w:hAnsi="Times New Roman"/>
                <w:sz w:val="15"/>
                <w:szCs w:val="15"/>
                <w:color w:val="auto"/>
              </w:rPr>
              <w:t>43</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95"/>
        </w:trPr>
        <w:tc>
          <w:tcPr>
            <w:tcW w:w="3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3" w:name="page44"/>
    <w:bookmarkEnd w:id="43"/>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 w:right="20"/>
        <w:spacing w:after="0" w:line="267" w:lineRule="auto"/>
        <w:rPr>
          <w:sz w:val="20"/>
          <w:szCs w:val="20"/>
          <w:color w:val="auto"/>
        </w:rPr>
      </w:pPr>
      <w:r>
        <w:rPr>
          <w:rFonts w:ascii="Times New Roman" w:cs="Times New Roman" w:eastAsia="Times New Roman" w:hAnsi="Times New Roman"/>
          <w:sz w:val="15"/>
          <w:szCs w:val="15"/>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and adjusted EBITDA represent earnings before interest expense, provision for income taxes and depreciation and amortization, while adjusted EBITDA further excludes non-recurring non-cash expenses.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3"/>
          </w:tcPr>
          <w:p>
            <w:pPr>
              <w:jc w:val="right"/>
              <w:ind w:right="564"/>
              <w:spacing w:after="0"/>
              <w:rPr>
                <w:sz w:val="20"/>
                <w:szCs w:val="20"/>
                <w:color w:val="auto"/>
              </w:rPr>
            </w:pPr>
            <w:r>
              <w:rPr>
                <w:rFonts w:ascii="Times New Roman" w:cs="Times New Roman" w:eastAsia="Times New Roman" w:hAnsi="Times New Roman"/>
                <w:sz w:val="15"/>
                <w:szCs w:val="15"/>
                <w:color w:val="auto"/>
              </w:rPr>
              <w:t>Three Months Ended</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3"/>
          </w:tcPr>
          <w:p>
            <w:pPr>
              <w:jc w:val="right"/>
              <w:ind w:right="584"/>
              <w:spacing w:after="0"/>
              <w:rPr>
                <w:sz w:val="20"/>
                <w:szCs w:val="20"/>
                <w:color w:val="auto"/>
              </w:rPr>
            </w:pPr>
            <w:r>
              <w:rPr>
                <w:rFonts w:ascii="Times New Roman" w:cs="Times New Roman" w:eastAsia="Times New Roman" w:hAnsi="Times New Roman"/>
                <w:sz w:val="15"/>
                <w:szCs w:val="15"/>
                <w:color w:val="auto"/>
              </w:rPr>
              <w:t>Nine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00" w:type="dxa"/>
            <w:vAlign w:val="bottom"/>
          </w:tcPr>
          <w:p>
            <w:pPr>
              <w:spacing w:after="0"/>
              <w:rPr>
                <w:sz w:val="16"/>
                <w:szCs w:val="16"/>
                <w:color w:val="auto"/>
              </w:rPr>
            </w:pPr>
          </w:p>
        </w:tc>
        <w:tc>
          <w:tcPr>
            <w:tcW w:w="13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May 31,</w:t>
            </w: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May 31,</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10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 Change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10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 Change</w:t>
            </w:r>
          </w:p>
        </w:tc>
        <w:tc>
          <w:tcPr>
            <w:tcW w:w="0" w:type="dxa"/>
            <w:vAlign w:val="bottom"/>
          </w:tcPr>
          <w:p>
            <w:pPr>
              <w:spacing w:after="0"/>
              <w:rPr>
                <w:sz w:val="1"/>
                <w:szCs w:val="1"/>
                <w:color w:val="auto"/>
              </w:rPr>
            </w:pPr>
          </w:p>
        </w:tc>
      </w:tr>
      <w:tr>
        <w:trPr>
          <w:trHeight w:val="18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202,459</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171,959</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17.7%</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573,441</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513,104</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300" w:type="dxa"/>
            <w:vAlign w:val="bottom"/>
          </w:tcPr>
          <w:p>
            <w:pPr>
              <w:spacing w:after="0"/>
              <w:rPr>
                <w:sz w:val="16"/>
                <w:szCs w:val="16"/>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16,674</w:t>
            </w:r>
          </w:p>
        </w:tc>
        <w:tc>
          <w:tcPr>
            <w:tcW w:w="38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17,655</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50,692</w:t>
            </w:r>
          </w:p>
        </w:tc>
        <w:tc>
          <w:tcPr>
            <w:tcW w:w="38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53,372</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5"/>
                <w:szCs w:val="15"/>
                <w:color w:val="auto"/>
              </w:rPr>
              <w:t>Business acquisition / integration costs</w:t>
            </w:r>
            <w:r>
              <w:rPr>
                <w:rFonts w:ascii="Times New Roman" w:cs="Times New Roman" w:eastAsia="Times New Roman" w:hAnsi="Times New Roman"/>
                <w:sz w:val="19"/>
                <w:szCs w:val="19"/>
                <w:color w:val="auto"/>
                <w:vertAlign w:val="superscript"/>
              </w:rPr>
              <w:t>(1)</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423</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423</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6,828</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Restructuring / severance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(1,596)</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1,318</w:t>
            </w:r>
          </w:p>
        </w:tc>
        <w:tc>
          <w:tcPr>
            <w:tcW w:w="1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6,695</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1,751</w:t>
            </w: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Adjusted operating income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217,960</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190,932</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14.2%</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631,251</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575,055</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195"/>
        </w:trPr>
        <w:tc>
          <w:tcPr>
            <w:tcW w:w="4020" w:type="dxa"/>
            <w:vAlign w:val="bottom"/>
          </w:tcPr>
          <w:p>
            <w:pPr>
              <w:ind w:left="200"/>
              <w:spacing w:after="0"/>
              <w:rPr>
                <w:sz w:val="20"/>
                <w:szCs w:val="20"/>
                <w:color w:val="auto"/>
              </w:rPr>
            </w:pPr>
            <w:r>
              <w:rPr>
                <w:rFonts w:ascii="Times New Roman" w:cs="Times New Roman" w:eastAsia="Times New Roman" w:hAnsi="Times New Roman"/>
                <w:sz w:val="15"/>
                <w:szCs w:val="15"/>
                <w:i w:val="1"/>
                <w:iCs w:val="1"/>
                <w:color w:val="auto"/>
              </w:rPr>
              <w:t>Operating margin</w:t>
            </w:r>
          </w:p>
        </w:tc>
        <w:tc>
          <w:tcPr>
            <w:tcW w:w="300" w:type="dxa"/>
            <w:vAlign w:val="bottom"/>
          </w:tcPr>
          <w:p>
            <w:pPr>
              <w:spacing w:after="0"/>
              <w:rPr>
                <w:sz w:val="16"/>
                <w:szCs w:val="16"/>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36.6%</w:t>
            </w:r>
          </w:p>
        </w:tc>
        <w:tc>
          <w:tcPr>
            <w:tcW w:w="38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32.5%</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34.9%</w:t>
            </w:r>
          </w:p>
        </w:tc>
        <w:tc>
          <w:tcPr>
            <w:tcW w:w="38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Borders>
              <w:bottom w:val="single" w:sz="8" w:color="auto"/>
            </w:tcBorders>
            <w:shd w:val="clear" w:color="auto" w:fill="CCEEFF"/>
          </w:tcPr>
          <w:p>
            <w:pPr>
              <w:ind w:left="200"/>
              <w:spacing w:after="0" w:line="195" w:lineRule="exact"/>
              <w:rPr>
                <w:sz w:val="20"/>
                <w:szCs w:val="20"/>
                <w:color w:val="auto"/>
              </w:rPr>
            </w:pPr>
            <w:r>
              <w:rPr>
                <w:rFonts w:ascii="Times New Roman" w:cs="Times New Roman" w:eastAsia="Times New Roman" w:hAnsi="Times New Roman"/>
                <w:sz w:val="15"/>
                <w:szCs w:val="15"/>
                <w:i w:val="1"/>
                <w:iCs w:val="1"/>
                <w:color w:val="auto"/>
              </w:rPr>
              <w:t>Adjusted operating margin</w:t>
            </w:r>
            <w:r>
              <w:rPr>
                <w:rFonts w:ascii="Times New Roman" w:cs="Times New Roman" w:eastAsia="Times New Roman" w:hAnsi="Times New Roman"/>
                <w:sz w:val="19"/>
                <w:szCs w:val="19"/>
                <w:color w:val="auto"/>
                <w:vertAlign w:val="superscript"/>
              </w:rPr>
              <w:t>(2)</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39.4%</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36.0%</w:t>
            </w:r>
          </w:p>
        </w:tc>
        <w:tc>
          <w:tcPr>
            <w:tcW w:w="10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38.5%</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37.1%</w:t>
            </w:r>
          </w:p>
        </w:tc>
        <w:tc>
          <w:tcPr>
            <w:tcW w:w="10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158,135</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134,663</w:t>
            </w:r>
          </w:p>
        </w:tc>
        <w:tc>
          <w:tcPr>
            <w:tcW w:w="13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17.4 % $</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447,630</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403,054</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11,466</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14,406</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36,791</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44,729</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line="195" w:lineRule="exact"/>
              <w:rPr>
                <w:sz w:val="20"/>
                <w:szCs w:val="20"/>
                <w:color w:val="auto"/>
              </w:rPr>
            </w:pPr>
            <w:r>
              <w:rPr>
                <w:rFonts w:ascii="Times New Roman" w:cs="Times New Roman" w:eastAsia="Times New Roman" w:hAnsi="Times New Roman"/>
                <w:sz w:val="15"/>
                <w:szCs w:val="15"/>
                <w:color w:val="auto"/>
              </w:rPr>
              <w:t>Business acquisition / integration costs</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Restructuring / severance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4,859</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Income tax items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(2,477)</w:t>
            </w:r>
          </w:p>
        </w:tc>
        <w:tc>
          <w:tcPr>
            <w:tcW w:w="1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1,397</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(4,029)</w:t>
            </w: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Borders>
              <w:bottom w:val="single" w:sz="8" w:color="auto"/>
            </w:tcBorders>
            <w:shd w:val="clear" w:color="auto" w:fill="CCEEFF"/>
          </w:tcPr>
          <w:p>
            <w:pPr>
              <w:ind w:left="200"/>
              <w:spacing w:after="0" w:line="186" w:lineRule="exact"/>
              <w:rPr>
                <w:sz w:val="20"/>
                <w:szCs w:val="20"/>
                <w:color w:val="auto"/>
              </w:rPr>
            </w:pPr>
            <w:r>
              <w:rPr>
                <w:rFonts w:ascii="Times New Roman" w:cs="Times New Roman" w:eastAsia="Times New Roman" w:hAnsi="Times New Roman"/>
                <w:sz w:val="15"/>
                <w:szCs w:val="15"/>
                <w:color w:val="auto"/>
              </w:rPr>
              <w:t>Adjusted net income</w:t>
            </w:r>
            <w:r>
              <w:rPr>
                <w:rFonts w:ascii="Times New Roman" w:cs="Times New Roman" w:eastAsia="Times New Roman" w:hAnsi="Times New Roman"/>
                <w:sz w:val="19"/>
                <w:szCs w:val="19"/>
                <w:color w:val="auto"/>
                <w:vertAlign w:val="superscript"/>
              </w:rPr>
              <w:t>(3)</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168,796</w:t>
            </w: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147,667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14.3 %</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490,984</w:t>
            </w: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450,945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8.9 %</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158,135</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134,663</w:t>
            </w:r>
          </w:p>
        </w:tc>
        <w:tc>
          <w:tcPr>
            <w:tcW w:w="13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4B4B4B"/>
              </w:rPr>
              <w:t xml:space="preserve">17.4 % </w:t>
            </w:r>
            <w:r>
              <w:rPr>
                <w:rFonts w:ascii="Times New Roman" w:cs="Times New Roman" w:eastAsia="Times New Roman" w:hAnsi="Times New Roman"/>
                <w:sz w:val="15"/>
                <w:szCs w:val="15"/>
                <w:color w:val="00000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447,630</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403,054</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4B4B4B"/>
              </w:rPr>
              <w:t>11.1 %</w:t>
            </w: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16,894</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16,354</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50,231</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49,628</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Income taxes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32,397</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27,335</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86,743</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73,591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32,504</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26,473</w:t>
            </w:r>
          </w:p>
        </w:tc>
        <w:tc>
          <w:tcPr>
            <w:tcW w:w="10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91,154</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78,681</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EBITDA</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239,930</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204,825</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675,758</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604,954</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5"/>
                <w:szCs w:val="15"/>
                <w:color w:val="auto"/>
              </w:rPr>
              <w:t>Non-recurring non-cash expenses</w:t>
            </w:r>
            <w:r>
              <w:rPr>
                <w:rFonts w:ascii="Times New Roman" w:cs="Times New Roman" w:eastAsia="Times New Roman" w:hAnsi="Times New Roman"/>
                <w:sz w:val="19"/>
                <w:szCs w:val="19"/>
                <w:color w:val="auto"/>
                <w:vertAlign w:val="superscript"/>
              </w:rPr>
              <w:t>(4)</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0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1,285</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239,930</w:t>
            </w: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205,284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16.9 %</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677,043</w:t>
            </w: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605,413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11.8 %</w:t>
            </w:r>
          </w:p>
        </w:tc>
        <w:tc>
          <w:tcPr>
            <w:tcW w:w="0" w:type="dxa"/>
            <w:vAlign w:val="bottom"/>
          </w:tcPr>
          <w:p>
            <w:pPr>
              <w:spacing w:after="0"/>
              <w:rPr>
                <w:sz w:val="1"/>
                <w:szCs w:val="1"/>
                <w:color w:val="auto"/>
              </w:rPr>
            </w:pPr>
          </w:p>
        </w:tc>
      </w:tr>
      <w:tr>
        <w:trPr>
          <w:trHeight w:val="18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EPS</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3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18.2 %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11.9 %</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0.30</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5"/>
                <w:szCs w:val="15"/>
                <w:color w:val="auto"/>
              </w:rPr>
              <w:t>Business acquisition / integration costs</w:t>
            </w:r>
            <w:r>
              <w:rPr>
                <w:rFonts w:ascii="Times New Roman" w:cs="Times New Roman" w:eastAsia="Times New Roman" w:hAnsi="Times New Roman"/>
                <w:sz w:val="19"/>
                <w:szCs w:val="19"/>
                <w:color w:val="auto"/>
                <w:vertAlign w:val="superscript"/>
              </w:rPr>
              <w:t>(1)</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Restructuring / severance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0.14</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items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0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Borders>
              <w:bottom w:val="single" w:sz="8" w:color="auto"/>
            </w:tcBorders>
          </w:tcPr>
          <w:p>
            <w:pPr>
              <w:ind w:left="200"/>
              <w:spacing w:after="0" w:line="186" w:lineRule="exact"/>
              <w:rPr>
                <w:sz w:val="20"/>
                <w:szCs w:val="20"/>
                <w:color w:val="auto"/>
              </w:rPr>
            </w:pPr>
            <w:r>
              <w:rPr>
                <w:rFonts w:ascii="Times New Roman" w:cs="Times New Roman" w:eastAsia="Times New Roman" w:hAnsi="Times New Roman"/>
                <w:sz w:val="15"/>
                <w:szCs w:val="15"/>
                <w:color w:val="auto"/>
              </w:rPr>
              <w:t>Adjusted Diluted EPS</w:t>
            </w:r>
            <w:r>
              <w:rPr>
                <w:rFonts w:ascii="Times New Roman" w:cs="Times New Roman" w:eastAsia="Times New Roman" w:hAnsi="Times New Roman"/>
                <w:sz w:val="19"/>
                <w:szCs w:val="19"/>
                <w:color w:val="auto"/>
                <w:vertAlign w:val="superscript"/>
              </w:rPr>
              <w:t>(3)</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15.3 %</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9.8 %</w:t>
            </w:r>
          </w:p>
        </w:tc>
        <w:tc>
          <w:tcPr>
            <w:tcW w:w="0" w:type="dxa"/>
            <w:vAlign w:val="bottom"/>
          </w:tcPr>
          <w:p>
            <w:pPr>
              <w:spacing w:after="0"/>
              <w:rPr>
                <w:sz w:val="1"/>
                <w:szCs w:val="1"/>
                <w:color w:val="auto"/>
              </w:rPr>
            </w:pPr>
          </w:p>
        </w:tc>
      </w:tr>
      <w:tr>
        <w:trPr>
          <w:trHeight w:val="186"/>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common shares (Diluted)</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38,640</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38,912</w:t>
            </w:r>
          </w:p>
        </w:tc>
        <w:tc>
          <w:tcPr>
            <w:tcW w:w="10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38,644</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38,936</w:t>
            </w:r>
          </w:p>
        </w:tc>
        <w:tc>
          <w:tcPr>
            <w:tcW w:w="10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8" w:hanging="208"/>
        <w:spacing w:after="0"/>
        <w:tabs>
          <w:tab w:leader="none" w:pos="20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certain business acquisition costs for the three and nine months ended May 31, 2024 and integration costs from the CGS acquisition for the nine months ended May 31, 2023.</w:t>
      </w:r>
    </w:p>
    <w:p>
      <w:pPr>
        <w:spacing w:after="0" w:line="56"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operating margin is calculated as adjusted operating income divided by Revenues.</w:t>
      </w:r>
    </w:p>
    <w:p>
      <w:pPr>
        <w:spacing w:after="0" w:line="45" w:lineRule="exact"/>
        <w:rPr>
          <w:rFonts w:ascii="Times New Roman" w:cs="Times New Roman" w:eastAsia="Times New Roman" w:hAnsi="Times New Roman"/>
          <w:sz w:val="14"/>
          <w:szCs w:val="14"/>
          <w:color w:val="auto"/>
        </w:rPr>
      </w:pPr>
    </w:p>
    <w:p>
      <w:pPr>
        <w:ind w:left="208" w:right="20" w:hanging="208"/>
        <w:spacing w:after="0" w:line="265" w:lineRule="auto"/>
        <w:tabs>
          <w:tab w:leader="none" w:pos="20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calculating adjusted net income and adjusted Diluted EPS, the three months ended May 31, 2024 and May 31, 2023 were taxed at an adjusted tax rate of 31.2% and 18.4%, respectively. The nine months ended May 31, 2024 and May 31, 2023 were taxed at an adjusted tax rate of 27.4% and 16.2%, respectively.</w:t>
      </w:r>
    </w:p>
    <w:p>
      <w:pPr>
        <w:spacing w:after="0" w:line="23"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accelerated vesting of stock awards for certain employees during the nine months ended May 31, 2024.</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1"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5"/>
          <w:szCs w:val="15"/>
          <w:color w:val="auto"/>
        </w:rPr>
        <w:t>As of May 31, 2024, Cash and cash equivalents were $453.1 million, compared with $425.4 million as of August 31, 2023. Our cash and cash equivalents are held in numerous locations throughout the world, with $188.5 million in EMEA (predominantly in the UK and Germany), $173.9 million in the Americas and the remaining $90.7 million in Asia Pacific (predominantly in the</w:t>
      </w:r>
    </w:p>
    <w:p>
      <w:pPr>
        <w:spacing w:after="0" w:line="200" w:lineRule="exact"/>
        <w:rPr>
          <w:sz w:val="20"/>
          <w:szCs w:val="20"/>
          <w:color w:val="auto"/>
        </w:rPr>
      </w:pP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804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Philippines and India) as of May 31, 2024. We permanently reinvest all foreign unremitted earnings, except in jurisdictions where earnings can be repatriated substantially free of tax.</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our cash and cash equivalents held in financial institutions in the event of a default, to the extent that such amounts are in excess of applicable insurance limits; however, we do not believe our concentration of cash and cash equivalents presents a significant credit risk as the counterparties to the instruments consist of multiple high-quality, credit-worthy financial institutions.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Liquidity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Debt and Swap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 Credit Agreement</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We used these borrowings, along with the net proceeds from the issuance of the Senior Notes (as defined below) and cash on hand, to finance the consideration for the CGS acquisition, to repay prior outstanding borrowings and to pay related transaction fees, costs and expenses. During fiscal 2022, we incurred approximately $9.5 million in debt issuance costs related to the 2022 Credit Facilities.</w:t>
      </w:r>
    </w:p>
    <w:p>
      <w:pPr>
        <w:spacing w:after="0" w:line="1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may voluntarily prepay loans under the 2022 Credit Facilities at any time without premium or penalty. During the three and nine months ended May 31, 2024, we repaid $62.5 million and $187.5 million, respectively, under the 2022 Term Facility, inclusive of voluntary prepayments of $50.0 million and $150.0 million, respectively. Since loan inception on March 1, 2022, we have repaid $812.5 million under the 2022 Term Facility, inclusive of voluntary prepayments of $712.5 million. As of May 31, 2024, we had short-term liquidity requirements of $187.5 million related to the outstanding balance of the 2022 Term Facility which becomes due March 1, 2025.</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From the borrowing date through November 30, 2023, the outstanding borrowings under the 2022 Credit Facilities bore interest at a rate equal to the applicable one-month Term Secured Overnight Financing Rate ("SOFR") plus a 1.1% spread (comprised of a 1.0% interest rate margin based on a debt leverage pricing grid plus a 0.1% credit spread adjustment). From December 1, 2023 through May 31, 2024, the spread decreased to 0.975% (comprised of a 0.875% interest rate margin based on a debt leverage pricing grid plus a 0.1% credit spread adjustment). Interest on the 2022 Credit Facilities is currently payable on the last business day of each month, in arrears.</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Additionally, 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May 31, 2024.</w:t>
      </w:r>
    </w:p>
    <w:p>
      <w:pPr>
        <w:spacing w:after="0" w:line="2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2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The 2022 Credit Agreement contains usual and customary affirmative and negative covenants for facilities of this type, including a financial covenant requiring maintenance of a total leverage ratio of no greater than 3.75 to 1.00 as of May 31, 2024. We were in compliance with all covenants and requirements of the 2022 Credit Agreement as of May 31, 2024.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color w:val="auto"/>
        </w:rPr>
        <w:t xml:space="preserve">Refer to Note 10,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in the Notes to the Consolidated Financial Statements included in Part I, Item 1. of this Quarterly Report on Form 10-Q, for further discussion of the 2022 Credit Agreement.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2024 Swap Agreement</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On March 1, 2024, we entered into an interest rate swap agreement ("2024 Swap Agreement") to hedge a portion of our outstanding floating SOFR debt with a fixed interest rate of 5.145%. Refer to Note 5, </w:t>
      </w:r>
      <w:r>
        <w:rPr>
          <w:rFonts w:ascii="Times New Roman" w:cs="Times New Roman" w:eastAsia="Times New Roman" w:hAnsi="Times New Roman"/>
          <w:sz w:val="15"/>
          <w:szCs w:val="15"/>
          <w:i w:val="1"/>
          <w:iCs w:val="1"/>
          <w:color w:val="auto"/>
        </w:rPr>
        <w:t>Derivative Instruments</w:t>
      </w:r>
      <w:r>
        <w:rPr>
          <w:rFonts w:ascii="Times New Roman" w:cs="Times New Roman" w:eastAsia="Times New Roman" w:hAnsi="Times New Roman"/>
          <w:sz w:val="15"/>
          <w:szCs w:val="15"/>
          <w:color w:val="auto"/>
        </w:rPr>
        <w:t>, in the Notes to the Consolidated Financial Statements included in Part I, Item 1. of this Quarterly Report on Form 10-Q, for more information on the 2024 Swap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 Swap Agreement</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 xml:space="preserve">On March 1, 2022, we entered into an interest rate swap agreement (the "2022 Swap Agreement") to hedge a portion of our outstanding floating SOFR debt with a fixed interest rate of 1.162%. The 2022 Swap Agreement matured on February 28, 2024. Refer to Note 5, </w:t>
      </w:r>
      <w:r>
        <w:rPr>
          <w:rFonts w:ascii="Times New Roman" w:cs="Times New Roman" w:eastAsia="Times New Roman" w:hAnsi="Times New Roman"/>
          <w:sz w:val="15"/>
          <w:szCs w:val="15"/>
          <w:i w:val="1"/>
          <w:iCs w:val="1"/>
          <w:color w:val="auto"/>
        </w:rPr>
        <w:t>Derivative Instruments</w:t>
      </w:r>
      <w:r>
        <w:rPr>
          <w:rFonts w:ascii="Times New Roman" w:cs="Times New Roman" w:eastAsia="Times New Roman" w:hAnsi="Times New Roman"/>
          <w:sz w:val="15"/>
          <w:szCs w:val="15"/>
          <w:color w:val="auto"/>
        </w:rPr>
        <w:t>, in the Notes to the Consolidated Financial Statements included in Part I, Item 1. of this Quarterly Report on Form 10-Q, for more information on the 2022 Swap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Senior Notes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1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The Senior Notes were issued at an aggregate discount of $2.8 million during fiscal 2022 and we incurred approximately $9.1 million in debt issuance costs. Interest on the Senior Notes is payable semiannually in arrears on March 1 and September 1 of each year.</w:t>
      </w:r>
    </w:p>
    <w:p>
      <w:pPr>
        <w:spacing w:after="0" w:line="10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Uses of Liquidity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Returning Value to Stockholders</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We returned $283.2 million and $168.5 million to our stockholders in the form of share repurchases and dividends during the nine months ended May 31, 2024 and May 31, 2023, respectively. Over the last 12 months, we returned $430.1 million to our stockholders in the form of share repurchases and dividends.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the third quarter of fiscal 2024, our Board of Directors approved a 6% increase in the regular quarterly dividend from $0.98 to $1.04 per share. Fiscal 2024 marked the 25th consecutive fiscal year we have increased dividends on a stock split-adjusted basis, highlighting our continued commitment to returning value to our stockholders. During the nine months ended May 31, 2024 and May 31, 2023, we paid dividends of $111.3 million and $101.4 million, respectively. Future cash dividend payments are subject to final determination by our Board of Directors and will depend on our earnings, capital requirements, financial condition and other relevant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 Repurchase Program</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may repurchase shares of our common stock under our share repurchase program from time-to-time in the open market or via privately negotiated transactions, subject to market conditions. During the three and nine months ended May 31, 2024, we repurchased 135,150 shares for $59.8 million and 384,150 shares for $171.9 million, respectively. We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to prioritize the repayment of debt under the 2022 Credit Facilities. We resumed our share repurchase program in the third quarter of fiscal 2023. For the three and nine months ended May 31, 2023, we repurchased 165,950 shares for $67.1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 xml:space="preserve">There is no defined number of shares to be repurchased over a specified timeframe through the life of our share repurchase program. As of May 31, 2024, $128.1 million remained authorized under our share repurchase program for future share repurchases. Refer to Part II, Item 2. </w:t>
      </w:r>
      <w:r>
        <w:rPr>
          <w:rFonts w:ascii="Times New Roman" w:cs="Times New Roman" w:eastAsia="Times New Roman" w:hAnsi="Times New Roman"/>
          <w:sz w:val="15"/>
          <w:szCs w:val="15"/>
          <w:i w:val="1"/>
          <w:iCs w:val="1"/>
          <w:color w:val="auto"/>
        </w:rPr>
        <w:t>Unregistered Sales of Equity Securities and Use of Proceeds</w:t>
      </w:r>
      <w:r>
        <w:rPr>
          <w:rFonts w:ascii="Times New Roman" w:cs="Times New Roman" w:eastAsia="Times New Roman" w:hAnsi="Times New Roman"/>
          <w:sz w:val="15"/>
          <w:szCs w:val="15"/>
          <w:color w:val="auto"/>
        </w:rPr>
        <w:t>, of this Quarterly Report on Form 10-Q for further discussion on our share repurchase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Purchase obligations represent our legally-binding agreements to purchase fixed or minimum quantities at determinable prices. As of August 31, 2023, we had total purchase obligations with suppliers of $362.2 million. Our total purchase obligations as of August 31, 2023 primarily related to hosting services, acquisition of data and, to a lesser extent, third-party software providers. Hosting services support our hybrid cloud strategy, which relies in large part on third-party hosting providers. Data is an integral component of the value we provide to our clients. Our commitments to third-party software providers mainly include internal-use software licenses. For the nine months ended May 31, 2024, there were no material changes to our contractual obligations.</w:t>
      </w:r>
    </w:p>
    <w:p>
      <w:pPr>
        <w:spacing w:after="0" w:line="11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5"/>
          <w:szCs w:val="15"/>
          <w:color w:val="auto"/>
        </w:rPr>
        <w:t xml:space="preserve">We also have contractual obligations related to our lease liabilities and outstanding debt. Refer to Note 9,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xml:space="preserve"> and Note 10,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in the Notes to the Consolidated Financial Statements included in Part I, Item 1. of this Quarterly Report on Form 10-Q for information regarding lease commitments and outstanding debt obligations,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a summary of our net cash flow activity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3"/>
          </w:tcPr>
          <w:p>
            <w:pPr>
              <w:jc w:val="right"/>
              <w:ind w:right="804"/>
              <w:spacing w:after="0"/>
              <w:rPr>
                <w:sz w:val="20"/>
                <w:szCs w:val="20"/>
                <w:color w:val="auto"/>
              </w:rPr>
            </w:pPr>
            <w:r>
              <w:rPr>
                <w:rFonts w:ascii="Times New Roman" w:cs="Times New Roman" w:eastAsia="Times New Roman" w:hAnsi="Times New Roman"/>
                <w:sz w:val="15"/>
                <w:szCs w:val="15"/>
                <w:color w:val="auto"/>
              </w:rPr>
              <w:t>Nine Months Ended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(dollar amounts in thousands)</w:t>
            </w:r>
          </w:p>
        </w:tc>
        <w:tc>
          <w:tcPr>
            <w:tcW w:w="340" w:type="dxa"/>
            <w:vAlign w:val="bottom"/>
          </w:tcPr>
          <w:p>
            <w:pPr>
              <w:spacing w:after="0"/>
              <w:rPr>
                <w:sz w:val="16"/>
                <w:szCs w:val="16"/>
                <w:color w:val="auto"/>
              </w:rPr>
            </w:pPr>
          </w:p>
        </w:tc>
        <w:tc>
          <w:tcPr>
            <w:tcW w:w="16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May 31,</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2023</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 Change</w:t>
            </w:r>
          </w:p>
        </w:tc>
        <w:tc>
          <w:tcPr>
            <w:tcW w:w="0" w:type="dxa"/>
            <w:vAlign w:val="bottom"/>
          </w:tcPr>
          <w:p>
            <w:pPr>
              <w:spacing w:after="0"/>
              <w:rPr>
                <w:sz w:val="1"/>
                <w:szCs w:val="1"/>
                <w:color w:val="auto"/>
              </w:rPr>
            </w:pPr>
          </w:p>
        </w:tc>
      </w:tr>
      <w:tr>
        <w:trPr>
          <w:trHeight w:val="18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537,177</w:t>
            </w:r>
          </w:p>
        </w:tc>
        <w:tc>
          <w:tcPr>
            <w:tcW w:w="4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489,903</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47,274</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(104,658)</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(72,310)</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(32,348)</w:t>
            </w:r>
          </w:p>
        </w:tc>
        <w:tc>
          <w:tcPr>
            <w:tcW w:w="0" w:type="dxa"/>
            <w:vAlign w:val="bottom"/>
          </w:tcPr>
          <w:p>
            <w:pPr>
              <w:spacing w:after="0"/>
              <w:rPr>
                <w:sz w:val="1"/>
                <w:szCs w:val="1"/>
                <w:color w:val="auto"/>
              </w:rPr>
            </w:pPr>
          </w:p>
        </w:tc>
      </w:tr>
      <w:tr>
        <w:trPr>
          <w:trHeight w:val="195"/>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(402,908)</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(437,357)</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34,449</w:t>
            </w:r>
          </w:p>
        </w:tc>
        <w:tc>
          <w:tcPr>
            <w:tcW w:w="0" w:type="dxa"/>
            <w:vAlign w:val="bottom"/>
          </w:tcPr>
          <w:p>
            <w:pPr>
              <w:spacing w:after="0"/>
              <w:rPr>
                <w:sz w:val="1"/>
                <w:szCs w:val="1"/>
                <w:color w:val="auto"/>
              </w:rPr>
            </w:pPr>
          </w:p>
        </w:tc>
      </w:tr>
      <w:tr>
        <w:trPr>
          <w:trHeight w:val="195"/>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(1,911)</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3,118</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(5,029)</w:t>
            </w:r>
          </w:p>
        </w:tc>
        <w:tc>
          <w:tcPr>
            <w:tcW w:w="0" w:type="dxa"/>
            <w:vAlign w:val="bottom"/>
          </w:tcPr>
          <w:p>
            <w:pPr>
              <w:spacing w:after="0"/>
              <w:rPr>
                <w:sz w:val="1"/>
                <w:szCs w:val="1"/>
                <w:color w:val="auto"/>
              </w:rPr>
            </w:pPr>
          </w:p>
        </w:tc>
      </w:tr>
      <w:tr>
        <w:trPr>
          <w:trHeight w:val="18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27,700</w:t>
            </w:r>
          </w:p>
        </w:tc>
        <w:tc>
          <w:tcPr>
            <w:tcW w:w="4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(16,646)</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44,346</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For the nine months ended May 31, 2024, net cash provided by operating activities was $537.2 million, which included net income of $447.6 million, non-cash charges of $154.8 million and a net cash outflow of $65.2 million to support our working capital requirements. The non-cash charges were primarily driven by depreciation and amortization and stock-based compensation expense. The change in our working capital was primarily driven by cash outflows related to our annual variable compensation payment and lease payments.</w:t>
      </w:r>
    </w:p>
    <w:p>
      <w:pPr>
        <w:spacing w:after="0" w:line="1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For the nine months ended May 31, 2023, net cash provided by operating activities was $489.9 million, which included net income of $403.1 million, non-cash charges of $140.7 million and a net cash outflow of $53.9 million to support our working capital requirements. The non-cash charges were primarily driven by depreciation and amortization, stock-based compensation expense and amortization of lease ROU assets. The change in our working capital was primarily driven by a cash outflow related to our variable compensation payment earned in the prior year, higher accounts receivable due to increased sales and an increase in days sales outstanding, and cash outflows for lease payments.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Investing</w:t>
      </w:r>
    </w:p>
    <w:p>
      <w:pPr>
        <w:spacing w:after="0" w:line="16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For the nine months ended May 31, 2024, net cash used in investing activities was $104.7 million. The cash used in investing activities was primarily related to capital expenditures of $59.7 million mainly driven by the capitalization of internal-use software development costs and $44.9 million in investments, primarily related to the purchase of mutual funds.</w:t>
      </w:r>
    </w:p>
    <w:p>
      <w:pPr>
        <w:spacing w:after="0" w:line="10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For the nine months ended May 31, 2023, net cash used in investing activities was $72.3 million. The cash used in investing activities was primarily related to capital expenditures of $61.4 million mainly due to the capitalization of internal-use software development costs and investments in network-related equipment and laptops.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Financing</w:t>
      </w:r>
    </w:p>
    <w:p>
      <w:pPr>
        <w:spacing w:after="0" w:line="1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For the nine months ended May 31, 2024, net cash used in financing activities was $402.9 million, consisting mainly of $187.5 million related to the partial repayment of the 2022 Term Facility, $171.9 million of share repurchases and $111.3 million of dividend payments, partially offset by $83.5 million of proceeds from employee stock plans.</w:t>
      </w:r>
    </w:p>
    <w:p>
      <w:pPr>
        <w:spacing w:after="0" w:line="9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For the nine months ended May 31, 2023, net cash used in financing activities was $437.4 million, consisting mainly of $312.5 million related to the partial repayment of the 2022 Term Facility, $101.4 million of dividend payments and $67.1 million of share repurchases, partially offset by $55.9 million of proceeds from employee stock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Free Cash Flow</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reconciles our net cash provided by operating activities to free cash flow:</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6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3"/>
          </w:tcPr>
          <w:p>
            <w:pPr>
              <w:jc w:val="center"/>
              <w:ind w:right="264"/>
              <w:spacing w:after="0"/>
              <w:rPr>
                <w:sz w:val="20"/>
                <w:szCs w:val="20"/>
                <w:color w:val="auto"/>
              </w:rPr>
            </w:pPr>
            <w:r>
              <w:rPr>
                <w:rFonts w:ascii="Times New Roman" w:cs="Times New Roman" w:eastAsia="Times New Roman" w:hAnsi="Times New Roman"/>
                <w:sz w:val="15"/>
                <w:szCs w:val="15"/>
                <w:color w:val="auto"/>
              </w:rPr>
              <w:t>Nine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(dollar amounts in thousands)</w:t>
            </w:r>
          </w:p>
        </w:tc>
        <w:tc>
          <w:tcPr>
            <w:tcW w:w="340" w:type="dxa"/>
            <w:vAlign w:val="bottom"/>
          </w:tcPr>
          <w:p>
            <w:pPr>
              <w:spacing w:after="0"/>
              <w:rPr>
                <w:sz w:val="16"/>
                <w:szCs w:val="16"/>
                <w:color w:val="auto"/>
              </w:rPr>
            </w:pPr>
          </w:p>
        </w:tc>
        <w:tc>
          <w:tcPr>
            <w:tcW w:w="15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May 31,</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8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color w:val="auto"/>
              </w:rPr>
              <w:t>$ Change</w:t>
            </w:r>
          </w:p>
        </w:tc>
        <w:tc>
          <w:tcPr>
            <w:tcW w:w="0" w:type="dxa"/>
            <w:vAlign w:val="bottom"/>
          </w:tcPr>
          <w:p>
            <w:pPr>
              <w:spacing w:after="0"/>
              <w:rPr>
                <w:sz w:val="1"/>
                <w:szCs w:val="1"/>
                <w:color w:val="auto"/>
              </w:rPr>
            </w:pPr>
          </w:p>
        </w:tc>
      </w:tr>
      <w:tr>
        <w:trPr>
          <w:trHeight w:val="18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537,177</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489,903</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47,274</w:t>
            </w:r>
          </w:p>
        </w:tc>
        <w:tc>
          <w:tcPr>
            <w:tcW w:w="0" w:type="dxa"/>
            <w:vAlign w:val="bottom"/>
          </w:tcPr>
          <w:p>
            <w:pPr>
              <w:spacing w:after="0"/>
              <w:rPr>
                <w:sz w:val="1"/>
                <w:szCs w:val="1"/>
                <w:color w:val="auto"/>
              </w:rPr>
            </w:pPr>
          </w:p>
        </w:tc>
      </w:tr>
      <w:tr>
        <w:trPr>
          <w:trHeight w:val="195"/>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purchases of property, equipment, leasehold improvements and capitalized internal-use software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(59,722)</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(61,421)</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1,699</w:t>
            </w:r>
          </w:p>
        </w:tc>
        <w:tc>
          <w:tcPr>
            <w:tcW w:w="0" w:type="dxa"/>
            <w:vAlign w:val="bottom"/>
          </w:tcPr>
          <w:p>
            <w:pPr>
              <w:spacing w:after="0"/>
              <w:rPr>
                <w:sz w:val="1"/>
                <w:szCs w:val="1"/>
                <w:color w:val="auto"/>
              </w:rPr>
            </w:pPr>
          </w:p>
        </w:tc>
      </w:tr>
      <w:tr>
        <w:trPr>
          <w:trHeight w:val="18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Free cash flow</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477,455</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428,482</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48,973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We generated free cash flow of $477.5 million during the nine months ended May 31, 2024, an increase of $49.0 million compared with the same period a year ago. This increase was driven by a $47.3 million increase in cash provided by operating activities, primarily due to higher net income, partially offset by an increase in working capital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 xml:space="preserve">As of May 31, 2024 and August 31, 2023, we had no off-balance sheet financing other than letters of credit incurred in the ordinary course of business. Refer to Note 10,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and Note 11, </w:t>
      </w:r>
      <w:r>
        <w:rPr>
          <w:rFonts w:ascii="Times New Roman" w:cs="Times New Roman" w:eastAsia="Times New Roman" w:hAnsi="Times New Roman"/>
          <w:sz w:val="15"/>
          <w:szCs w:val="15"/>
          <w:i w:val="1"/>
          <w:iCs w:val="1"/>
          <w:color w:val="auto"/>
        </w:rPr>
        <w:t>Commitments and Contingencies</w:t>
      </w:r>
      <w:r>
        <w:rPr>
          <w:rFonts w:ascii="Times New Roman" w:cs="Times New Roman" w:eastAsia="Times New Roman" w:hAnsi="Times New Roman"/>
          <w:sz w:val="15"/>
          <w:szCs w:val="15"/>
          <w:color w:val="auto"/>
        </w:rPr>
        <w:t xml:space="preserve"> in the Notes to the Consolidated Financial Statements included in Part I, Item 1 of this Quarterly Report on Form 10-Q for more information on our letters of credit.</w:t>
      </w:r>
    </w:p>
    <w:p>
      <w:pPr>
        <w:spacing w:after="0" w:line="10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As of May 31, 2024 and August 31, 2023,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Exposure</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 we operate globally, we are exposed to the risk that our financial condition, results of operations and cash flows could be impacted by changes in foreign currency exchange rates. As of May 31, 2024, we maintained a series of foreign currency forward contracts to hedge a portion of our primary currency exposures, namely the British Pound Sterling, Indian Rupee, Euro and Philippine Peso. We entered into these contracts with the intent to hedge between 25% to 75% of the currency exposure related to our projected operating income in these primary currencies over their respective hedge periods. The hedge maturity periods range from the fourth quarter of fiscal 2024 through the third quarter of fiscal 2025.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gross notional value of our foreign currency forward contracts to purchase the respective local currency with U.S. dollars as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4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May 31, 2024</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August 31, 2023</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0" w:type="dxa"/>
            <w:vAlign w:val="bottom"/>
            <w:gridSpan w:val="2"/>
          </w:tcPr>
          <w:p>
            <w:pPr>
              <w:jc w:val="right"/>
              <w:ind w:right="4"/>
              <w:spacing w:after="0" w:line="152" w:lineRule="exact"/>
              <w:rPr>
                <w:sz w:val="20"/>
                <w:szCs w:val="20"/>
                <w:color w:val="auto"/>
              </w:rPr>
            </w:pPr>
            <w:r>
              <w:rPr>
                <w:rFonts w:ascii="Times New Roman" w:cs="Times New Roman" w:eastAsia="Times New Roman" w:hAnsi="Times New Roman"/>
                <w:sz w:val="15"/>
                <w:szCs w:val="15"/>
                <w:color w:val="auto"/>
              </w:rPr>
              <w:t>Notional Contract Amount</w:t>
            </w: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20" w:type="dxa"/>
            <w:vAlign w:val="bottom"/>
            <w:gridSpan w:val="2"/>
          </w:tcPr>
          <w:p>
            <w:pPr>
              <w:jc w:val="right"/>
              <w:ind w:right="24"/>
              <w:spacing w:after="0" w:line="152" w:lineRule="exact"/>
              <w:rPr>
                <w:sz w:val="20"/>
                <w:szCs w:val="20"/>
                <w:color w:val="auto"/>
              </w:rPr>
            </w:pPr>
            <w:r>
              <w:rPr>
                <w:rFonts w:ascii="Times New Roman" w:cs="Times New Roman" w:eastAsia="Times New Roman" w:hAnsi="Times New Roman"/>
                <w:sz w:val="15"/>
                <w:szCs w:val="15"/>
                <w:color w:val="auto"/>
              </w:rPr>
              <w:t>Notional Contract Amount</w:t>
            </w:r>
          </w:p>
        </w:tc>
        <w:tc>
          <w:tcPr>
            <w:tcW w:w="0" w:type="dxa"/>
            <w:vAlign w:val="bottom"/>
          </w:tcPr>
          <w:p>
            <w:pPr>
              <w:spacing w:after="0"/>
              <w:rPr>
                <w:sz w:val="1"/>
                <w:szCs w:val="1"/>
                <w:color w:val="auto"/>
              </w:rPr>
            </w:pPr>
          </w:p>
        </w:tc>
      </w:tr>
      <w:tr>
        <w:trPr>
          <w:trHeight w:val="206"/>
        </w:trPr>
        <w:tc>
          <w:tcPr>
            <w:tcW w:w="262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Local Currency Amount</w:t>
            </w:r>
          </w:p>
        </w:tc>
        <w:tc>
          <w:tcPr>
            <w:tcW w:w="520" w:type="dxa"/>
            <w:vAlign w:val="bottom"/>
          </w:tcPr>
          <w:p>
            <w:pPr>
              <w:spacing w:after="0"/>
              <w:rPr>
                <w:sz w:val="17"/>
                <w:szCs w:val="17"/>
                <w:color w:val="auto"/>
              </w:rPr>
            </w:pPr>
          </w:p>
        </w:tc>
        <w:tc>
          <w:tcPr>
            <w:tcW w:w="1280" w:type="dxa"/>
            <w:vAlign w:val="bottom"/>
          </w:tcPr>
          <w:p>
            <w:pPr>
              <w:jc w:val="right"/>
              <w:ind w:right="624"/>
              <w:spacing w:after="0"/>
              <w:rPr>
                <w:sz w:val="20"/>
                <w:szCs w:val="20"/>
                <w:color w:val="auto"/>
              </w:rPr>
            </w:pPr>
            <w:r>
              <w:rPr>
                <w:rFonts w:ascii="Times New Roman" w:cs="Times New Roman" w:eastAsia="Times New Roman" w:hAnsi="Times New Roman"/>
                <w:sz w:val="15"/>
                <w:szCs w:val="15"/>
                <w:color w:val="auto"/>
              </w:rPr>
              <w:t>(USD)</w:t>
            </w:r>
          </w:p>
        </w:tc>
        <w:tc>
          <w:tcPr>
            <w:tcW w:w="180" w:type="dxa"/>
            <w:vAlign w:val="bottom"/>
          </w:tcPr>
          <w:p>
            <w:pPr>
              <w:spacing w:after="0"/>
              <w:rPr>
                <w:sz w:val="17"/>
                <w:szCs w:val="17"/>
                <w:color w:val="auto"/>
              </w:rPr>
            </w:pP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Local Currency Amount</w:t>
            </w:r>
          </w:p>
        </w:tc>
        <w:tc>
          <w:tcPr>
            <w:tcW w:w="580" w:type="dxa"/>
            <w:vAlign w:val="bottom"/>
          </w:tcPr>
          <w:p>
            <w:pPr>
              <w:spacing w:after="0"/>
              <w:rPr>
                <w:sz w:val="17"/>
                <w:szCs w:val="17"/>
                <w:color w:val="auto"/>
              </w:rPr>
            </w:pPr>
          </w:p>
        </w:tc>
        <w:tc>
          <w:tcPr>
            <w:tcW w:w="1240" w:type="dxa"/>
            <w:vAlign w:val="bottom"/>
          </w:tcPr>
          <w:p>
            <w:pPr>
              <w:jc w:val="right"/>
              <w:ind w:right="624"/>
              <w:spacing w:after="0"/>
              <w:rPr>
                <w:sz w:val="20"/>
                <w:szCs w:val="20"/>
                <w:color w:val="auto"/>
              </w:rPr>
            </w:pPr>
            <w:r>
              <w:rPr>
                <w:rFonts w:ascii="Times New Roman" w:cs="Times New Roman" w:eastAsia="Times New Roman" w:hAnsi="Times New Roman"/>
                <w:sz w:val="15"/>
                <w:szCs w:val="15"/>
                <w:color w:val="auto"/>
              </w:rPr>
              <w:t>(USD)</w:t>
            </w:r>
          </w:p>
        </w:tc>
        <w:tc>
          <w:tcPr>
            <w:tcW w:w="0" w:type="dxa"/>
            <w:vAlign w:val="bottom"/>
          </w:tcPr>
          <w:p>
            <w:pPr>
              <w:spacing w:after="0"/>
              <w:rPr>
                <w:sz w:val="1"/>
                <w:szCs w:val="1"/>
                <w:color w:val="auto"/>
              </w:rPr>
            </w:pPr>
          </w:p>
        </w:tc>
      </w:tr>
      <w:tr>
        <w:trPr>
          <w:trHeight w:val="195"/>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Indian Rupee</w:t>
            </w:r>
          </w:p>
        </w:tc>
        <w:tc>
          <w:tcPr>
            <w:tcW w:w="14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88"/>
              </w:rPr>
              <w:t>Rs</w:t>
            </w: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4,481,555</w:t>
            </w:r>
          </w:p>
        </w:tc>
        <w:tc>
          <w:tcPr>
            <w:tcW w:w="5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3,363,150</w:t>
            </w:r>
          </w:p>
        </w:tc>
        <w:tc>
          <w:tcPr>
            <w:tcW w:w="5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40,300</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British Pound Sterling</w:t>
            </w:r>
          </w:p>
        </w:tc>
        <w:tc>
          <w:tcPr>
            <w:tcW w:w="1420" w:type="dxa"/>
            <w:vAlign w:val="bottom"/>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41,500</w:t>
            </w:r>
          </w:p>
        </w:tc>
        <w:tc>
          <w:tcPr>
            <w:tcW w:w="5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52,403</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56,098</w:t>
            </w:r>
          </w:p>
        </w:tc>
        <w:tc>
          <w:tcPr>
            <w:tcW w:w="0" w:type="dxa"/>
            <w:vAlign w:val="bottom"/>
          </w:tcPr>
          <w:p>
            <w:pPr>
              <w:spacing w:after="0"/>
              <w:rPr>
                <w:sz w:val="1"/>
                <w:szCs w:val="1"/>
                <w:color w:val="auto"/>
              </w:rPr>
            </w:pPr>
          </w:p>
        </w:tc>
      </w:tr>
      <w:tr>
        <w:trPr>
          <w:trHeight w:val="195"/>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Euro</w:t>
            </w:r>
          </w:p>
        </w:tc>
        <w:tc>
          <w:tcPr>
            <w:tcW w:w="14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44,200</w:t>
            </w:r>
          </w:p>
        </w:tc>
        <w:tc>
          <w:tcPr>
            <w:tcW w:w="5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48,429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39,000</w:t>
            </w: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42,646</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Philippine Peso</w:t>
            </w:r>
          </w:p>
        </w:tc>
        <w:tc>
          <w:tcPr>
            <w:tcW w:w="1420" w:type="dxa"/>
            <w:vAlign w:val="bottom"/>
            <w:tcBorders>
              <w:bottom w:val="single" w:sz="8" w:color="CCEEFF"/>
            </w:tcBorders>
          </w:tcPr>
          <w:p>
            <w:pPr>
              <w:ind w:left="1260"/>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5"/>
                <w:szCs w:val="15"/>
                <w:color w:val="auto"/>
              </w:rPr>
              <w:t>1,874,172</w:t>
            </w: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32,900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1,888,541</w:t>
            </w: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33,600</w:t>
            </w:r>
          </w:p>
        </w:tc>
        <w:tc>
          <w:tcPr>
            <w:tcW w:w="0" w:type="dxa"/>
            <w:vAlign w:val="bottom"/>
          </w:tcPr>
          <w:p>
            <w:pPr>
              <w:spacing w:after="0"/>
              <w:rPr>
                <w:sz w:val="1"/>
                <w:szCs w:val="1"/>
                <w:color w:val="auto"/>
              </w:rPr>
            </w:pPr>
          </w:p>
        </w:tc>
      </w:tr>
      <w:tr>
        <w:trPr>
          <w:trHeight w:val="18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4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187,132</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172,644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Part I, Item 3. </w:t>
      </w:r>
      <w:r>
        <w:rPr>
          <w:rFonts w:ascii="Times New Roman" w:cs="Times New Roman" w:eastAsia="Times New Roman" w:hAnsi="Times New Roman"/>
          <w:sz w:val="15"/>
          <w:szCs w:val="15"/>
          <w:i w:val="1"/>
          <w:iCs w:val="1"/>
          <w:color w:val="auto"/>
        </w:rPr>
        <w:t>Quantitative and Qualitative Disclosures About Market Risk</w:t>
      </w:r>
      <w:r>
        <w:rPr>
          <w:rFonts w:ascii="Times New Roman" w:cs="Times New Roman" w:eastAsia="Times New Roman" w:hAnsi="Times New Roman"/>
          <w:sz w:val="15"/>
          <w:szCs w:val="15"/>
          <w:color w:val="auto"/>
        </w:rPr>
        <w:t xml:space="preserve"> of this Quarterly Report on Form 10-Q for more information on our foreign currency exposures.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0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 xml:space="preserve">We describe our significant accounting policies in Note 2,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in the Notes to the Consolidated Financial Statements included in Part II, Item 8. of our Annual Report on Form 10-K for the fiscal year ended August 31, 2023. These accounting policies were consistently applied in preparing our Consolidated Financial Statements for the nine months ended May 31, 2024.</w:t>
      </w:r>
    </w:p>
    <w:p>
      <w:pPr>
        <w:spacing w:after="0" w:line="11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 xml:space="preserve">We disclosed our critical accounting estimates in Part II, Item 7. </w:t>
      </w:r>
      <w:r>
        <w:rPr>
          <w:rFonts w:ascii="Times New Roman" w:cs="Times New Roman" w:eastAsia="Times New Roman" w:hAnsi="Times New Roman"/>
          <w:sz w:val="15"/>
          <w:szCs w:val="15"/>
          <w:i w:val="1"/>
          <w:iCs w:val="1"/>
          <w:color w:val="auto"/>
        </w:rPr>
        <w:t>Management's Discussion and Analysis of Financial Condition and Results of Operations, Critical Accounting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Estimates, </w:t>
      </w:r>
      <w:r>
        <w:rPr>
          <w:rFonts w:ascii="Times New Roman" w:cs="Times New Roman" w:eastAsia="Times New Roman" w:hAnsi="Times New Roman"/>
          <w:sz w:val="15"/>
          <w:szCs w:val="15"/>
          <w:color w:val="auto"/>
        </w:rPr>
        <w:t>of our Annual Report on Form 10-K for the fiscal year ended August 31, 2023. There were no significant changes in our critical accounting estimates during the nine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months ended May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color w:val="auto"/>
        </w:rPr>
        <w:t xml:space="preserve">For a discussion of accounting pronouncements recently adopted and those issued but not yet adopted, refer to Note 2,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in the Notes to the Consolidated Financial Statements included in Part I, Item 1. of this Quarterly Report on Form 10-Q, which we include herein by reference.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18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Currency Transaction Risk</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 we operate globally, we are exposed to the risk that our financial condition, results of operations and cash flows could be impacted by changes in foreign currency exchange rates. As of May 31, 2024, we maintained a series of foreign currency forward contracts to hedge a portion of our primary currency exposures, namely the British Pound Sterling, Indian Rupee, Euro and Philippine Peso. We entered into these contracts with the intent to hedge between 25% to 75% of the currency exposure related to our projected operating income in these primary currencies over their respective hedge periods. The hedge maturity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periods range from the fourth quarter of fiscal 2024 through the third quarter of fiscal 2025. We utilize cash flow hedges to manage risk and not for speculative or trading purposes.</w:t>
      </w:r>
    </w:p>
    <w:p>
      <w:pPr>
        <w:spacing w:after="0" w:line="17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The changes in fair value for these foreign currency forward contracts are initially reported as a component of Accumulated other comprehensive loss ("AOCL") on the Consolidated Balance Sheets and subsequently reclassified into SG&amp;A in the Consolidated Statements of Income when the hedged exposure affects earnings.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reflects the foreign currency forward contracts gain (loss) reclassified from AOCL into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2620" w:type="dxa"/>
            <w:vAlign w:val="bottom"/>
            <w:gridSpan w:val="2"/>
          </w:tcPr>
          <w:p>
            <w:pPr>
              <w:jc w:val="center"/>
              <w:ind w:left="884"/>
              <w:spacing w:after="0"/>
              <w:rPr>
                <w:sz w:val="20"/>
                <w:szCs w:val="20"/>
                <w:color w:val="auto"/>
              </w:rPr>
            </w:pPr>
            <w:r>
              <w:rPr>
                <w:rFonts w:ascii="Times New Roman" w:cs="Times New Roman" w:eastAsia="Times New Roman" w:hAnsi="Times New Roman"/>
                <w:sz w:val="15"/>
                <w:szCs w:val="15"/>
                <w:color w:val="auto"/>
              </w:rPr>
              <w:t>Three Months Ended</w:t>
            </w:r>
          </w:p>
        </w:tc>
        <w:tc>
          <w:tcPr>
            <w:tcW w:w="420" w:type="dxa"/>
            <w:vAlign w:val="bottom"/>
          </w:tcPr>
          <w:p>
            <w:pPr>
              <w:spacing w:after="0"/>
              <w:rPr>
                <w:sz w:val="16"/>
                <w:szCs w:val="16"/>
                <w:color w:val="auto"/>
              </w:rPr>
            </w:pPr>
          </w:p>
        </w:tc>
        <w:tc>
          <w:tcPr>
            <w:tcW w:w="2060" w:type="dxa"/>
            <w:vAlign w:val="bottom"/>
            <w:gridSpan w:val="2"/>
          </w:tcPr>
          <w:p>
            <w:pPr>
              <w:jc w:val="center"/>
              <w:ind w:left="404"/>
              <w:spacing w:after="0"/>
              <w:rPr>
                <w:sz w:val="20"/>
                <w:szCs w:val="20"/>
                <w:color w:val="auto"/>
              </w:rPr>
            </w:pPr>
            <w:r>
              <w:rPr>
                <w:rFonts w:ascii="Times New Roman" w:cs="Times New Roman" w:eastAsia="Times New Roman" w:hAnsi="Times New Roman"/>
                <w:sz w:val="15"/>
                <w:szCs w:val="15"/>
                <w:color w:val="auto"/>
              </w:rPr>
              <w:t>Nine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360" w:type="dxa"/>
            <w:vAlign w:val="bottom"/>
          </w:tcPr>
          <w:p>
            <w:pPr>
              <w:spacing w:after="0"/>
              <w:rPr>
                <w:sz w:val="16"/>
                <w:szCs w:val="16"/>
                <w:color w:val="auto"/>
              </w:rPr>
            </w:pPr>
          </w:p>
        </w:tc>
        <w:tc>
          <w:tcPr>
            <w:tcW w:w="1260" w:type="dxa"/>
            <w:vAlign w:val="bottom"/>
          </w:tcPr>
          <w:p>
            <w:pPr>
              <w:jc w:val="center"/>
              <w:ind w:right="324"/>
              <w:spacing w:after="0"/>
              <w:rPr>
                <w:sz w:val="20"/>
                <w:szCs w:val="20"/>
                <w:color w:val="auto"/>
              </w:rPr>
            </w:pPr>
            <w:r>
              <w:rPr>
                <w:rFonts w:ascii="Times New Roman" w:cs="Times New Roman" w:eastAsia="Times New Roman" w:hAnsi="Times New Roman"/>
                <w:sz w:val="15"/>
                <w:szCs w:val="15"/>
                <w:color w:val="auto"/>
                <w:w w:val="99"/>
              </w:rPr>
              <w:t>May 31,</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jc w:val="center"/>
              <w:ind w:right="284"/>
              <w:spacing w:after="0"/>
              <w:rPr>
                <w:sz w:val="20"/>
                <w:szCs w:val="20"/>
                <w:color w:val="auto"/>
              </w:rPr>
            </w:pPr>
            <w:r>
              <w:rPr>
                <w:rFonts w:ascii="Times New Roman" w:cs="Times New Roman" w:eastAsia="Times New Roman" w:hAnsi="Times New Roman"/>
                <w:sz w:val="15"/>
                <w:szCs w:val="15"/>
                <w:color w:val="auto"/>
                <w:w w:val="99"/>
              </w:rPr>
              <w:t>May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8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forward contracts gain (loss) reclassified from AOCL into income</w:t>
            </w:r>
          </w:p>
        </w:tc>
        <w:tc>
          <w:tcPr>
            <w:tcW w:w="13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(518)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(200)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(5,474)</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Foreign currency exchange rate fluctuations, net of hedge activity, decreased operating income by $1.1 million and $1.5 million for the three and nine months ended May 31, 2024, respectively, when compared to the same respective periods a year ago.</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performed a sensitivity analysis as of May 31, 2024 to determine the effects on both the fair value of our outstanding foreign currency forward contracts and our operating income, excluding these forward contracts, of a hypothetical devaluation of the U.S. dollar by 10% as of May 31, 2024, relative to the other foreign currencies in which we transact. The sensitivity analysis indicated that a devaluation of the U.S. dollar by 10% would have increased the fair value of our outstanding forward contracts by approximately $18 million and our operating income, excluding these forward contracts, would have decreased by an estimated $32 million based on the results from our nine months ended May 31, 2024.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1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color w:val="auto"/>
        </w:rPr>
        <w:t xml:space="preserve">Refer to Note 5, </w:t>
      </w:r>
      <w:r>
        <w:rPr>
          <w:rFonts w:ascii="Times New Roman" w:cs="Times New Roman" w:eastAsia="Times New Roman" w:hAnsi="Times New Roman"/>
          <w:sz w:val="15"/>
          <w:szCs w:val="15"/>
          <w:i w:val="1"/>
          <w:iCs w:val="1"/>
          <w:color w:val="auto"/>
        </w:rPr>
        <w:t>Derivative Instruments</w:t>
      </w:r>
      <w:r>
        <w:rPr>
          <w:rFonts w:ascii="Times New Roman" w:cs="Times New Roman" w:eastAsia="Times New Roman" w:hAnsi="Times New Roman"/>
          <w:sz w:val="15"/>
          <w:szCs w:val="15"/>
          <w:color w:val="auto"/>
        </w:rPr>
        <w:t xml:space="preserve"> in the Notes to the Consolidated Financial Statements included in Part I, Item 1. of this Quarterly Report on Form 10-Q, for more information on our foreign currency exposures and our foreign currency forward contracts.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Currency Translation Risk</w:t>
      </w:r>
    </w:p>
    <w:p>
      <w:pPr>
        <w:spacing w:after="0" w:line="17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5"/>
          <w:szCs w:val="15"/>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reflects the foreign currency translation adjustment gains and losses recorded in Other comprehensive income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380" w:type="dxa"/>
            <w:vAlign w:val="bottom"/>
            <w:gridSpan w:val="2"/>
          </w:tcPr>
          <w:p>
            <w:pPr>
              <w:jc w:val="center"/>
              <w:ind w:left="1484"/>
              <w:spacing w:after="0"/>
              <w:rPr>
                <w:sz w:val="20"/>
                <w:szCs w:val="20"/>
                <w:color w:val="auto"/>
              </w:rPr>
            </w:pPr>
            <w:r>
              <w:rPr>
                <w:rFonts w:ascii="Times New Roman" w:cs="Times New Roman" w:eastAsia="Times New Roman" w:hAnsi="Times New Roman"/>
                <w:sz w:val="15"/>
                <w:szCs w:val="15"/>
                <w:color w:val="auto"/>
              </w:rPr>
              <w:t>Three Months Ended</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2"/>
          </w:tcPr>
          <w:p>
            <w:pPr>
              <w:jc w:val="center"/>
              <w:ind w:right="244"/>
              <w:spacing w:after="0"/>
              <w:rPr>
                <w:sz w:val="20"/>
                <w:szCs w:val="20"/>
                <w:color w:val="auto"/>
              </w:rPr>
            </w:pPr>
            <w:r>
              <w:rPr>
                <w:rFonts w:ascii="Times New Roman" w:cs="Times New Roman" w:eastAsia="Times New Roman" w:hAnsi="Times New Roman"/>
                <w:sz w:val="15"/>
                <w:szCs w:val="15"/>
                <w:color w:val="auto"/>
              </w:rPr>
              <w:t>Nine Months Ended</w:t>
            </w:r>
          </w:p>
        </w:tc>
      </w:tr>
      <w:tr>
        <w:trPr>
          <w:trHeight w:val="198"/>
        </w:trPr>
        <w:tc>
          <w:tcPr>
            <w:tcW w:w="4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20" w:type="dxa"/>
            <w:vAlign w:val="bottom"/>
          </w:tcPr>
          <w:p>
            <w:pPr>
              <w:jc w:val="center"/>
              <w:ind w:right="324"/>
              <w:spacing w:after="0"/>
              <w:rPr>
                <w:sz w:val="20"/>
                <w:szCs w:val="20"/>
                <w:color w:val="auto"/>
              </w:rPr>
            </w:pPr>
            <w:r>
              <w:rPr>
                <w:rFonts w:ascii="Times New Roman" w:cs="Times New Roman" w:eastAsia="Times New Roman" w:hAnsi="Times New Roman"/>
                <w:sz w:val="15"/>
                <w:szCs w:val="15"/>
                <w:color w:val="auto"/>
                <w:w w:val="99"/>
              </w:rPr>
              <w:t>May 31,</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center"/>
              <w:ind w:left="604"/>
              <w:spacing w:after="0"/>
              <w:rPr>
                <w:sz w:val="20"/>
                <w:szCs w:val="20"/>
                <w:color w:val="auto"/>
              </w:rPr>
            </w:pPr>
            <w:r>
              <w:rPr>
                <w:rFonts w:ascii="Times New Roman" w:cs="Times New Roman" w:eastAsia="Times New Roman" w:hAnsi="Times New Roman"/>
                <w:sz w:val="15"/>
                <w:szCs w:val="15"/>
                <w:color w:val="auto"/>
                <w:w w:val="99"/>
              </w:rPr>
              <w:t>May 31,</w:t>
            </w:r>
          </w:p>
        </w:tc>
        <w:tc>
          <w:tcPr>
            <w:tcW w:w="1000" w:type="dxa"/>
            <w:vAlign w:val="bottom"/>
          </w:tcPr>
          <w:p>
            <w:pPr>
              <w:spacing w:after="0"/>
              <w:rPr>
                <w:sz w:val="17"/>
                <w:szCs w:val="17"/>
                <w:color w:val="auto"/>
              </w:rPr>
            </w:pPr>
          </w:p>
        </w:tc>
      </w:tr>
      <w:tr>
        <w:trPr>
          <w:trHeight w:val="229"/>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2023</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rPr>
              <w:t>2024</w:t>
            </w: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2023</w:t>
            </w:r>
          </w:p>
        </w:tc>
      </w:tr>
      <w:tr>
        <w:trPr>
          <w:trHeight w:val="18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translation adjustment gains (losses)</w:t>
            </w:r>
          </w:p>
        </w:tc>
        <w:tc>
          <w:tcPr>
            <w:tcW w:w="196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(1,282)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4,943</w:t>
            </w:r>
          </w:p>
        </w:tc>
        <w:tc>
          <w:tcPr>
            <w:tcW w:w="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(2,330) $</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16,782</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Rate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Cash and Cash Equivalents and Investments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As of May 31, 2024, we had Cash and cash equivalents of $453.1 million and Investments of $68.9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5"/>
          <w:szCs w:val="15"/>
          <w:i w:val="1"/>
          <w:iCs w:val="1"/>
          <w:color w:val="auto"/>
        </w:rPr>
        <w:t>Summary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Significant Accounting Policies </w:t>
      </w:r>
      <w:r>
        <w:rPr>
          <w:rFonts w:ascii="Times New Roman" w:cs="Times New Roman" w:eastAsia="Times New Roman" w:hAnsi="Times New Roman"/>
          <w:sz w:val="15"/>
          <w:szCs w:val="15"/>
          <w:color w:val="auto"/>
        </w:rPr>
        <w:t>in the Notes to the Consolidated Financial Statements included in Part II, Item 8. of our Annual Report on Form 10-K for more information on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Cash and cash equivalents.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Debt</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 of May 31, 2024, our outstanding variable interest rate debt included $187.5 million under the 2022 Term Facility and $250.0 million under the 2022 Revolving Facility. From the borrowing date through November 30, 2023, the outstanding borrowings under the 2022 Credit Facilities bore interest at a rate equal to the applicable one-month Term SOFR plus a 1.1% spread (comprised of a 1.0% interest rate margin based on a debt leverage pricing grid plus a 0.1% credit spread adjustment). From December 1, 2023 through May 31, 2024, the spread decreased to 0.975% (comprised of a 0.875% interest rate margin based on a debt leverage pricing grid plus a 0.1% credit spread adjustment).</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To mitigate our exposure to interest rate volatility due to changes in SOFR, we entered into the 2022 Swap Agreement on March 1, 2022, to hedge a portion of our outstanding floating SOFR debt with a fixed interest rate of 1.162%. The 2022 Swap Agreement matured on February 28, 2024. To continue to hedge our outstanding floating SOFR debt, on March 1, 2024, we entered into the 2024 Swap Agreement with a notional amount of $200.0 million at a fixed interest rate of 5.145%. The notional amount of the 2024 Swap Agreement declines by $50.0 million on a quarterly basis beginning May 31, 2024 and matures on February 28, 2025. As of May 31, 2024, the notional amount of the 2024 Swap Agreement was $150.0 million.</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Senior Notes have a fixed interest rate and are not subject to interest rate change. As such, our interest rate exposure is limited to the outstanding principal balance of our variable rate debt under our 2022 Credit Facilities in excess of our swap agreements. As of May 31, 2024, our interest rate exposure on our variable rate debt, net of our 2024 Swap Agreement, was $287.5 million. Assuming the principal balance of our outstanding variable rate debt, net of the 2024 Swap Agreement, remained at $287.5 million, a hypothetical 25 basis point change (up or down) in the one-month SOFR would result in an approximate $1 million change to our annual interest expense as of May 31, 2024.</w:t>
      </w:r>
    </w:p>
    <w:p>
      <w:pPr>
        <w:spacing w:after="0" w:line="123"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5"/>
          <w:szCs w:val="15"/>
          <w:color w:val="auto"/>
        </w:rPr>
        <w:t xml:space="preserve">Refer to Note 5, </w:t>
      </w:r>
      <w:r>
        <w:rPr>
          <w:rFonts w:ascii="Times New Roman" w:cs="Times New Roman" w:eastAsia="Times New Roman" w:hAnsi="Times New Roman"/>
          <w:sz w:val="15"/>
          <w:szCs w:val="15"/>
          <w:i w:val="1"/>
          <w:iCs w:val="1"/>
          <w:color w:val="auto"/>
        </w:rPr>
        <w:t>Derivative Instruments</w:t>
      </w:r>
      <w:r>
        <w:rPr>
          <w:rFonts w:ascii="Times New Roman" w:cs="Times New Roman" w:eastAsia="Times New Roman" w:hAnsi="Times New Roman"/>
          <w:sz w:val="15"/>
          <w:szCs w:val="15"/>
          <w:color w:val="auto"/>
        </w:rPr>
        <w:t xml:space="preserve"> and Note 10,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and in the Notes to the Consolidated Financial Statements included in Part I, Item 1. of this Quarterly Report on Form 10-Q for more information on our swap agreements and outstanding borrowings as of May 31,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Our Principal Executive Officer and Principal Financial Officer have concluded that our disclosure controls and procedures were effective as of the end of the period covered by this report.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(as such term is defined in Rules 13a-15(f) and 15d-15(f) under the Exchange Act) during the three and nine months ended May 31, 2024 that have materially affected, or are reasonably likely to materially affect, our internal control over financial reporting.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color w:val="auto"/>
        </w:rPr>
        <w:t xml:space="preserve">The information set forth under "Contingencies" in Note 11, </w:t>
      </w:r>
      <w:r>
        <w:rPr>
          <w:rFonts w:ascii="Times New Roman" w:cs="Times New Roman" w:eastAsia="Times New Roman" w:hAnsi="Times New Roman"/>
          <w:sz w:val="15"/>
          <w:szCs w:val="15"/>
          <w:i w:val="1"/>
          <w:iCs w:val="1"/>
          <w:color w:val="auto"/>
        </w:rPr>
        <w:t>Commitments and Contingencies</w:t>
      </w:r>
      <w:r>
        <w:rPr>
          <w:rFonts w:ascii="Times New Roman" w:cs="Times New Roman" w:eastAsia="Times New Roman" w:hAnsi="Times New Roman"/>
          <w:sz w:val="15"/>
          <w:szCs w:val="15"/>
          <w:color w:val="auto"/>
        </w:rPr>
        <w:t>, contained in the Notes to the Consolidated Financial Statements included in Part I, Item 1., to this Quarterly Report on Form 10-Q is incorporated by reference in answer to this Item.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have been no material changes to the risk factors identified in our Annual Report on Form 10-K for the fiscal year ended August 31,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Items 2(a) and (b) are not applicable as there have been no unregistered sales of equity securities.</w:t>
      </w:r>
    </w:p>
    <w:p>
      <w:pPr>
        <w:spacing w:after="0" w:line="160" w:lineRule="exact"/>
        <w:rPr>
          <w:sz w:val="20"/>
          <w:szCs w:val="20"/>
          <w:color w:val="auto"/>
        </w:rPr>
      </w:pPr>
    </w:p>
    <w:p>
      <w:pPr>
        <w:ind w:left="540" w:hanging="411"/>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Issuer Purchases of Equity Securities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provides a month-to-month summary of our share repurchase activity during the three months ended May 31, 2024:</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1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Total Number of Shares Purchased</w:t>
            </w:r>
          </w:p>
        </w:tc>
        <w:tc>
          <w:tcPr>
            <w:tcW w:w="120" w:type="dxa"/>
            <w:vAlign w:val="bottom"/>
          </w:tcPr>
          <w:p>
            <w:pPr>
              <w:spacing w:after="0"/>
              <w:rPr>
                <w:sz w:val="15"/>
                <w:szCs w:val="15"/>
                <w:color w:val="auto"/>
              </w:rPr>
            </w:pPr>
          </w:p>
        </w:tc>
        <w:tc>
          <w:tcPr>
            <w:tcW w:w="248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Maximum Number of Shares (or</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940" w:type="dxa"/>
            <w:vAlign w:val="bottom"/>
            <w:vMerge w:val="restart"/>
          </w:tcPr>
          <w:p>
            <w:pPr>
              <w:jc w:val="right"/>
              <w:ind w:right="384"/>
              <w:spacing w:after="0"/>
              <w:rPr>
                <w:sz w:val="20"/>
                <w:szCs w:val="20"/>
                <w:color w:val="auto"/>
              </w:rPr>
            </w:pPr>
            <w:r>
              <w:rPr>
                <w:rFonts w:ascii="Times New Roman" w:cs="Times New Roman" w:eastAsia="Times New Roman" w:hAnsi="Times New Roman"/>
                <w:sz w:val="15"/>
                <w:szCs w:val="15"/>
                <w:color w:val="auto"/>
              </w:rPr>
              <w:t>Total Number of</w:t>
            </w:r>
          </w:p>
        </w:tc>
        <w:tc>
          <w:tcPr>
            <w:tcW w:w="320" w:type="dxa"/>
            <w:vAlign w:val="bottom"/>
          </w:tcPr>
          <w:p>
            <w:pPr>
              <w:spacing w:after="0"/>
              <w:rPr>
                <w:sz w:val="12"/>
                <w:szCs w:val="12"/>
                <w:color w:val="auto"/>
              </w:rPr>
            </w:pPr>
          </w:p>
        </w:tc>
        <w:tc>
          <w:tcPr>
            <w:tcW w:w="1640" w:type="dxa"/>
            <w:vAlign w:val="bottom"/>
            <w:vMerge w:val="restart"/>
          </w:tcPr>
          <w:p>
            <w:pPr>
              <w:jc w:val="right"/>
              <w:ind w:right="464"/>
              <w:spacing w:after="0"/>
              <w:rPr>
                <w:sz w:val="20"/>
                <w:szCs w:val="20"/>
                <w:color w:val="auto"/>
              </w:rPr>
            </w:pPr>
            <w:r>
              <w:rPr>
                <w:rFonts w:ascii="Times New Roman" w:cs="Times New Roman" w:eastAsia="Times New Roman" w:hAnsi="Times New Roman"/>
                <w:sz w:val="15"/>
                <w:szCs w:val="15"/>
                <w:color w:val="auto"/>
              </w:rPr>
              <w:t>Average Price</w:t>
            </w: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5"/>
                <w:szCs w:val="15"/>
                <w:color w:val="auto"/>
              </w:rPr>
              <w:t>Approximate Dollar Value)</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as Part of Publicly Announced</w:t>
            </w:r>
          </w:p>
        </w:tc>
        <w:tc>
          <w:tcPr>
            <w:tcW w:w="120" w:type="dxa"/>
            <w:vAlign w:val="bottom"/>
          </w:tcPr>
          <w:p>
            <w:pPr>
              <w:spacing w:after="0"/>
              <w:rPr>
                <w:sz w:val="12"/>
                <w:szCs w:val="12"/>
                <w:color w:val="auto"/>
              </w:rPr>
            </w:pPr>
          </w:p>
        </w:tc>
        <w:tc>
          <w:tcPr>
            <w:tcW w:w="24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5"/>
                <w:szCs w:val="15"/>
                <w:color w:val="auto"/>
              </w:rPr>
              <w:t>that May Yet be Purchased Under the</w:t>
            </w:r>
          </w:p>
        </w:tc>
        <w:tc>
          <w:tcPr>
            <w:tcW w:w="0" w:type="dxa"/>
            <w:vAlign w:val="bottom"/>
          </w:tcPr>
          <w:p>
            <w:pPr>
              <w:spacing w:after="0"/>
              <w:rPr>
                <w:sz w:val="1"/>
                <w:szCs w:val="1"/>
                <w:color w:val="auto"/>
              </w:rPr>
            </w:pPr>
          </w:p>
        </w:tc>
      </w:tr>
      <w:tr>
        <w:trPr>
          <w:trHeight w:val="206"/>
        </w:trPr>
        <w:tc>
          <w:tcPr>
            <w:tcW w:w="19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5"/>
                <w:szCs w:val="15"/>
                <w:color w:val="auto"/>
              </w:rPr>
              <w:t>Period</w:t>
            </w:r>
          </w:p>
        </w:tc>
        <w:tc>
          <w:tcPr>
            <w:tcW w:w="19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Shares Purchased</w:t>
            </w:r>
            <w:r>
              <w:rPr>
                <w:rFonts w:ascii="Times New Roman" w:cs="Times New Roman" w:eastAsia="Times New Roman" w:hAnsi="Times New Roman"/>
                <w:sz w:val="8"/>
                <w:szCs w:val="8"/>
                <w:color w:val="auto"/>
              </w:rPr>
              <w:t>(1)</w:t>
            </w: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Plans or Programs</w:t>
            </w:r>
            <w:r>
              <w:rPr>
                <w:rFonts w:ascii="Times New Roman" w:cs="Times New Roman" w:eastAsia="Times New Roman" w:hAnsi="Times New Roman"/>
                <w:sz w:val="8"/>
                <w:szCs w:val="8"/>
                <w:color w:val="auto"/>
              </w:rPr>
              <w:t>(2)</w:t>
            </w: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color w:val="auto"/>
              </w:rPr>
              <w:t>Plans or Programs (in US$)</w:t>
            </w: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8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2024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36,688</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466.23</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170,954</w:t>
            </w:r>
          </w:p>
        </w:tc>
        <w:tc>
          <w:tcPr>
            <w:tcW w:w="0" w:type="dxa"/>
            <w:vAlign w:val="bottom"/>
          </w:tcPr>
          <w:p>
            <w:pPr>
              <w:spacing w:after="0"/>
              <w:rPr>
                <w:sz w:val="1"/>
                <w:szCs w:val="1"/>
                <w:color w:val="auto"/>
              </w:rPr>
            </w:pPr>
          </w:p>
        </w:tc>
      </w:tr>
      <w:tr>
        <w:trPr>
          <w:trHeight w:val="195"/>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2024</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48,500</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432.56</w:t>
            </w:r>
          </w:p>
        </w:tc>
        <w:tc>
          <w:tcPr>
            <w:tcW w:w="2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48,500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149,974</w:t>
            </w:r>
          </w:p>
        </w:tc>
        <w:tc>
          <w:tcPr>
            <w:tcW w:w="0" w:type="dxa"/>
            <w:vAlign w:val="bottom"/>
          </w:tcPr>
          <w:p>
            <w:pPr>
              <w:spacing w:after="0"/>
              <w:rPr>
                <w:sz w:val="1"/>
                <w:szCs w:val="1"/>
                <w:color w:val="auto"/>
              </w:rPr>
            </w:pPr>
          </w:p>
        </w:tc>
      </w:tr>
      <w:tr>
        <w:trPr>
          <w:trHeight w:val="19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2024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52,805</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433.53</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128,082</w:t>
            </w:r>
          </w:p>
        </w:tc>
        <w:tc>
          <w:tcPr>
            <w:tcW w:w="0" w:type="dxa"/>
            <w:vAlign w:val="bottom"/>
          </w:tcPr>
          <w:p>
            <w:pPr>
              <w:spacing w:after="0"/>
              <w:rPr>
                <w:sz w:val="1"/>
                <w:szCs w:val="1"/>
                <w:color w:val="auto"/>
              </w:rPr>
            </w:pPr>
          </w:p>
        </w:tc>
      </w:tr>
      <w:tr>
        <w:trPr>
          <w:trHeight w:val="190"/>
        </w:trPr>
        <w:tc>
          <w:tcPr>
            <w:tcW w:w="1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137,993</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135,150</w:t>
            </w: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40" w:right="20" w:hanging="273"/>
        <w:spacing w:after="0" w:line="282" w:lineRule="auto"/>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135,150 shares purchased under the stock repurchase program, as well as 2,843 shares repurchased primarily to satisfy withholding tax obligations due upon the vesting of stock-based awards.</w:t>
      </w:r>
    </w:p>
    <w:p>
      <w:pPr>
        <w:jc w:val="both"/>
        <w:ind w:left="540" w:hanging="273"/>
        <w:spacing w:after="0" w:line="253" w:lineRule="auto"/>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of May 31, 2024, $128.1 million remained authorized under our share repurchase program for future share repurchases.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 Item 2. </w:t>
      </w:r>
      <w:r>
        <w:rPr>
          <w:rFonts w:ascii="Times New Roman" w:cs="Times New Roman" w:eastAsia="Times New Roman" w:hAnsi="Times New Roman"/>
          <w:sz w:val="14"/>
          <w:szCs w:val="14"/>
          <w:i w:val="1"/>
          <w:iCs w:val="1"/>
          <w:color w:val="auto"/>
        </w:rPr>
        <w:t>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Condition and Results of Operations, Liquidity and Capital Resources, </w:t>
      </w:r>
      <w:r>
        <w:rPr>
          <w:rFonts w:ascii="Times New Roman" w:cs="Times New Roman" w:eastAsia="Times New Roman" w:hAnsi="Times New Roman"/>
          <w:sz w:val="14"/>
          <w:szCs w:val="14"/>
          <w:color w:val="auto"/>
        </w:rPr>
        <w:t>of this Quarterly Report on Form 10-Q for further discussion on our share repurchase program.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Arrangements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On August 11, 2023, we entered into an agreement to adopt a trading arrangement for the repurchase of shares of our common stock in the open market consistent with the provisions of Rule 10b5-1 of the Securities Exchange Act of 1934. The arrangement provides for the repurchase of up to $250 million of our common stock during the period from September 1, 2023 through August 31, 2024 pursuant to a written algorithm for determining the amount, price and date for purchase of shares of our common stock.</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None of our directors or officers (as defined in Section 16 of the Securities Exchange Act of 1934, as amended), adopted or terminated a Rule 10b5-1 trading arrangement or a non-Rule 10b5-1 trading arrangement (each as defined in Item 408(a) and (c) of Regulation S-K) during the quarter ended May 31,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61595</wp:posOffset>
            </wp:positionV>
            <wp:extent cx="717804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Incorporated by Reference</w:t>
            </w: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6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auto"/>
              </w:rPr>
              <w:t>Exhibit Number</w:t>
            </w:r>
          </w:p>
        </w:tc>
        <w:tc>
          <w:tcPr>
            <w:tcW w:w="5140" w:type="dxa"/>
            <w:vAlign w:val="bottom"/>
          </w:tcPr>
          <w:p>
            <w:pPr>
              <w:ind w:left="160"/>
              <w:spacing w:after="0" w:line="152" w:lineRule="exact"/>
              <w:rPr>
                <w:sz w:val="20"/>
                <w:szCs w:val="20"/>
                <w:color w:val="auto"/>
              </w:rPr>
            </w:pPr>
            <w:r>
              <w:rPr>
                <w:rFonts w:ascii="Times New Roman" w:cs="Times New Roman" w:eastAsia="Times New Roman" w:hAnsi="Times New Roman"/>
                <w:sz w:val="15"/>
                <w:szCs w:val="15"/>
                <w:color w:val="auto"/>
              </w:rPr>
              <w:t>Exhibit</w:t>
            </w:r>
          </w:p>
        </w:tc>
        <w:tc>
          <w:tcPr>
            <w:tcW w:w="62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color w:val="auto"/>
              </w:rPr>
              <w:t>Form</w:t>
            </w:r>
          </w:p>
        </w:tc>
        <w:tc>
          <w:tcPr>
            <w:tcW w:w="1020" w:type="dxa"/>
            <w:vAlign w:val="bottom"/>
          </w:tcPr>
          <w:p>
            <w:pPr>
              <w:ind w:left="240"/>
              <w:spacing w:after="0" w:line="152" w:lineRule="exact"/>
              <w:rPr>
                <w:sz w:val="20"/>
                <w:szCs w:val="20"/>
                <w:color w:val="auto"/>
              </w:rPr>
            </w:pPr>
            <w:r>
              <w:rPr>
                <w:rFonts w:ascii="Times New Roman" w:cs="Times New Roman" w:eastAsia="Times New Roman" w:hAnsi="Times New Roman"/>
                <w:sz w:val="15"/>
                <w:szCs w:val="15"/>
                <w:color w:val="auto"/>
              </w:rPr>
              <w:t>File No.</w:t>
            </w:r>
          </w:p>
        </w:tc>
        <w:tc>
          <w:tcPr>
            <w:tcW w:w="1140" w:type="dxa"/>
            <w:vAlign w:val="bottom"/>
          </w:tcPr>
          <w:p>
            <w:pPr>
              <w:ind w:left="300"/>
              <w:spacing w:after="0" w:line="152" w:lineRule="exact"/>
              <w:rPr>
                <w:sz w:val="20"/>
                <w:szCs w:val="20"/>
                <w:color w:val="auto"/>
              </w:rPr>
            </w:pPr>
            <w:r>
              <w:rPr>
                <w:rFonts w:ascii="Times New Roman" w:cs="Times New Roman" w:eastAsia="Times New Roman" w:hAnsi="Times New Roman"/>
                <w:sz w:val="15"/>
                <w:szCs w:val="15"/>
                <w:color w:val="auto"/>
              </w:rPr>
              <w:t>Exhibit No.</w:t>
            </w:r>
          </w:p>
        </w:tc>
        <w:tc>
          <w:tcPr>
            <w:tcW w:w="102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Filing Date</w:t>
            </w:r>
          </w:p>
        </w:tc>
        <w:tc>
          <w:tcPr>
            <w:tcW w:w="1180" w:type="dxa"/>
            <w:vAlign w:val="bottom"/>
          </w:tcPr>
          <w:p>
            <w:pPr>
              <w:ind w:left="180"/>
              <w:spacing w:after="0" w:line="152" w:lineRule="exact"/>
              <w:rPr>
                <w:sz w:val="20"/>
                <w:szCs w:val="20"/>
                <w:color w:val="auto"/>
              </w:rPr>
            </w:pPr>
            <w:r>
              <w:rPr>
                <w:rFonts w:ascii="Times New Roman" w:cs="Times New Roman" w:eastAsia="Times New Roman" w:hAnsi="Times New Roman"/>
                <w:sz w:val="15"/>
                <w:szCs w:val="15"/>
                <w:color w:val="auto"/>
              </w:rPr>
              <w:t>Filed</w:t>
            </w:r>
          </w:p>
        </w:tc>
        <w:tc>
          <w:tcPr>
            <w:tcW w:w="0" w:type="dxa"/>
            <w:vAlign w:val="bottom"/>
          </w:tcPr>
          <w:p>
            <w:pPr>
              <w:spacing w:after="0"/>
              <w:rPr>
                <w:sz w:val="1"/>
                <w:szCs w:val="1"/>
                <w:color w:val="auto"/>
              </w:rPr>
            </w:pPr>
          </w:p>
        </w:tc>
      </w:tr>
      <w:tr>
        <w:trPr>
          <w:trHeight w:val="202"/>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Description</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Herewith</w:t>
            </w:r>
          </w:p>
        </w:tc>
        <w:tc>
          <w:tcPr>
            <w:tcW w:w="0" w:type="dxa"/>
            <w:vAlign w:val="bottom"/>
          </w:tcPr>
          <w:p>
            <w:pPr>
              <w:spacing w:after="0"/>
              <w:rPr>
                <w:sz w:val="1"/>
                <w:szCs w:val="1"/>
                <w:color w:val="auto"/>
              </w:rPr>
            </w:pPr>
          </w:p>
        </w:tc>
      </w:tr>
      <w:tr>
        <w:trPr>
          <w:trHeight w:val="168"/>
        </w:trPr>
        <w:tc>
          <w:tcPr>
            <w:tcW w:w="1160" w:type="dxa"/>
            <w:vAlign w:val="bottom"/>
            <w:tcBorders>
              <w:left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5"/>
                <w:szCs w:val="15"/>
                <w:color w:val="0000FF"/>
              </w:rPr>
              <w:t>10.1</w:t>
            </w:r>
          </w:p>
        </w:tc>
        <w:tc>
          <w:tcPr>
            <w:tcW w:w="5140" w:type="dxa"/>
            <w:vAlign w:val="bottom"/>
          </w:tcPr>
          <w:p>
            <w:pPr>
              <w:ind w:left="160"/>
              <w:spacing w:after="0" w:line="168" w:lineRule="exact"/>
              <w:rPr>
                <w:sz w:val="20"/>
                <w:szCs w:val="20"/>
                <w:color w:val="auto"/>
              </w:rPr>
            </w:pPr>
            <w:r>
              <w:rPr>
                <w:rFonts w:ascii="Times New Roman" w:cs="Times New Roman" w:eastAsia="Times New Roman" w:hAnsi="Times New Roman"/>
                <w:sz w:val="15"/>
                <w:szCs w:val="15"/>
                <w:color w:val="auto"/>
              </w:rPr>
              <w:t>FactSet Research Systems Inc. Executive Severance Plan, as amended</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Borders>
              <w:right w:val="single" w:sz="8" w:color="auto"/>
            </w:tcBorders>
          </w:tcPr>
          <w:p>
            <w:pPr>
              <w:ind w:left="180"/>
              <w:spacing w:after="0" w:line="168" w:lineRule="exact"/>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37"/>
        </w:trPr>
        <w:tc>
          <w:tcPr>
            <w:tcW w:w="280" w:type="dxa"/>
            <w:vAlign w:val="bottom"/>
            <w:tcBorders>
              <w:top w:val="single" w:sz="8" w:color="0000FF"/>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116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rPr>
              <w:t>31.1</w:t>
            </w:r>
          </w:p>
        </w:tc>
        <w:tc>
          <w:tcPr>
            <w:tcW w:w="5140" w:type="dxa"/>
            <w:vAlign w:val="bottom"/>
          </w:tcPr>
          <w:p>
            <w:pPr>
              <w:ind w:left="160"/>
              <w:spacing w:after="0" w:line="141" w:lineRule="exact"/>
              <w:rPr>
                <w:sz w:val="20"/>
                <w:szCs w:val="20"/>
                <w:color w:val="auto"/>
              </w:rPr>
            </w:pPr>
            <w:r>
              <w:rPr>
                <w:rFonts w:ascii="Times New Roman" w:cs="Times New Roman" w:eastAsia="Times New Roman" w:hAnsi="Times New Roman"/>
                <w:sz w:val="15"/>
                <w:szCs w:val="15"/>
                <w:color w:val="auto"/>
              </w:rPr>
              <w:t>Certification of the Chief Executive Officer pursuant to Rule 13a-14(a) and Rule</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80"/>
        </w:trPr>
        <w:tc>
          <w:tcPr>
            <w:tcW w:w="1160" w:type="dxa"/>
            <w:vAlign w:val="bottom"/>
            <w:tcBorders>
              <w:left w:val="single" w:sz="8" w:color="auto"/>
            </w:tcBorders>
            <w:gridSpan w:val="2"/>
            <w:vMerge w:val="continue"/>
          </w:tcPr>
          <w:p>
            <w:pPr>
              <w:spacing w:after="0"/>
              <w:rPr>
                <w:sz w:val="6"/>
                <w:szCs w:val="6"/>
                <w:color w:val="auto"/>
              </w:rPr>
            </w:pPr>
          </w:p>
        </w:tc>
        <w:tc>
          <w:tcPr>
            <w:tcW w:w="51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15d-14(a) of the Securities Exchange Act, as amended</w:t>
            </w: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80" w:type="dxa"/>
            <w:vAlign w:val="bottom"/>
            <w:tcBorders>
              <w:top w:val="single" w:sz="8" w:color="0000FF"/>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16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rPr>
              <w:t>31.2</w:t>
            </w:r>
          </w:p>
        </w:tc>
        <w:tc>
          <w:tcPr>
            <w:tcW w:w="5140" w:type="dxa"/>
            <w:vAlign w:val="bottom"/>
          </w:tcPr>
          <w:p>
            <w:pPr>
              <w:ind w:left="160"/>
              <w:spacing w:after="0" w:line="145" w:lineRule="exact"/>
              <w:rPr>
                <w:sz w:val="20"/>
                <w:szCs w:val="20"/>
                <w:color w:val="auto"/>
              </w:rPr>
            </w:pPr>
            <w:r>
              <w:rPr>
                <w:rFonts w:ascii="Times New Roman" w:cs="Times New Roman" w:eastAsia="Times New Roman" w:hAnsi="Times New Roman"/>
                <w:sz w:val="15"/>
                <w:szCs w:val="15"/>
                <w:color w:val="auto"/>
              </w:rPr>
              <w:t>Certification of the Chief Financial Officer pursuant to Rule 13a-14(a) and Rule</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80"/>
        </w:trPr>
        <w:tc>
          <w:tcPr>
            <w:tcW w:w="1160" w:type="dxa"/>
            <w:vAlign w:val="bottom"/>
            <w:tcBorders>
              <w:left w:val="single" w:sz="8" w:color="auto"/>
            </w:tcBorders>
            <w:gridSpan w:val="2"/>
            <w:vMerge w:val="continue"/>
          </w:tcPr>
          <w:p>
            <w:pPr>
              <w:spacing w:after="0"/>
              <w:rPr>
                <w:sz w:val="6"/>
                <w:szCs w:val="6"/>
                <w:color w:val="auto"/>
              </w:rPr>
            </w:pPr>
          </w:p>
        </w:tc>
        <w:tc>
          <w:tcPr>
            <w:tcW w:w="51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15d-14(a) of the Securities Exchange Act, as amended</w:t>
            </w: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80" w:type="dxa"/>
            <w:vAlign w:val="bottom"/>
            <w:tcBorders>
              <w:top w:val="single" w:sz="8" w:color="0000FF"/>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16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rPr>
              <w:t>32.1</w:t>
            </w:r>
          </w:p>
        </w:tc>
        <w:tc>
          <w:tcPr>
            <w:tcW w:w="5140" w:type="dxa"/>
            <w:vAlign w:val="bottom"/>
          </w:tcPr>
          <w:p>
            <w:pPr>
              <w:ind w:left="160"/>
              <w:spacing w:after="0" w:line="145" w:lineRule="exact"/>
              <w:rPr>
                <w:sz w:val="20"/>
                <w:szCs w:val="20"/>
                <w:color w:val="auto"/>
              </w:rPr>
            </w:pPr>
            <w:r>
              <w:rPr>
                <w:rFonts w:ascii="Times New Roman" w:cs="Times New Roman" w:eastAsia="Times New Roman" w:hAnsi="Times New Roman"/>
                <w:sz w:val="15"/>
                <w:szCs w:val="15"/>
                <w:color w:val="auto"/>
              </w:rPr>
              <w:t>Certification of the Chief Executive Officer pursuant to 18 U.S.C. 1350, as</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80"/>
        </w:trPr>
        <w:tc>
          <w:tcPr>
            <w:tcW w:w="1160" w:type="dxa"/>
            <w:vAlign w:val="bottom"/>
            <w:tcBorders>
              <w:left w:val="single" w:sz="8" w:color="auto"/>
            </w:tcBorders>
            <w:gridSpan w:val="2"/>
            <w:vMerge w:val="continue"/>
          </w:tcPr>
          <w:p>
            <w:pPr>
              <w:spacing w:after="0"/>
              <w:rPr>
                <w:sz w:val="6"/>
                <w:szCs w:val="6"/>
                <w:color w:val="auto"/>
              </w:rPr>
            </w:pPr>
          </w:p>
        </w:tc>
        <w:tc>
          <w:tcPr>
            <w:tcW w:w="51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adopted pursuant to Section 906 of the Sarbanes-Oxley Act of 2002</w:t>
            </w: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80" w:type="dxa"/>
            <w:vAlign w:val="bottom"/>
            <w:tcBorders>
              <w:top w:val="single" w:sz="8" w:color="0000FF"/>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16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rPr>
              <w:t>32.2</w:t>
            </w:r>
          </w:p>
        </w:tc>
        <w:tc>
          <w:tcPr>
            <w:tcW w:w="5140" w:type="dxa"/>
            <w:vAlign w:val="bottom"/>
          </w:tcPr>
          <w:p>
            <w:pPr>
              <w:ind w:left="160"/>
              <w:spacing w:after="0" w:line="145" w:lineRule="exact"/>
              <w:rPr>
                <w:sz w:val="20"/>
                <w:szCs w:val="20"/>
                <w:color w:val="auto"/>
              </w:rPr>
            </w:pPr>
            <w:r>
              <w:rPr>
                <w:rFonts w:ascii="Times New Roman" w:cs="Times New Roman" w:eastAsia="Times New Roman" w:hAnsi="Times New Roman"/>
                <w:sz w:val="15"/>
                <w:szCs w:val="15"/>
                <w:color w:val="auto"/>
              </w:rPr>
              <w:t>Certification of the Chief Financial Officer pursuant to 18 U.S.C. 1350, as</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80"/>
        </w:trPr>
        <w:tc>
          <w:tcPr>
            <w:tcW w:w="1160" w:type="dxa"/>
            <w:vAlign w:val="bottom"/>
            <w:tcBorders>
              <w:left w:val="single" w:sz="8" w:color="auto"/>
            </w:tcBorders>
            <w:gridSpan w:val="2"/>
            <w:vMerge w:val="continue"/>
          </w:tcPr>
          <w:p>
            <w:pPr>
              <w:spacing w:after="0"/>
              <w:rPr>
                <w:sz w:val="6"/>
                <w:szCs w:val="6"/>
                <w:color w:val="auto"/>
              </w:rPr>
            </w:pPr>
          </w:p>
        </w:tc>
        <w:tc>
          <w:tcPr>
            <w:tcW w:w="51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adopted pursuant to Section 906 of the Sarbanes-Oxley Act of 2002</w:t>
            </w: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80" w:type="dxa"/>
            <w:vAlign w:val="bottom"/>
            <w:tcBorders>
              <w:top w:val="single" w:sz="8" w:color="0000FF"/>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80" w:type="dxa"/>
            <w:vAlign w:val="bottom"/>
            <w:tcBorders>
              <w:lef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5"/>
                <w:szCs w:val="15"/>
                <w:color w:val="212529"/>
              </w:rPr>
              <w:t>XBRL Instance Document - The instance document does not appear in the</w:t>
            </w: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101.INS</w:t>
            </w:r>
          </w:p>
        </w:tc>
        <w:tc>
          <w:tcPr>
            <w:tcW w:w="5140" w:type="dxa"/>
            <w:vAlign w:val="bottom"/>
          </w:tcPr>
          <w:p>
            <w:pPr>
              <w:ind w:left="160"/>
              <w:spacing w:after="0"/>
              <w:rPr>
                <w:sz w:val="20"/>
                <w:szCs w:val="20"/>
                <w:color w:val="auto"/>
              </w:rPr>
            </w:pPr>
            <w:r>
              <w:rPr>
                <w:rFonts w:ascii="Times New Roman" w:cs="Times New Roman" w:eastAsia="Times New Roman" w:hAnsi="Times New Roman"/>
                <w:sz w:val="15"/>
                <w:szCs w:val="15"/>
                <w:color w:val="212529"/>
              </w:rPr>
              <w:t>interactive data file because its XBRL tags are embedded within the Inline</w:t>
            </w: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204"/>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212529"/>
              </w:rPr>
              <w:t>XBRL document</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6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101.SCH</w:t>
            </w:r>
          </w:p>
        </w:tc>
        <w:tc>
          <w:tcPr>
            <w:tcW w:w="5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XBRL Taxonomy Extension Schema</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186"/>
        </w:trPr>
        <w:tc>
          <w:tcPr>
            <w:tcW w:w="116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101.CAL</w:t>
            </w:r>
          </w:p>
        </w:tc>
        <w:tc>
          <w:tcPr>
            <w:tcW w:w="5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XBRL Taxonomy Extension Calculation Linkbase</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186"/>
        </w:trPr>
        <w:tc>
          <w:tcPr>
            <w:tcW w:w="116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101.DEF</w:t>
            </w:r>
          </w:p>
        </w:tc>
        <w:tc>
          <w:tcPr>
            <w:tcW w:w="5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186"/>
        </w:trPr>
        <w:tc>
          <w:tcPr>
            <w:tcW w:w="116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101.LAB</w:t>
            </w:r>
          </w:p>
        </w:tc>
        <w:tc>
          <w:tcPr>
            <w:tcW w:w="5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XBRL Taxonomy Extension Label Linkbase</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186"/>
        </w:trPr>
        <w:tc>
          <w:tcPr>
            <w:tcW w:w="116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101.PRE</w:t>
            </w:r>
          </w:p>
        </w:tc>
        <w:tc>
          <w:tcPr>
            <w:tcW w:w="5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XBRL Taxonomy Extension Presentation Linkbase</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141"/>
        </w:trPr>
        <w:tc>
          <w:tcPr>
            <w:tcW w:w="28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880" w:type="dxa"/>
            <w:vAlign w:val="bottom"/>
          </w:tcPr>
          <w:p>
            <w:pPr>
              <w:spacing w:after="0"/>
              <w:rPr>
                <w:sz w:val="12"/>
                <w:szCs w:val="12"/>
                <w:color w:val="auto"/>
              </w:rPr>
            </w:pPr>
          </w:p>
        </w:tc>
        <w:tc>
          <w:tcPr>
            <w:tcW w:w="5140" w:type="dxa"/>
            <w:vAlign w:val="bottom"/>
          </w:tcPr>
          <w:p>
            <w:pPr>
              <w:ind w:left="160"/>
              <w:spacing w:after="0" w:line="141" w:lineRule="exact"/>
              <w:rPr>
                <w:sz w:val="20"/>
                <w:szCs w:val="20"/>
                <w:color w:val="auto"/>
              </w:rPr>
            </w:pPr>
            <w:r>
              <w:rPr>
                <w:rFonts w:ascii="Times New Roman" w:cs="Times New Roman" w:eastAsia="Times New Roman" w:hAnsi="Times New Roman"/>
                <w:sz w:val="15"/>
                <w:szCs w:val="15"/>
                <w:color w:val="auto"/>
              </w:rPr>
              <w:t>Cover page Interactive Data File (formatted as Inline XBRL and contained in</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126"/>
        </w:trPr>
        <w:tc>
          <w:tcPr>
            <w:tcW w:w="280" w:type="dxa"/>
            <w:vAlign w:val="bottom"/>
            <w:tcBorders>
              <w:left w:val="single" w:sz="8" w:color="auto"/>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51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Exhibit 101)</w:t>
            </w: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140" w:type="dxa"/>
            <w:vAlign w:val="bottom"/>
            <w:tcBorders>
              <w:bottom w:val="single" w:sz="8" w:color="auto"/>
            </w:tcBorders>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30"/>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40" w:type="dxa"/>
            <w:vAlign w:val="bottom"/>
          </w:tcPr>
          <w:p>
            <w:pPr>
              <w:ind w:left="4380"/>
              <w:spacing w:after="0"/>
              <w:rPr>
                <w:sz w:val="20"/>
                <w:szCs w:val="20"/>
                <w:color w:val="auto"/>
              </w:rPr>
            </w:pPr>
            <w:r>
              <w:rPr>
                <w:rFonts w:ascii="Times New Roman" w:cs="Times New Roman" w:eastAsia="Times New Roman" w:hAnsi="Times New Roman"/>
                <w:sz w:val="15"/>
                <w:szCs w:val="15"/>
                <w:color w:val="auto"/>
              </w:rPr>
              <w:t>53</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tcPr>
          <w:p>
            <w:pPr>
              <w:spacing w:after="0"/>
              <w:rPr>
                <w:sz w:val="15"/>
                <w:szCs w:val="15"/>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FACTSET RESEARCH SYSTEMS INC.</w:t>
            </w:r>
          </w:p>
        </w:tc>
      </w:tr>
      <w:tr>
        <w:trPr>
          <w:trHeight w:val="198"/>
        </w:trPr>
        <w:tc>
          <w:tcPr>
            <w:tcW w:w="5240" w:type="dxa"/>
            <w:vAlign w:val="bottom"/>
          </w:tcPr>
          <w:p>
            <w:pPr>
              <w:spacing w:after="0"/>
              <w:rPr>
                <w:sz w:val="17"/>
                <w:szCs w:val="17"/>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(Registrant)</w:t>
            </w:r>
          </w:p>
        </w:tc>
      </w:tr>
      <w:tr>
        <w:trPr>
          <w:trHeight w:val="398"/>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Date: July 3, 2024</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LINDA S. HUBER</w:t>
            </w:r>
          </w:p>
        </w:tc>
      </w:tr>
      <w:tr>
        <w:trPr>
          <w:trHeight w:val="183"/>
        </w:trPr>
        <w:tc>
          <w:tcPr>
            <w:tcW w:w="5240" w:type="dxa"/>
            <w:vAlign w:val="bottom"/>
          </w:tcPr>
          <w:p>
            <w:pPr>
              <w:spacing w:after="0"/>
              <w:rPr>
                <w:sz w:val="15"/>
                <w:szCs w:val="15"/>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Linda S. Huber</w:t>
            </w:r>
          </w:p>
        </w:tc>
      </w:tr>
      <w:tr>
        <w:trPr>
          <w:trHeight w:val="195"/>
        </w:trPr>
        <w:tc>
          <w:tcPr>
            <w:tcW w:w="524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Executive Vice President, Chief Financial Officer</w:t>
            </w:r>
          </w:p>
        </w:tc>
      </w:tr>
      <w:tr>
        <w:trPr>
          <w:trHeight w:val="198"/>
        </w:trPr>
        <w:tc>
          <w:tcPr>
            <w:tcW w:w="5240" w:type="dxa"/>
            <w:vAlign w:val="bottom"/>
          </w:tcPr>
          <w:p>
            <w:pPr>
              <w:spacing w:after="0"/>
              <w:rPr>
                <w:sz w:val="17"/>
                <w:szCs w:val="17"/>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Financial Officer)</w:t>
            </w:r>
          </w:p>
        </w:tc>
      </w:tr>
      <w:tr>
        <w:trPr>
          <w:trHeight w:val="413"/>
        </w:trPr>
        <w:tc>
          <w:tcPr>
            <w:tcW w:w="5240" w:type="dxa"/>
            <w:vAlign w:val="bottom"/>
          </w:tcPr>
          <w:p>
            <w:pPr>
              <w:spacing w:after="0"/>
              <w:rPr>
                <w:sz w:val="24"/>
                <w:szCs w:val="24"/>
                <w:color w:val="auto"/>
              </w:rPr>
            </w:pP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GREGORY T. MOSKOFF</w:t>
            </w:r>
          </w:p>
        </w:tc>
      </w:tr>
      <w:tr>
        <w:trPr>
          <w:trHeight w:val="183"/>
        </w:trPr>
        <w:tc>
          <w:tcPr>
            <w:tcW w:w="5240" w:type="dxa"/>
            <w:vAlign w:val="bottom"/>
          </w:tcPr>
          <w:p>
            <w:pPr>
              <w:spacing w:after="0"/>
              <w:rPr>
                <w:sz w:val="15"/>
                <w:szCs w:val="15"/>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Gregory T. Moskoff</w:t>
            </w:r>
          </w:p>
        </w:tc>
      </w:tr>
      <w:tr>
        <w:trPr>
          <w:trHeight w:val="195"/>
        </w:trPr>
        <w:tc>
          <w:tcPr>
            <w:tcW w:w="524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Managing Director, Controller and Chief Accounting Officer</w:t>
            </w:r>
          </w:p>
        </w:tc>
      </w:tr>
      <w:tr>
        <w:trPr>
          <w:trHeight w:val="198"/>
        </w:trPr>
        <w:tc>
          <w:tcPr>
            <w:tcW w:w="5240" w:type="dxa"/>
            <w:vAlign w:val="bottom"/>
          </w:tcPr>
          <w:p>
            <w:pPr>
              <w:spacing w:after="0"/>
              <w:rPr>
                <w:sz w:val="17"/>
                <w:szCs w:val="17"/>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1260"/>
          </w:cols>
          <w:pgMar w:left="320" w:top="125"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EXECUTIVE SEVERANCE PLAN</w:t>
      </w:r>
    </w:p>
    <w:p>
      <w:pPr>
        <w:jc w:val="center"/>
        <w:spacing w:after="0"/>
        <w:rPr>
          <w:sz w:val="20"/>
          <w:szCs w:val="20"/>
          <w:color w:val="auto"/>
        </w:rPr>
      </w:pPr>
      <w:r>
        <w:rPr>
          <w:rFonts w:ascii="Times New Roman" w:cs="Times New Roman" w:eastAsia="Times New Roman" w:hAnsi="Times New Roman"/>
          <w:sz w:val="18"/>
          <w:szCs w:val="18"/>
          <w:color w:val="auto"/>
        </w:rPr>
        <w:t>As Amended June 17, 2024</w:t>
      </w:r>
    </w:p>
    <w:p>
      <w:pPr>
        <w:jc w:val="center"/>
        <w:spacing w:after="0"/>
        <w:rPr>
          <w:sz w:val="20"/>
          <w:szCs w:val="20"/>
          <w:color w:val="auto"/>
        </w:rPr>
      </w:pPr>
      <w:r>
        <w:rPr>
          <w:rFonts w:ascii="Times New Roman" w:cs="Times New Roman" w:eastAsia="Times New Roman" w:hAnsi="Times New Roman"/>
          <w:sz w:val="18"/>
          <w:szCs w:val="18"/>
          <w:color w:val="auto"/>
        </w:rPr>
        <w:t>Introduction</w:t>
      </w:r>
    </w:p>
    <w:p>
      <w:pPr>
        <w:spacing w:after="0" w:line="174" w:lineRule="exact"/>
        <w:rPr>
          <w:sz w:val="20"/>
          <w:szCs w:val="20"/>
          <w:color w:val="auto"/>
        </w:rPr>
      </w:pPr>
    </w:p>
    <w:p>
      <w:pPr>
        <w:ind w:right="20" w:firstLine="1101"/>
        <w:spacing w:after="0" w:line="234" w:lineRule="auto"/>
        <w:rPr>
          <w:sz w:val="20"/>
          <w:szCs w:val="20"/>
          <w:color w:val="auto"/>
        </w:rPr>
      </w:pPr>
      <w:r>
        <w:rPr>
          <w:rFonts w:ascii="Times New Roman" w:cs="Times New Roman" w:eastAsia="Times New Roman" w:hAnsi="Times New Roman"/>
          <w:sz w:val="18"/>
          <w:szCs w:val="18"/>
          <w:color w:val="auto"/>
        </w:rPr>
        <w:t>As of the Effective Date, the Company adopted this plan known as the FactSet Research Systems Inc. Executive Severance Plan. The Plan was adopted to provide severance compensation to the Company’s eligible executives in the event of an Eligible Termination, including in the event of an Eligible Termination following a Change of Control, under the terms and conditions set forth herein.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Interpretations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herein, the following words and phrases shall have the following respective meanings.</w:t>
      </w:r>
    </w:p>
    <w:p>
      <w:pPr>
        <w:spacing w:after="0" w:line="206" w:lineRule="exact"/>
        <w:rPr>
          <w:sz w:val="20"/>
          <w:szCs w:val="20"/>
          <w:color w:val="auto"/>
        </w:rPr>
      </w:pPr>
    </w:p>
    <w:p>
      <w:pPr>
        <w:ind w:left="1480" w:hanging="387"/>
        <w:spacing w:after="0"/>
        <w:tabs>
          <w:tab w:leader="none" w:pos="1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xml:space="preserve"> The meaning set forth in Section 5.03(c).</w:t>
      </w:r>
    </w:p>
    <w:p>
      <w:pPr>
        <w:spacing w:after="0" w:line="205" w:lineRule="exact"/>
        <w:rPr>
          <w:rFonts w:ascii="Times New Roman" w:cs="Times New Roman" w:eastAsia="Times New Roman" w:hAnsi="Times New Roman"/>
          <w:sz w:val="18"/>
          <w:szCs w:val="18"/>
          <w:color w:val="auto"/>
        </w:rPr>
      </w:pPr>
    </w:p>
    <w:p>
      <w:pPr>
        <w:ind w:right="220" w:firstLine="1093"/>
        <w:spacing w:after="0" w:line="246" w:lineRule="auto"/>
        <w:tabs>
          <w:tab w:leader="none" w:pos="14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Any corporation, partnership, limited liability company, limited liability partnership, association, trust or other organization that,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(or the equivalent) of the controlled entity or organization or (ii) to direct or cause the direction of the management and policies of the controlled entity or organization, whether through the ownership of voting securities or by contract or otherwise.</w:t>
      </w:r>
    </w:p>
    <w:p>
      <w:pPr>
        <w:spacing w:after="0" w:line="172" w:lineRule="exact"/>
        <w:rPr>
          <w:rFonts w:ascii="Times New Roman" w:cs="Times New Roman" w:eastAsia="Times New Roman" w:hAnsi="Times New Roman"/>
          <w:sz w:val="18"/>
          <w:szCs w:val="18"/>
          <w:color w:val="auto"/>
        </w:rPr>
      </w:pPr>
    </w:p>
    <w:p>
      <w:pPr>
        <w:ind w:right="20" w:firstLine="1093"/>
        <w:spacing w:after="0" w:line="243" w:lineRule="auto"/>
        <w:tabs>
          <w:tab w:leader="none" w:pos="14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The annual rate of base salary paid by the Company or its Subsidiary to a Participant (including amounts that the Participant could have received in cash had he or she not elected to contribute to an employee benefit plan or a deferred compensation program maintained by the Company or any Subsidiary), excluding overtime pay, bonuses, employee benefits, all forms of incentive compensation and all other types of compensation and special payments. For purposes of an Eligible Termination at any time other than during the Change of Control Protection Period, Base Salary shall mean the Participant’s Base Salary as in effect immediately prior to termination of employment, and for purposes of an Eligible Termination during the Change of Control Protection Period, Base Salary shall mean the greater of the Participant’s Base Salary as in effect immediately prior to (i) termination of employment and (ii) the Change of Control.</w:t>
      </w:r>
    </w:p>
    <w:p>
      <w:pPr>
        <w:spacing w:after="0" w:line="173" w:lineRule="exact"/>
        <w:rPr>
          <w:rFonts w:ascii="Times New Roman" w:cs="Times New Roman" w:eastAsia="Times New Roman" w:hAnsi="Times New Roman"/>
          <w:sz w:val="18"/>
          <w:szCs w:val="18"/>
          <w:color w:val="auto"/>
        </w:rPr>
      </w:pPr>
    </w:p>
    <w:p>
      <w:pPr>
        <w:ind w:firstLine="1093"/>
        <w:spacing w:after="0" w:line="277" w:lineRule="auto"/>
        <w:tabs>
          <w:tab w:leader="none" w:pos="15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The Board of Directors of the Company, provided that, following a Change of Control, the Board shall mean the board of directors (or similar governing body) of the ultimate parent company resulting from such Change of Control.</w:t>
      </w:r>
    </w:p>
    <w:p>
      <w:pPr>
        <w:sectPr>
          <w:pgSz w:w="11900" w:h="16838" w:orient="portrait"/>
          <w:cols w:equalWidth="0" w:num="1">
            <w:col w:w="11260"/>
          </w:cols>
          <w:pgMar w:left="320" w:top="1218"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929292"/>
        </w:rPr>
        <w:t>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spacing w:after="0"/>
        <w:tabs>
          <w:tab w:leader="none" w:pos="14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u w:val="single" w:color="auto"/>
          <w:color w:val="auto"/>
        </w:rPr>
        <w:t xml:space="preserve">Cause. </w:t>
      </w:r>
      <w:r>
        <w:rPr>
          <w:rFonts w:ascii="Times New Roman" w:cs="Times New Roman" w:eastAsia="Times New Roman" w:hAnsi="Times New Roman"/>
          <w:sz w:val="18"/>
          <w:szCs w:val="18"/>
          <w:color w:val="auto"/>
        </w:rPr>
        <w:t>The Participant:</w:t>
      </w:r>
    </w:p>
    <w:p>
      <w:pPr>
        <w:spacing w:after="0" w:line="206" w:lineRule="exact"/>
        <w:rPr>
          <w:sz w:val="20"/>
          <w:szCs w:val="20"/>
          <w:color w:val="auto"/>
        </w:rPr>
      </w:pPr>
    </w:p>
    <w:p>
      <w:pPr>
        <w:ind w:left="540" w:right="40" w:firstLine="553"/>
        <w:spacing w:after="0" w:line="277" w:lineRule="auto"/>
        <w:tabs>
          <w:tab w:leader="none" w:pos="14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gross negligence, gross incompetence, or gross misconduct in the performance of the Participant’s duties with respect to the Company or one of its Subsidiaries;</w:t>
      </w:r>
    </w:p>
    <w:p>
      <w:pPr>
        <w:spacing w:after="0" w:line="141"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willfully and continually failed to perform the Participant’s duties and responsibilities to the Company or one of its Subsidiaries;</w:t>
      </w:r>
    </w:p>
    <w:p>
      <w:pPr>
        <w:spacing w:after="0" w:line="205" w:lineRule="exact"/>
        <w:rPr>
          <w:rFonts w:ascii="Times New Roman" w:cs="Times New Roman" w:eastAsia="Times New Roman" w:hAnsi="Times New Roman"/>
          <w:sz w:val="18"/>
          <w:szCs w:val="18"/>
          <w:color w:val="auto"/>
        </w:rPr>
      </w:pPr>
    </w:p>
    <w:p>
      <w:pPr>
        <w:ind w:left="540" w:right="20" w:firstLine="553"/>
        <w:spacing w:after="0" w:line="251" w:lineRule="auto"/>
        <w:tabs>
          <w:tab w:leader="none" w:pos="15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breached any material provision of any written agreement between the Company or one of its Subsidiaries, on the one hand, and the Participant, on the other hand, including any confidentiality, non-solicitation or non-compete agreement, or any material policy or code of conduct established by the Company or one of its Subsidiaries;</w:t>
      </w:r>
    </w:p>
    <w:p>
      <w:pPr>
        <w:spacing w:after="0" w:line="165" w:lineRule="exact"/>
        <w:rPr>
          <w:rFonts w:ascii="Times New Roman" w:cs="Times New Roman" w:eastAsia="Times New Roman" w:hAnsi="Times New Roman"/>
          <w:sz w:val="18"/>
          <w:szCs w:val="18"/>
          <w:color w:val="auto"/>
        </w:rPr>
      </w:pPr>
    </w:p>
    <w:p>
      <w:pPr>
        <w:ind w:left="1540" w:hanging="447"/>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willful misconduct that is, or could reasonably expected to be, materially injurious to the Company or one of its</w:t>
      </w:r>
    </w:p>
    <w:p>
      <w:pPr>
        <w:spacing w:after="0" w:line="1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85" w:lineRule="exact"/>
        <w:rPr>
          <w:rFonts w:ascii="Times New Roman" w:cs="Times New Roman" w:eastAsia="Times New Roman" w:hAnsi="Times New Roman"/>
          <w:sz w:val="18"/>
          <w:szCs w:val="18"/>
          <w:color w:val="auto"/>
        </w:rPr>
      </w:pPr>
    </w:p>
    <w:p>
      <w:pPr>
        <w:ind w:left="540" w:right="120" w:firstLine="553"/>
        <w:spacing w:after="0" w:line="277" w:lineRule="auto"/>
        <w:tabs>
          <w:tab w:leader="none" w:pos="14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other personal or professional conduct that can reasonably be expected to bring public embarrassment or disgrace to the Company or one of its Subsidiaries;</w:t>
      </w:r>
    </w:p>
    <w:p>
      <w:pPr>
        <w:spacing w:after="0" w:line="141" w:lineRule="exact"/>
        <w:rPr>
          <w:rFonts w:ascii="Times New Roman" w:cs="Times New Roman" w:eastAsia="Times New Roman" w:hAnsi="Times New Roman"/>
          <w:sz w:val="18"/>
          <w:szCs w:val="18"/>
          <w:color w:val="auto"/>
        </w:rPr>
      </w:pPr>
    </w:p>
    <w:p>
      <w:pPr>
        <w:ind w:left="540" w:right="20" w:firstLine="553"/>
        <w:spacing w:after="0" w:line="277" w:lineRule="auto"/>
        <w:tabs>
          <w:tab w:leader="none" w:pos="15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committed an act of theft, fraud, embezzlement, misappropriation, insubordination or dishonesty resulting in material harm to the Company or one of its Subsidiaries;</w:t>
      </w:r>
    </w:p>
    <w:p>
      <w:pPr>
        <w:spacing w:after="0" w:line="141" w:lineRule="exact"/>
        <w:rPr>
          <w:rFonts w:ascii="Times New Roman" w:cs="Times New Roman" w:eastAsia="Times New Roman" w:hAnsi="Times New Roman"/>
          <w:sz w:val="18"/>
          <w:szCs w:val="18"/>
          <w:color w:val="auto"/>
        </w:rPr>
      </w:pPr>
    </w:p>
    <w:p>
      <w:pPr>
        <w:ind w:left="1600" w:hanging="507"/>
        <w:spacing w:after="0"/>
        <w:tabs>
          <w:tab w:leader="none" w:pos="1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committed a material breach of a fiduciary duty to the Company or one of its Subsidiaries; or</w:t>
      </w:r>
    </w:p>
    <w:p>
      <w:pPr>
        <w:spacing w:after="0" w:line="205" w:lineRule="exact"/>
        <w:rPr>
          <w:rFonts w:ascii="Times New Roman" w:cs="Times New Roman" w:eastAsia="Times New Roman" w:hAnsi="Times New Roman"/>
          <w:sz w:val="18"/>
          <w:szCs w:val="18"/>
          <w:color w:val="auto"/>
        </w:rPr>
      </w:pPr>
    </w:p>
    <w:p>
      <w:pPr>
        <w:ind w:left="540" w:right="240" w:firstLine="553"/>
        <w:spacing w:after="0" w:line="277" w:lineRule="auto"/>
        <w:tabs>
          <w:tab w:leader="none" w:pos="16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convicted of or pleaded guilty or no contest to any felony (or a crime of similar import in a foreign jurisdiction) or any crime involving fraud, dishonesty or moral turpitude;</w:t>
      </w:r>
    </w:p>
    <w:p>
      <w:pPr>
        <w:spacing w:after="0" w:line="14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one or more conditions specified in (i) through (iv) above, the Plan Administrator shall provide notice to the Participant of the existence of such condition(s) and the Participant shall have 30 days following receipt of such notice to correct such condition(s), if correctable, and any failure by the Participant to correct such condition(s) shall result in the Participant’s termination of employment for Cause upon expiration of such 30-day corrective period or such later date specified by the Plan Administrator. Notwithstanding the foregoing, for purposes of a termination of employment during the Change of Control Protection Period, (A) “Cause” shall mean the Participant has engaged in conduct described in clauses (i), (iv), (vi), (vii) or (viii) of this Section 1.01(e) and (B) the termination of employment of the Participant shall not be deemed for “Cause” unless and until not less than two-thirds of the entire membership of the Board has adopted a resolution finding that, in its good faith opinion, the Participant is guilty of the conduct described in clauses (i), (iv), (vi), (vii) or (viii) of this Section 1.01(e), and specifying the particulars thereof in detail.</w:t>
      </w:r>
    </w:p>
    <w:p>
      <w:pPr>
        <w:sectPr>
          <w:pgSz w:w="11900" w:h="16838" w:orient="portrait"/>
          <w:cols w:equalWidth="0" w:num="1">
            <w:col w:w="11260"/>
          </w:cols>
          <w:pgMar w:left="320" w:top="335"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929292"/>
        </w:rPr>
        <w:t>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1093"/>
        <w:spacing w:after="0" w:line="251" w:lineRule="auto"/>
        <w:tabs>
          <w:tab w:leader="none" w:pos="14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Change of Control as defined in the Company Stock Option and Award Plan, as amended and restated effective December 19, 2017, as amended from time to time, or any successor plan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to the definition of Change of Control shall be effective during the Potential Change of Control Protection Period without the prior written consent of any affected Participant.</w:t>
      </w:r>
    </w:p>
    <w:p>
      <w:pPr>
        <w:spacing w:after="0" w:line="166" w:lineRule="exact"/>
        <w:rPr>
          <w:rFonts w:ascii="Times New Roman" w:cs="Times New Roman" w:eastAsia="Times New Roman" w:hAnsi="Times New Roman"/>
          <w:sz w:val="18"/>
          <w:szCs w:val="18"/>
          <w:color w:val="auto"/>
        </w:rPr>
      </w:pPr>
    </w:p>
    <w:p>
      <w:pPr>
        <w:ind w:right="360" w:firstLine="1093"/>
        <w:spacing w:after="0" w:line="277" w:lineRule="auto"/>
        <w:tabs>
          <w:tab w:leader="none" w:pos="14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Protection Period.</w:t>
      </w:r>
      <w:r>
        <w:rPr>
          <w:rFonts w:ascii="Times New Roman" w:cs="Times New Roman" w:eastAsia="Times New Roman" w:hAnsi="Times New Roman"/>
          <w:sz w:val="18"/>
          <w:szCs w:val="18"/>
          <w:color w:val="auto"/>
        </w:rPr>
        <w:t xml:space="preserve"> The period commencing on the date a Change of Control occurs and ending on the second anniversary of such date.</w:t>
      </w:r>
    </w:p>
    <w:p>
      <w:pPr>
        <w:spacing w:after="0" w:line="130"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Separation Benefits.</w:t>
      </w:r>
      <w:r>
        <w:rPr>
          <w:rFonts w:ascii="Times New Roman" w:cs="Times New Roman" w:eastAsia="Times New Roman" w:hAnsi="Times New Roman"/>
          <w:sz w:val="18"/>
          <w:szCs w:val="18"/>
          <w:color w:val="auto"/>
        </w:rPr>
        <w:t xml:space="preserve"> The payments and benefits due pursuant to Section 3.02.</w:t>
      </w:r>
    </w:p>
    <w:p>
      <w:pPr>
        <w:spacing w:after="0" w:line="205" w:lineRule="exact"/>
        <w:rPr>
          <w:rFonts w:ascii="Times New Roman" w:cs="Times New Roman" w:eastAsia="Times New Roman" w:hAnsi="Times New Roman"/>
          <w:sz w:val="18"/>
          <w:szCs w:val="18"/>
          <w:color w:val="auto"/>
        </w:rPr>
      </w:pPr>
    </w:p>
    <w:p>
      <w:pPr>
        <w:ind w:left="1440" w:hanging="347"/>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The Consolidated Omnibus Budget Reconciliation Act of 1985.</w:t>
      </w:r>
    </w:p>
    <w:p>
      <w:pPr>
        <w:spacing w:after="0" w:line="205" w:lineRule="exact"/>
        <w:rPr>
          <w:rFonts w:ascii="Times New Roman" w:cs="Times New Roman" w:eastAsia="Times New Roman" w:hAnsi="Times New Roman"/>
          <w:sz w:val="18"/>
          <w:szCs w:val="18"/>
          <w:color w:val="auto"/>
        </w:rPr>
      </w:pPr>
    </w:p>
    <w:p>
      <w:pPr>
        <w:ind w:left="1440" w:hanging="347"/>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The Internal Revenue Code of 1986.</w:t>
      </w:r>
    </w:p>
    <w:p>
      <w:pPr>
        <w:spacing w:after="0" w:line="205"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FactSet Research Systems Inc., a Delaware corporation.</w:t>
      </w:r>
    </w:p>
    <w:p>
      <w:pPr>
        <w:spacing w:after="0" w:line="205" w:lineRule="exact"/>
        <w:rPr>
          <w:rFonts w:ascii="Times New Roman" w:cs="Times New Roman" w:eastAsia="Times New Roman" w:hAnsi="Times New Roman"/>
          <w:sz w:val="18"/>
          <w:szCs w:val="18"/>
          <w:color w:val="auto"/>
        </w:rPr>
      </w:pPr>
    </w:p>
    <w:p>
      <w:pPr>
        <w:ind w:right="20" w:firstLine="1093"/>
        <w:spacing w:after="0" w:line="277" w:lineRule="auto"/>
        <w:tabs>
          <w:tab w:leader="none" w:pos="14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xml:space="preserve"> The date on which a Participant’s employment with the Company and its Subsidiaries is terminated, without the concurrent or immediate re- employment of the Participant by the Company or one of its Subsidiaries (or any successor thereto).</w:t>
      </w:r>
    </w:p>
    <w:p>
      <w:pPr>
        <w:spacing w:after="0" w:line="141" w:lineRule="exact"/>
        <w:rPr>
          <w:rFonts w:ascii="Times New Roman" w:cs="Times New Roman" w:eastAsia="Times New Roman" w:hAnsi="Times New Roman"/>
          <w:sz w:val="18"/>
          <w:szCs w:val="18"/>
          <w:color w:val="auto"/>
        </w:rPr>
      </w:pPr>
    </w:p>
    <w:p>
      <w:pPr>
        <w:ind w:right="100" w:firstLine="1093"/>
        <w:spacing w:after="0" w:line="258" w:lineRule="auto"/>
        <w:tabs>
          <w:tab w:leader="none" w:pos="15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The Participant’s substantial inability to perform his or her duties for the Company or any of its Subsidiaries due to physical or mental illness or incapacity for any consecutive period of six (6) months or any non-consecutive periods aggregating six (6) months or more in any twelve (12)-month period.</w:t>
      </w:r>
    </w:p>
    <w:p>
      <w:pPr>
        <w:spacing w:after="0" w:line="158"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March 1, 2020.</w:t>
      </w:r>
    </w:p>
    <w:p>
      <w:pPr>
        <w:spacing w:after="0" w:line="205" w:lineRule="exact"/>
        <w:rPr>
          <w:rFonts w:ascii="Times New Roman" w:cs="Times New Roman" w:eastAsia="Times New Roman" w:hAnsi="Times New Roman"/>
          <w:sz w:val="18"/>
          <w:szCs w:val="18"/>
          <w:color w:val="auto"/>
        </w:rPr>
      </w:pPr>
    </w:p>
    <w:p>
      <w:pPr>
        <w:ind w:right="60" w:firstLine="1093"/>
        <w:spacing w:after="0" w:line="251" w:lineRule="auto"/>
        <w:tabs>
          <w:tab w:leader="none" w:pos="14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Termination.</w:t>
      </w:r>
      <w:r>
        <w:rPr>
          <w:rFonts w:ascii="Times New Roman" w:cs="Times New Roman" w:eastAsia="Times New Roman" w:hAnsi="Times New Roman"/>
          <w:sz w:val="18"/>
          <w:szCs w:val="18"/>
          <w:color w:val="auto"/>
        </w:rPr>
        <w:t xml:space="preserve"> A termination of a Participant’s employment with the Company and its Subsidiaries without Cause or, during the Change of Control Protection Period, a resignation by the Participant for Good Reason. For the avoidance of doubt, an Eligible Termination shall not include:</w:t>
      </w:r>
    </w:p>
    <w:p>
      <w:pPr>
        <w:spacing w:after="0" w:line="165" w:lineRule="exact"/>
        <w:rPr>
          <w:sz w:val="20"/>
          <w:szCs w:val="20"/>
          <w:color w:val="auto"/>
        </w:rPr>
      </w:pPr>
    </w:p>
    <w:p>
      <w:pPr>
        <w:ind w:left="1100"/>
        <w:spacing w:after="0"/>
        <w:tabs>
          <w:tab w:leader="none" w:pos="1420" w:val="left"/>
          <w:tab w:leader="none" w:pos="6820" w:val="left"/>
        </w:tabs>
        <w:rPr>
          <w:sz w:val="20"/>
          <w:szCs w:val="20"/>
          <w:color w:val="auto"/>
        </w:rPr>
      </w:pPr>
      <w:r>
        <w:rPr>
          <w:rFonts w:ascii="Times New Roman" w:cs="Times New Roman" w:eastAsia="Times New Roman" w:hAnsi="Times New Roman"/>
          <w:sz w:val="18"/>
          <w:szCs w:val="18"/>
          <w:color w:val="auto"/>
        </w:rPr>
        <w:t>(i)</w:t>
        <w:tab/>
        <w:t>a termination of a Participant’s employment with the Company and its</w:t>
        <w:tab/>
        <w:t>Subsidiaries for Cause;</w:t>
      </w:r>
    </w:p>
    <w:p>
      <w:pPr>
        <w:spacing w:after="0" w:line="206" w:lineRule="exact"/>
        <w:rPr>
          <w:sz w:val="20"/>
          <w:szCs w:val="20"/>
          <w:color w:val="auto"/>
        </w:rPr>
      </w:pPr>
    </w:p>
    <w:p>
      <w:pPr>
        <w:ind w:left="1500" w:hanging="407"/>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a Participant’s employment with the Company and its Subsidiaries due to death or Disability; or</w:t>
      </w:r>
    </w:p>
    <w:p>
      <w:pPr>
        <w:spacing w:after="0" w:line="205" w:lineRule="exact"/>
        <w:rPr>
          <w:rFonts w:ascii="Times New Roman" w:cs="Times New Roman" w:eastAsia="Times New Roman" w:hAnsi="Times New Roman"/>
          <w:sz w:val="18"/>
          <w:szCs w:val="18"/>
          <w:color w:val="auto"/>
        </w:rPr>
      </w:pPr>
    </w:p>
    <w:p>
      <w:pPr>
        <w:ind w:left="540" w:right="200" w:firstLine="553"/>
        <w:spacing w:after="0" w:line="277" w:lineRule="auto"/>
        <w:tabs>
          <w:tab w:leader="none" w:pos="15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termination of the Participant for any reason, including retirement, other than a resignation for Good Reason during the Change of Control Protection Period.</w:t>
      </w:r>
    </w:p>
    <w:p>
      <w:pPr>
        <w:spacing w:after="0" w:line="142" w:lineRule="exact"/>
        <w:rPr>
          <w:sz w:val="20"/>
          <w:szCs w:val="20"/>
          <w:color w:val="auto"/>
        </w:rPr>
      </w:pPr>
    </w:p>
    <w:p>
      <w:pPr>
        <w:ind w:left="1500" w:hanging="407"/>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The Securities Exchange Act of 1934.</w:t>
      </w:r>
    </w:p>
    <w:p>
      <w:pPr>
        <w:sectPr>
          <w:pgSz w:w="11900" w:h="16838" w:orient="portrait"/>
          <w:cols w:equalWidth="0" w:num="1">
            <w:col w:w="11260"/>
          </w:cols>
          <w:pgMar w:left="320" w:top="335"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929292"/>
        </w:rPr>
        <w:t>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hanging="407"/>
        <w:spacing w:after="0"/>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Any of the following actions taken without the Company’s consent:</w:t>
      </w:r>
    </w:p>
    <w:p>
      <w:pPr>
        <w:spacing w:after="0" w:line="206" w:lineRule="exact"/>
        <w:rPr>
          <w:sz w:val="20"/>
          <w:szCs w:val="20"/>
          <w:color w:val="auto"/>
        </w:rPr>
      </w:pPr>
    </w:p>
    <w:p>
      <w:pPr>
        <w:ind w:left="540" w:right="240" w:firstLine="553"/>
        <w:spacing w:after="0" w:line="258" w:lineRule="auto"/>
        <w:tabs>
          <w:tab w:leader="none" w:pos="14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Participant of any duties inconsistent in any material respect with the Participant’s position (including status, offices, titles and reporting requirements), authority, duties or responsibilities, or any other action by the Company which results in a material diminution in such position, authority, duties or responsibilities, in each case, from those in effect, immediately prior to the Change of Control;</w:t>
      </w:r>
    </w:p>
    <w:p>
      <w:pPr>
        <w:spacing w:after="0" w:line="158" w:lineRule="exact"/>
        <w:rPr>
          <w:rFonts w:ascii="Times New Roman" w:cs="Times New Roman" w:eastAsia="Times New Roman" w:hAnsi="Times New Roman"/>
          <w:sz w:val="18"/>
          <w:szCs w:val="18"/>
          <w:color w:val="auto"/>
        </w:rPr>
      </w:pPr>
    </w:p>
    <w:p>
      <w:pPr>
        <w:ind w:left="540" w:right="100" w:firstLine="553"/>
        <w:spacing w:after="0" w:line="277" w:lineRule="auto"/>
        <w:tabs>
          <w:tab w:leader="none" w:pos="14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Participant’s annual base salary, annual target bonus opportunity or annual target long-term incentive opportunity, in each case, from those in effect immediately prior to the Change of Control;</w:t>
      </w:r>
    </w:p>
    <w:p>
      <w:pPr>
        <w:spacing w:after="0" w:line="130" w:lineRule="exact"/>
        <w:rPr>
          <w:rFonts w:ascii="Times New Roman" w:cs="Times New Roman" w:eastAsia="Times New Roman" w:hAnsi="Times New Roman"/>
          <w:sz w:val="18"/>
          <w:szCs w:val="18"/>
          <w:color w:val="auto"/>
        </w:rPr>
      </w:pPr>
    </w:p>
    <w:p>
      <w:pPr>
        <w:ind w:left="540" w:right="660" w:firstLine="553"/>
        <w:spacing w:after="0" w:line="277" w:lineRule="auto"/>
        <w:tabs>
          <w:tab w:leader="none" w:pos="15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requiring the Participant to relocate the Participant’s primary workplace more than 50 miles from where the Participant was principally employed as of the Change of Control; or</w:t>
      </w:r>
    </w:p>
    <w:p>
      <w:pPr>
        <w:spacing w:after="0" w:line="141" w:lineRule="exact"/>
        <w:rPr>
          <w:rFonts w:ascii="Times New Roman" w:cs="Times New Roman" w:eastAsia="Times New Roman" w:hAnsi="Times New Roman"/>
          <w:sz w:val="18"/>
          <w:szCs w:val="18"/>
          <w:color w:val="auto"/>
        </w:rPr>
      </w:pPr>
    </w:p>
    <w:p>
      <w:pPr>
        <w:ind w:left="1540" w:hanging="447"/>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compensation due and owing to the Participant.</w:t>
      </w:r>
    </w:p>
    <w:p>
      <w:pPr>
        <w:spacing w:after="0" w:line="20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Notwithstanding the foregoing, the occurrence of any of the events described in the immediately preceding clauses (i) through (iv) above shall not constitute Good Reason unless, (A) the Participant provides the Company with written notice within 90 days after the initial occurrence of any such event that the Participant believes constitutes Good Reason; (B) the Company thereafter fails to cure such event within 30 days after receipt of such notice; and (C) the Participant’s date of termination as a result of such event occurs within one year after the expiration of the cure period. For purposes of this Section 1.01(q), during the Change of Control Protection Period, any good faith determination of “Good Reason” made by the Participant shall be conclusive.</w:t>
      </w:r>
    </w:p>
    <w:p>
      <w:pPr>
        <w:spacing w:after="0" w:line="380" w:lineRule="exact"/>
        <w:rPr>
          <w:sz w:val="20"/>
          <w:szCs w:val="20"/>
          <w:color w:val="auto"/>
        </w:rPr>
      </w:pPr>
    </w:p>
    <w:p>
      <w:pPr>
        <w:ind w:left="1460" w:hanging="367"/>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Source</w:t>
      </w:r>
      <w:r>
        <w:rPr>
          <w:rFonts w:ascii="Times New Roman" w:cs="Times New Roman" w:eastAsia="Times New Roman" w:hAnsi="Times New Roman"/>
          <w:sz w:val="18"/>
          <w:szCs w:val="18"/>
          <w:color w:val="auto"/>
        </w:rPr>
        <w:t>. The meaning set forth in Section 3.04(c).</w:t>
      </w:r>
    </w:p>
    <w:p>
      <w:pPr>
        <w:spacing w:after="0" w:line="205" w:lineRule="exact"/>
        <w:rPr>
          <w:rFonts w:ascii="Times New Roman" w:cs="Times New Roman" w:eastAsia="Times New Roman" w:hAnsi="Times New Roman"/>
          <w:sz w:val="18"/>
          <w:szCs w:val="18"/>
          <w:color w:val="auto"/>
        </w:rPr>
      </w:pPr>
    </w:p>
    <w:p>
      <w:pPr>
        <w:ind w:left="1480" w:hanging="387"/>
        <w:spacing w:after="0"/>
        <w:tabs>
          <w:tab w:leader="none" w:pos="1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Outplacement Benefit.</w:t>
      </w:r>
      <w:r>
        <w:rPr>
          <w:rFonts w:ascii="Times New Roman" w:cs="Times New Roman" w:eastAsia="Times New Roman" w:hAnsi="Times New Roman"/>
          <w:sz w:val="18"/>
          <w:szCs w:val="18"/>
          <w:color w:val="auto"/>
        </w:rPr>
        <w:t xml:space="preserve"> The meaning set forth in Section 3.01(d).</w:t>
      </w:r>
    </w:p>
    <w:p>
      <w:pPr>
        <w:spacing w:after="0" w:line="194" w:lineRule="exact"/>
        <w:rPr>
          <w:rFonts w:ascii="Times New Roman" w:cs="Times New Roman" w:eastAsia="Times New Roman" w:hAnsi="Times New Roman"/>
          <w:sz w:val="18"/>
          <w:szCs w:val="18"/>
          <w:color w:val="auto"/>
        </w:rPr>
      </w:pPr>
    </w:p>
    <w:p>
      <w:pPr>
        <w:ind w:left="1440" w:hanging="347"/>
        <w:spacing w:after="0"/>
        <w:tabs>
          <w:tab w:leader="none" w:pos="1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A Tier I Employee or Tier II Employee, as applicable, unless otherwise designated by the Plan Administrator pursuant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w:t>
      </w:r>
    </w:p>
    <w:p>
      <w:pPr>
        <w:spacing w:after="0" w:line="186" w:lineRule="exact"/>
        <w:rPr>
          <w:sz w:val="20"/>
          <w:szCs w:val="20"/>
          <w:color w:val="auto"/>
        </w:rPr>
      </w:pPr>
    </w:p>
    <w:p>
      <w:pPr>
        <w:ind w:left="1500" w:hanging="407"/>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The meaning set forth in Section 5.03(a).</w:t>
      </w:r>
    </w:p>
    <w:p>
      <w:pPr>
        <w:spacing w:after="0" w:line="205"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Any person, entity or “group” within the meaning of Section 13(d)(3) or Section 14(d)(2) of the Exchange Act.</w:t>
      </w:r>
    </w:p>
    <w:p>
      <w:pPr>
        <w:spacing w:after="0" w:line="205" w:lineRule="exact"/>
        <w:rPr>
          <w:rFonts w:ascii="Times New Roman" w:cs="Times New Roman" w:eastAsia="Times New Roman" w:hAnsi="Times New Roman"/>
          <w:sz w:val="18"/>
          <w:szCs w:val="18"/>
          <w:color w:val="auto"/>
        </w:rPr>
      </w:pPr>
    </w:p>
    <w:p>
      <w:pPr>
        <w:ind w:left="1540" w:hanging="447"/>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This FactSet Research Systems Inc. Executive Severance Plan, as it may be amended or modified from time to time.</w:t>
      </w:r>
    </w:p>
    <w:p>
      <w:pPr>
        <w:spacing w:after="0" w:line="205" w:lineRule="exact"/>
        <w:rPr>
          <w:rFonts w:ascii="Times New Roman" w:cs="Times New Roman" w:eastAsia="Times New Roman" w:hAnsi="Times New Roman"/>
          <w:sz w:val="18"/>
          <w:szCs w:val="18"/>
          <w:color w:val="auto"/>
        </w:rPr>
      </w:pPr>
    </w:p>
    <w:p>
      <w:pPr>
        <w:ind w:right="380" w:firstLine="1093"/>
        <w:spacing w:after="0" w:line="277" w:lineRule="auto"/>
        <w:tabs>
          <w:tab w:leader="none" w:pos="14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 The Compensation and Talent Committee of the Board or any other committee of the Board that performs a similar function, in each case, as appointed by the Board.</w:t>
      </w:r>
    </w:p>
    <w:p>
      <w:pPr>
        <w:sectPr>
          <w:pgSz w:w="11900" w:h="16838" w:orient="portrait"/>
          <w:cols w:equalWidth="0" w:num="1">
            <w:col w:w="11260"/>
          </w:cols>
          <w:pgMar w:left="320" w:top="335"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929292"/>
        </w:rPr>
        <w:t>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hanging="407"/>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Potential Change of Control.</w:t>
      </w:r>
      <w:r>
        <w:rPr>
          <w:rFonts w:ascii="Times New Roman" w:cs="Times New Roman" w:eastAsia="Times New Roman" w:hAnsi="Times New Roman"/>
          <w:sz w:val="18"/>
          <w:szCs w:val="18"/>
          <w:color w:val="auto"/>
        </w:rPr>
        <w:t xml:space="preserve"> The occurrence of any of the following events:</w:t>
      </w:r>
    </w:p>
    <w:p>
      <w:pPr>
        <w:spacing w:after="0" w:line="206" w:lineRule="exact"/>
        <w:rPr>
          <w:sz w:val="20"/>
          <w:szCs w:val="20"/>
          <w:color w:val="auto"/>
        </w:rPr>
      </w:pPr>
    </w:p>
    <w:p>
      <w:pPr>
        <w:ind w:left="1440" w:hanging="347"/>
        <w:spacing w:after="0"/>
        <w:tabs>
          <w:tab w:leader="none" w:pos="1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a definitive agreement, the consummation of which would result in a Change of Control;</w:t>
      </w:r>
    </w:p>
    <w:p>
      <w:pPr>
        <w:spacing w:after="0" w:line="205"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Person publicly announces an intention to take actions which, if consummated, would constitute a Change of</w:t>
      </w:r>
    </w:p>
    <w:p>
      <w:pPr>
        <w:spacing w:after="0" w:line="1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w:t>
      </w:r>
    </w:p>
    <w:p>
      <w:pPr>
        <w:spacing w:after="0" w:line="185" w:lineRule="exact"/>
        <w:rPr>
          <w:rFonts w:ascii="Times New Roman" w:cs="Times New Roman" w:eastAsia="Times New Roman" w:hAnsi="Times New Roman"/>
          <w:sz w:val="18"/>
          <w:szCs w:val="18"/>
          <w:color w:val="auto"/>
        </w:rPr>
      </w:pPr>
    </w:p>
    <w:p>
      <w:pPr>
        <w:ind w:left="1560" w:hanging="467"/>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adopts a resolution to the effect that a Potential Change of Control has occurred.</w:t>
      </w:r>
    </w:p>
    <w:p>
      <w:pPr>
        <w:spacing w:after="0" w:line="206" w:lineRule="exact"/>
        <w:rPr>
          <w:sz w:val="20"/>
          <w:szCs w:val="20"/>
          <w:color w:val="auto"/>
        </w:rPr>
      </w:pPr>
    </w:p>
    <w:p>
      <w:pPr>
        <w:jc w:val="both"/>
        <w:ind w:right="40" w:firstLine="1093"/>
        <w:spacing w:after="0" w:line="263" w:lineRule="auto"/>
        <w:tabs>
          <w:tab w:leader="none" w:pos="14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Potential Change of Control Protection Period.</w:t>
      </w:r>
      <w:r>
        <w:rPr>
          <w:rFonts w:ascii="Times New Roman" w:cs="Times New Roman" w:eastAsia="Times New Roman" w:hAnsi="Times New Roman"/>
          <w:sz w:val="18"/>
          <w:szCs w:val="18"/>
          <w:color w:val="auto"/>
        </w:rPr>
        <w:t xml:space="preserve"> The period commencing on the date a Potential Change of Control occurs and ending on the earlier of (i) the termination or abandonment of the Potential Change of Control or (ii) the conclusion of the Change of Control Protection Period.</w:t>
      </w:r>
    </w:p>
    <w:p>
      <w:pPr>
        <w:spacing w:after="0" w:line="154" w:lineRule="exact"/>
        <w:rPr>
          <w:sz w:val="20"/>
          <w:szCs w:val="20"/>
          <w:color w:val="auto"/>
        </w:rPr>
      </w:pPr>
    </w:p>
    <w:p>
      <w:pPr>
        <w:ind w:left="1560" w:hanging="467"/>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The meaning set forth in Section 3.03.</w:t>
      </w:r>
    </w:p>
    <w:p>
      <w:pPr>
        <w:spacing w:after="0" w:line="205" w:lineRule="exact"/>
        <w:rPr>
          <w:rFonts w:ascii="Times New Roman" w:cs="Times New Roman" w:eastAsia="Times New Roman" w:hAnsi="Times New Roman"/>
          <w:sz w:val="18"/>
          <w:szCs w:val="18"/>
          <w:color w:val="auto"/>
        </w:rPr>
      </w:pPr>
    </w:p>
    <w:p>
      <w:pPr>
        <w:ind w:left="1580" w:hanging="487"/>
        <w:spacing w:after="0"/>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Condition.</w:t>
      </w:r>
      <w:r>
        <w:rPr>
          <w:rFonts w:ascii="Times New Roman" w:cs="Times New Roman" w:eastAsia="Times New Roman" w:hAnsi="Times New Roman"/>
          <w:sz w:val="18"/>
          <w:szCs w:val="18"/>
          <w:color w:val="auto"/>
        </w:rPr>
        <w:t xml:space="preserve"> The meaning set forth in Section 3.03.</w:t>
      </w:r>
    </w:p>
    <w:p>
      <w:pPr>
        <w:spacing w:after="0" w:line="205" w:lineRule="exact"/>
        <w:rPr>
          <w:rFonts w:ascii="Times New Roman" w:cs="Times New Roman" w:eastAsia="Times New Roman" w:hAnsi="Times New Roman"/>
          <w:sz w:val="18"/>
          <w:szCs w:val="18"/>
          <w:color w:val="auto"/>
        </w:rPr>
      </w:pPr>
    </w:p>
    <w:p>
      <w:pPr>
        <w:ind w:left="1560" w:hanging="467"/>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Benefits.</w:t>
      </w:r>
      <w:r>
        <w:rPr>
          <w:rFonts w:ascii="Times New Roman" w:cs="Times New Roman" w:eastAsia="Times New Roman" w:hAnsi="Times New Roman"/>
          <w:sz w:val="18"/>
          <w:szCs w:val="18"/>
          <w:color w:val="auto"/>
        </w:rPr>
        <w:t xml:space="preserve"> The payments and benefits due pursuant to Section 3.01.</w:t>
      </w:r>
    </w:p>
    <w:p>
      <w:pPr>
        <w:spacing w:after="0" w:line="205" w:lineRule="exact"/>
        <w:rPr>
          <w:rFonts w:ascii="Times New Roman" w:cs="Times New Roman" w:eastAsia="Times New Roman" w:hAnsi="Times New Roman"/>
          <w:sz w:val="18"/>
          <w:szCs w:val="18"/>
          <w:color w:val="auto"/>
        </w:rPr>
      </w:pPr>
    </w:p>
    <w:p>
      <w:pPr>
        <w:ind w:left="1580" w:hanging="487"/>
        <w:spacing w:after="0"/>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xml:space="preserve"> A “specified employee” within the meaning of Section 409A(a)(2)(B)(i) of the Code.</w:t>
      </w:r>
    </w:p>
    <w:p>
      <w:pPr>
        <w:spacing w:after="0" w:line="205" w:lineRule="exact"/>
        <w:rPr>
          <w:rFonts w:ascii="Times New Roman" w:cs="Times New Roman" w:eastAsia="Times New Roman" w:hAnsi="Times New Roman"/>
          <w:sz w:val="18"/>
          <w:szCs w:val="18"/>
          <w:color w:val="auto"/>
        </w:rPr>
      </w:pPr>
    </w:p>
    <w:p>
      <w:pPr>
        <w:ind w:right="820" w:firstLine="1093"/>
        <w:spacing w:after="0" w:line="277" w:lineRule="auto"/>
        <w:tabs>
          <w:tab w:leader="none" w:pos="15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Any entity in which the Company, directly or indirectly, holds a majority of the voting power of such entity’s outstanding shares of capital stock or other voting interests, as applicable.</w:t>
      </w:r>
    </w:p>
    <w:p>
      <w:pPr>
        <w:spacing w:after="0" w:line="141" w:lineRule="exact"/>
        <w:rPr>
          <w:rFonts w:ascii="Times New Roman" w:cs="Times New Roman" w:eastAsia="Times New Roman" w:hAnsi="Times New Roman"/>
          <w:sz w:val="18"/>
          <w:szCs w:val="18"/>
          <w:color w:val="auto"/>
        </w:rPr>
      </w:pPr>
    </w:p>
    <w:p>
      <w:pPr>
        <w:ind w:right="300" w:firstLine="1093"/>
        <w:spacing w:after="0" w:line="251" w:lineRule="auto"/>
        <w:tabs>
          <w:tab w:leader="none" w:pos="15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xml:space="preserve"> The Participant’s annual target bonus under the Company’s annual incentive plan as in effect, for purposes of an Eligible Termination at any time other than during the Change of Control Protection Period, immediately prior to termination of employment and, for purposes of an Eligible Termination during the Change of Control Protection Period, immediately prior to (i) termination of employment and (ii) the Change of Control, whichever is greater.</w:t>
      </w:r>
    </w:p>
    <w:p>
      <w:pPr>
        <w:spacing w:after="0" w:line="155" w:lineRule="exact"/>
        <w:rPr>
          <w:rFonts w:ascii="Times New Roman" w:cs="Times New Roman" w:eastAsia="Times New Roman" w:hAnsi="Times New Roman"/>
          <w:sz w:val="18"/>
          <w:szCs w:val="18"/>
          <w:color w:val="auto"/>
        </w:rPr>
      </w:pPr>
    </w:p>
    <w:p>
      <w:pPr>
        <w:ind w:left="1580" w:hanging="487"/>
        <w:spacing w:after="0"/>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Tier I Employee.</w:t>
      </w:r>
      <w:r>
        <w:rPr>
          <w:rFonts w:ascii="Times New Roman" w:cs="Times New Roman" w:eastAsia="Times New Roman" w:hAnsi="Times New Roman"/>
          <w:sz w:val="18"/>
          <w:szCs w:val="18"/>
          <w:color w:val="auto"/>
        </w:rPr>
        <w:t xml:space="preserve"> An employee who is the Chief Executive Officer of the Company.</w:t>
      </w:r>
    </w:p>
    <w:p>
      <w:pPr>
        <w:spacing w:after="0" w:line="205" w:lineRule="exact"/>
        <w:rPr>
          <w:rFonts w:ascii="Times New Roman" w:cs="Times New Roman" w:eastAsia="Times New Roman" w:hAnsi="Times New Roman"/>
          <w:sz w:val="18"/>
          <w:szCs w:val="18"/>
          <w:color w:val="auto"/>
        </w:rPr>
      </w:pPr>
    </w:p>
    <w:p>
      <w:pPr>
        <w:ind w:firstLine="1093"/>
        <w:spacing w:after="0" w:line="258" w:lineRule="auto"/>
        <w:tabs>
          <w:tab w:leader="none" w:pos="15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Tier II Employee.</w:t>
      </w:r>
      <w:r>
        <w:rPr>
          <w:rFonts w:ascii="Times New Roman" w:cs="Times New Roman" w:eastAsia="Times New Roman" w:hAnsi="Times New Roman"/>
          <w:sz w:val="18"/>
          <w:szCs w:val="18"/>
          <w:color w:val="auto"/>
        </w:rPr>
        <w:t xml:space="preserve"> An employee who is (i) the Chief Financial Officer of the Company, or (ii) an Executive Vice President or Senior Vice President of the Company and a direct report to the Chief Executive Officer of the Company, or (iii) who is an officer of the Company for purposes of Section 16 of the Exchange Act.</w:t>
      </w:r>
    </w:p>
    <w:p>
      <w:pPr>
        <w:sectPr>
          <w:pgSz w:w="11900" w:h="16838" w:orient="portrait"/>
          <w:cols w:equalWidth="0" w:num="1">
            <w:col w:w="11260"/>
          </w:cols>
          <w:pgMar w:left="320" w:top="335"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929292"/>
        </w:rPr>
        <w:t>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1093"/>
        <w:spacing w:after="0" w:line="277" w:lineRule="auto"/>
        <w:tabs>
          <w:tab w:leader="none" w:pos="15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xml:space="preserve"> As applicable, the Worker Adjustment and Retraining Notification Act and any other similar U.S. Federal, state or other applicable law mandating the provision of notice to employees prior to termination of employment.</w:t>
      </w:r>
    </w:p>
    <w:p>
      <w:pPr>
        <w:spacing w:after="0" w:line="141"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Continuation Reimbursement.</w:t>
      </w:r>
      <w:r>
        <w:rPr>
          <w:rFonts w:ascii="Times New Roman" w:cs="Times New Roman" w:eastAsia="Times New Roman" w:hAnsi="Times New Roman"/>
          <w:sz w:val="18"/>
          <w:szCs w:val="18"/>
          <w:color w:val="auto"/>
        </w:rPr>
        <w:t xml:space="preserve"> The meaning set forth in Section 3.01(c).</w:t>
      </w:r>
    </w:p>
    <w:p>
      <w:pPr>
        <w:spacing w:after="0" w:line="206" w:lineRule="exact"/>
        <w:rPr>
          <w:sz w:val="20"/>
          <w:szCs w:val="20"/>
          <w:color w:val="auto"/>
        </w:rPr>
      </w:pPr>
    </w:p>
    <w:p>
      <w:pPr>
        <w:ind w:right="20" w:firstLine="1101"/>
        <w:spacing w:after="0" w:line="24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Interpretations.</w:t>
      </w:r>
      <w:r>
        <w:rPr>
          <w:rFonts w:ascii="Times New Roman" w:cs="Times New Roman" w:eastAsia="Times New Roman" w:hAnsi="Times New Roman"/>
          <w:sz w:val="18"/>
          <w:szCs w:val="18"/>
          <w:color w:val="auto"/>
        </w:rPr>
        <w:t xml:space="preserve"> In the Plan, unless a clear contrary intention applies, (a) pronouns and other words of gender shall be read as gender-neutral, (b) words importing the singular only shall include the plural and vice versa, (c) the words “include”, “includes” or “including” shall be deemed to be followed by the words “without limitation”,(d) references to any statute shall be deemed to refer to such statute as may be amended from time to time and any rules, regulations other authoritative guidance promulgated thereunder by the appropriate governmental authority, (e) reference to any agreement, document or instrument means such agreement, document or instrument as amended or modified and in effect from time to time in accordance with the terms thereof, (f) “hereunder”, “hereof”, “hereto”, “herein” and words of similar import shall be deemed references to the Plan as a whole, including the Exhibit, and not to any particular Article or Section thereof, (g) references to documents, instruments or agreements shall be deemed to refer to as well all addenda, exhibits, schedules or amendments thereto, (h) all references to provisions, Sections, Articles or Exhibits are to provisions, Sections, Articles and Exhibits of the Plan, unless otherwise specified, (i) the word “or” is disjunctive and not exclusive, (j) “promptly” means within thirty (30) days and (k) references to a Person are also to its permitted successors and assigns (including, with respect to the Company, any successor or assignee to the Company’s business or assets who becomes bound by the Plan pursuant to Article VI). The titles and headings of the sections in the Plan are for convenience of reference only, and in the event of any conflict, the text of the Plan, rather than such titles or headings, shall control.</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Eligibility</w:t>
      </w:r>
    </w:p>
    <w:p>
      <w:pPr>
        <w:spacing w:after="0" w:line="206" w:lineRule="exact"/>
        <w:rPr>
          <w:sz w:val="20"/>
          <w:szCs w:val="20"/>
          <w:color w:val="auto"/>
        </w:rPr>
      </w:pPr>
    </w:p>
    <w:p>
      <w:pPr>
        <w:ind w:right="220" w:firstLine="1101"/>
        <w:spacing w:after="0" w:line="277"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xml:space="preserve"> Each Tier I Employee and Tier II Employee shall be a Participant;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Section 2.03, any Tier I Employee or Tier II Employee may be designated as not being a Participant by action of the Plan Administrator at any time.</w:t>
      </w:r>
    </w:p>
    <w:p>
      <w:pPr>
        <w:spacing w:after="0" w:line="142" w:lineRule="exact"/>
        <w:rPr>
          <w:sz w:val="20"/>
          <w:szCs w:val="20"/>
          <w:color w:val="auto"/>
        </w:rPr>
      </w:pPr>
    </w:p>
    <w:p>
      <w:pPr>
        <w:ind w:right="80" w:firstLine="1101"/>
        <w:spacing w:after="0" w:line="24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Duration of Participation.</w:t>
      </w:r>
      <w:r>
        <w:rPr>
          <w:rFonts w:ascii="Times New Roman" w:cs="Times New Roman" w:eastAsia="Times New Roman" w:hAnsi="Times New Roman"/>
          <w:sz w:val="18"/>
          <w:szCs w:val="18"/>
          <w:color w:val="auto"/>
        </w:rPr>
        <w:t xml:space="preserve"> A Participant shall cease to be a Participant when he or she ceases to hold a position that qualifies him or her as a Tier I Employee or Tier II Employee. Notwithstanding the foregoing, a Participant who is entitled, as a result of ceasing to hold a position that qualifies him as a Tier I Employee or Tier II Employee, to payment of Separation Benefits, Change of Control Separation Benefits or any other amounts due under the Plan shall remain a Participant until all such Separation Benefits, Change of Control Separation Benefits or other amounts have been paid to the Participant.</w:t>
      </w:r>
    </w:p>
    <w:p>
      <w:pPr>
        <w:spacing w:after="0" w:line="169" w:lineRule="exact"/>
        <w:rPr>
          <w:sz w:val="20"/>
          <w:szCs w:val="20"/>
          <w:color w:val="auto"/>
        </w:rPr>
      </w:pPr>
    </w:p>
    <w:p>
      <w:pPr>
        <w:ind w:right="140" w:firstLine="1101"/>
        <w:spacing w:after="0" w:line="25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Change of Control Protection Period.</w:t>
      </w:r>
      <w:r>
        <w:rPr>
          <w:rFonts w:ascii="Times New Roman" w:cs="Times New Roman" w:eastAsia="Times New Roman" w:hAnsi="Times New Roman"/>
          <w:sz w:val="18"/>
          <w:szCs w:val="18"/>
          <w:color w:val="auto"/>
        </w:rPr>
        <w:t xml:space="preserve"> Notwithstanding anything in this Article II, during the Change of Control Protection Period, the Plan Administrator may not take any action to designate a Participant as not being a Participant or to designate a Tier I Employee as a Tier II Employee, in each case, without the prior written consent of the applicable Participant.</w:t>
      </w:r>
    </w:p>
    <w:p>
      <w:pPr>
        <w:sectPr>
          <w:pgSz w:w="11900" w:h="16838" w:orient="portrait"/>
          <w:cols w:equalWidth="0" w:num="1">
            <w:col w:w="11260"/>
          </w:cols>
          <w:pgMar w:left="320" w:top="335"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929292"/>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Separation Benefits</w:t>
      </w:r>
    </w:p>
    <w:p>
      <w:pPr>
        <w:spacing w:after="0" w:line="206" w:lineRule="exact"/>
        <w:rPr>
          <w:sz w:val="20"/>
          <w:szCs w:val="20"/>
          <w:color w:val="auto"/>
        </w:rPr>
      </w:pPr>
    </w:p>
    <w:p>
      <w:pPr>
        <w:jc w:val="both"/>
        <w:ind w:right="60" w:firstLine="110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Non-Change of Control Separation Benefits.</w:t>
      </w:r>
      <w:r>
        <w:rPr>
          <w:rFonts w:ascii="Times New Roman" w:cs="Times New Roman" w:eastAsia="Times New Roman" w:hAnsi="Times New Roman"/>
          <w:sz w:val="18"/>
          <w:szCs w:val="18"/>
          <w:color w:val="auto"/>
        </w:rPr>
        <w:t xml:space="preserve"> If a Participant incurs an Eligible Termination at any time other than during the Change of Control Protection Period and satisfies the Release Condition, then the Company or a Subsidiary, as appropriate, shall pay or provide the following, subject to the Participant’s ongoing compliance with the Release:</w:t>
      </w:r>
    </w:p>
    <w:p>
      <w:pPr>
        <w:spacing w:after="0" w:line="158" w:lineRule="exact"/>
        <w:rPr>
          <w:sz w:val="20"/>
          <w:szCs w:val="20"/>
          <w:color w:val="auto"/>
        </w:rPr>
      </w:pPr>
    </w:p>
    <w:p>
      <w:pPr>
        <w:ind w:left="1480" w:hanging="387"/>
        <w:spacing w:after="0"/>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Severanc</w:t>
      </w:r>
      <w:r>
        <w:rPr>
          <w:rFonts w:ascii="Times New Roman" w:cs="Times New Roman" w:eastAsia="Times New Roman" w:hAnsi="Times New Roman"/>
          <w:sz w:val="18"/>
          <w:szCs w:val="18"/>
          <w:color w:val="auto"/>
        </w:rPr>
        <w:t>e.</w:t>
      </w:r>
    </w:p>
    <w:p>
      <w:pPr>
        <w:spacing w:after="0" w:line="194" w:lineRule="exact"/>
        <w:rPr>
          <w:sz w:val="20"/>
          <w:szCs w:val="20"/>
          <w:color w:val="auto"/>
        </w:rPr>
      </w:pPr>
    </w:p>
    <w:p>
      <w:pPr>
        <w:ind w:left="1440" w:hanging="347"/>
        <w:spacing w:after="0"/>
        <w:tabs>
          <w:tab w:leader="none" w:pos="1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Tier I Employee:</w:t>
      </w:r>
      <w:r>
        <w:rPr>
          <w:rFonts w:ascii="Times New Roman" w:cs="Times New Roman" w:eastAsia="Times New Roman" w:hAnsi="Times New Roman"/>
          <w:sz w:val="18"/>
          <w:szCs w:val="18"/>
          <w:color w:val="auto"/>
        </w:rPr>
        <w:t xml:space="preserve"> An amount equal to 1.5 times the sum of (A) Base Salary and (B) Target Bonus;</w:t>
      </w:r>
    </w:p>
    <w:p>
      <w:pPr>
        <w:spacing w:after="0" w:line="205"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Tier II Employee:</w:t>
      </w:r>
      <w:r>
        <w:rPr>
          <w:rFonts w:ascii="Times New Roman" w:cs="Times New Roman" w:eastAsia="Times New Roman" w:hAnsi="Times New Roman"/>
          <w:sz w:val="18"/>
          <w:szCs w:val="18"/>
          <w:color w:val="auto"/>
        </w:rPr>
        <w:t xml:space="preserve"> An amount equal to 1 times the sum of (A) Base Salary and (B) Target Bonus,</w:t>
      </w:r>
    </w:p>
    <w:p>
      <w:pPr>
        <w:spacing w:after="0" w:line="206" w:lineRule="exact"/>
        <w:rPr>
          <w:sz w:val="20"/>
          <w:szCs w:val="20"/>
          <w:color w:val="auto"/>
        </w:rPr>
      </w:pPr>
    </w:p>
    <w:p>
      <w:pPr>
        <w:ind w:left="1100" w:right="40"/>
        <w:spacing w:after="0" w:line="247" w:lineRule="auto"/>
        <w:rPr>
          <w:sz w:val="20"/>
          <w:szCs w:val="20"/>
          <w:color w:val="auto"/>
        </w:rPr>
      </w:pPr>
      <w:r>
        <w:rPr>
          <w:rFonts w:ascii="Times New Roman" w:cs="Times New Roman" w:eastAsia="Times New Roman" w:hAnsi="Times New Roman"/>
          <w:sz w:val="18"/>
          <w:szCs w:val="18"/>
          <w:color w:val="auto"/>
        </w:rPr>
        <w:t xml:space="preserve">which severance amount shall, in each case, be payable in substantially equal installments consistent with the Company’s payroll practices, with the first installment beginning on the first payroll date promptly following the satisfaction of the Release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installments payable to the Participant prior to such date shall be accrued and paid to the Participant in a lump sum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necessary to comply with Section 409A of the Code, if the period during which the Release Condition is satisfied spans two calendar years, the payment of such severance amount shall commence in the second calendar year;</w:t>
      </w:r>
    </w:p>
    <w:p>
      <w:pPr>
        <w:spacing w:after="0" w:line="380" w:lineRule="exact"/>
        <w:rPr>
          <w:sz w:val="20"/>
          <w:szCs w:val="20"/>
          <w:color w:val="auto"/>
        </w:rPr>
      </w:pPr>
    </w:p>
    <w:p>
      <w:pPr>
        <w:ind w:firstLine="1093"/>
        <w:spacing w:after="0" w:line="243" w:lineRule="auto"/>
        <w:tabs>
          <w:tab w:leader="none" w:pos="14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Bonus.</w:t>
      </w:r>
      <w:r>
        <w:rPr>
          <w:rFonts w:ascii="Times New Roman" w:cs="Times New Roman" w:eastAsia="Times New Roman" w:hAnsi="Times New Roman"/>
          <w:sz w:val="18"/>
          <w:szCs w:val="18"/>
          <w:color w:val="auto"/>
        </w:rPr>
        <w:t xml:space="preserve"> A pro rata portion of the Participant’s annual bonus under the Company’s annual incentive plan in respect of the fiscal year of the Company in which the Date of Termination occurs based on the number of days elapsed in such fiscal year through the Date of Termination and actual achievement of applicable performance goals (except that any performance goals based on the Participant’s personal performance shall be treated as attained at no less than target level), and any other performance goals shall be deemed achieved at least at the level applicable to similarly situated active employees of the Company. Such pro- rata bonus shall be paid when annual bonuses are paid to other senior executives of the Company (or, if later, following the satisfaction of the Release Condition), and in all events no later than 2.5 months following the end of the applicable fiscal year of the Company in which the Date of Termination occurs;</w:t>
      </w:r>
    </w:p>
    <w:p>
      <w:pPr>
        <w:sectPr>
          <w:pgSz w:w="11900" w:h="16838" w:orient="portrait"/>
          <w:cols w:equalWidth="0" w:num="1">
            <w:col w:w="11260"/>
          </w:cols>
          <w:pgMar w:left="320" w:top="335"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929292"/>
        </w:rPr>
        <w:t>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1093"/>
        <w:spacing w:after="0" w:line="242" w:lineRule="auto"/>
        <w:tabs>
          <w:tab w:leader="none" w:pos="14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Benefits.</w:t>
      </w:r>
      <w:r>
        <w:rPr>
          <w:rFonts w:ascii="Times New Roman" w:cs="Times New Roman" w:eastAsia="Times New Roman" w:hAnsi="Times New Roman"/>
          <w:sz w:val="18"/>
          <w:szCs w:val="18"/>
          <w:color w:val="auto"/>
        </w:rPr>
        <w:t xml:space="preserve"> Reimbursement by the Company of the cost of the Participant’s premiums for continued coverage under the group health plan of the Company or any of its Subsidiaries for the Participant and the Participant’s eligible dependents covered by the applicable group health plan as of the Date of Termination, in an amount equal to the cost of such premiums as paid by active employees of the Company and its Subsidiaries (the “</w:t>
      </w:r>
      <w:r>
        <w:rPr>
          <w:rFonts w:ascii="Times New Roman" w:cs="Times New Roman" w:eastAsia="Times New Roman" w:hAnsi="Times New Roman"/>
          <w:sz w:val="18"/>
          <w:szCs w:val="18"/>
          <w:u w:val="single" w:color="auto"/>
          <w:color w:val="auto"/>
        </w:rPr>
        <w:t>Welfare Continuation Reimbursement</w:t>
      </w:r>
      <w:r>
        <w:rPr>
          <w:rFonts w:ascii="Times New Roman" w:cs="Times New Roman" w:eastAsia="Times New Roman" w:hAnsi="Times New Roman"/>
          <w:sz w:val="18"/>
          <w:szCs w:val="18"/>
          <w:color w:val="auto"/>
        </w:rPr>
        <w:t xml:space="preserve">”), for, in the case of each Tier I Employee, the 18-month period following the Date of Termination or, in the case of each Tier II Employee, the 12-month period following the Date of Termination; which, provided that the Participant timely elects and enrolls in continuation coverage under COBRA, shall be payable directly to the sponsor of the applicable group health plan during the applicable COBRA continuation period. Such reimbursement payments shall commence on the first day of the month following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payments shall cease to the extent the Release Condition is not satisfied or the Participant fails to comply with the terms of the Release; and</w:t>
      </w:r>
    </w:p>
    <w:p>
      <w:pPr>
        <w:spacing w:after="0" w:line="177" w:lineRule="exact"/>
        <w:rPr>
          <w:rFonts w:ascii="Times New Roman" w:cs="Times New Roman" w:eastAsia="Times New Roman" w:hAnsi="Times New Roman"/>
          <w:sz w:val="18"/>
          <w:szCs w:val="18"/>
          <w:color w:val="auto"/>
        </w:rPr>
      </w:pPr>
    </w:p>
    <w:p>
      <w:pPr>
        <w:ind w:right="20" w:firstLine="1093"/>
        <w:spacing w:after="0" w:line="258" w:lineRule="auto"/>
        <w:tabs>
          <w:tab w:leader="none" w:pos="14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Outplacement.</w:t>
      </w:r>
      <w:r>
        <w:rPr>
          <w:rFonts w:ascii="Times New Roman" w:cs="Times New Roman" w:eastAsia="Times New Roman" w:hAnsi="Times New Roman"/>
          <w:sz w:val="18"/>
          <w:szCs w:val="18"/>
          <w:color w:val="auto"/>
        </w:rPr>
        <w:t xml:space="preserve"> Reasonable outplacement assistance with a firm determined by the Company for up to one year following the Date of Termination (or, if earlier, the date the Participant commences employment with a subsequent employer), up to a maximum cost of $25,000 (the “</w:t>
      </w:r>
      <w:r>
        <w:rPr>
          <w:rFonts w:ascii="Times New Roman" w:cs="Times New Roman" w:eastAsia="Times New Roman" w:hAnsi="Times New Roman"/>
          <w:sz w:val="18"/>
          <w:szCs w:val="18"/>
          <w:u w:val="single" w:color="auto"/>
          <w:color w:val="auto"/>
        </w:rPr>
        <w:t>Outplacement Benefit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101"/>
        <w:spacing w:after="0" w:line="277"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Change of Control Separation Benefits.</w:t>
      </w:r>
      <w:r>
        <w:rPr>
          <w:rFonts w:ascii="Times New Roman" w:cs="Times New Roman" w:eastAsia="Times New Roman" w:hAnsi="Times New Roman"/>
          <w:sz w:val="18"/>
          <w:szCs w:val="18"/>
          <w:color w:val="auto"/>
        </w:rPr>
        <w:t xml:space="preserve"> If a Participant incurs an Eligible Termination during the Change of Control Protection Period, then the Company or a Subsidiary, as appropriate, shall pay or provide the following:</w:t>
      </w:r>
    </w:p>
    <w:p>
      <w:pPr>
        <w:spacing w:after="0" w:line="142" w:lineRule="exact"/>
        <w:rPr>
          <w:sz w:val="20"/>
          <w:szCs w:val="20"/>
          <w:color w:val="auto"/>
        </w:rPr>
      </w:pPr>
    </w:p>
    <w:p>
      <w:pPr>
        <w:ind w:left="1480" w:hanging="38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Severance.</w:t>
      </w:r>
    </w:p>
    <w:p>
      <w:pPr>
        <w:spacing w:after="0" w:line="206" w:lineRule="exact"/>
        <w:rPr>
          <w:sz w:val="20"/>
          <w:szCs w:val="20"/>
          <w:color w:val="auto"/>
        </w:rPr>
      </w:pPr>
    </w:p>
    <w:p>
      <w:pPr>
        <w:ind w:left="1440" w:hanging="347"/>
        <w:spacing w:after="0"/>
        <w:tabs>
          <w:tab w:leader="none" w:pos="1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Tier I Employee:</w:t>
      </w:r>
      <w:r>
        <w:rPr>
          <w:rFonts w:ascii="Times New Roman" w:cs="Times New Roman" w:eastAsia="Times New Roman" w:hAnsi="Times New Roman"/>
          <w:sz w:val="18"/>
          <w:szCs w:val="18"/>
          <w:color w:val="auto"/>
        </w:rPr>
        <w:t xml:space="preserve"> An amount equal to 2 times the sum of (A) Base Salary and (B) Target Bonus;</w:t>
      </w:r>
    </w:p>
    <w:p>
      <w:pPr>
        <w:spacing w:after="0" w:line="205"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Tier II Employee:</w:t>
      </w:r>
      <w:r>
        <w:rPr>
          <w:rFonts w:ascii="Times New Roman" w:cs="Times New Roman" w:eastAsia="Times New Roman" w:hAnsi="Times New Roman"/>
          <w:sz w:val="18"/>
          <w:szCs w:val="18"/>
          <w:color w:val="auto"/>
        </w:rPr>
        <w:t xml:space="preserve"> An amount equal to 1.5 times the sum of (A) Base Salary and (B) Target Bonus,</w:t>
      </w:r>
    </w:p>
    <w:p>
      <w:pPr>
        <w:spacing w:after="0" w:line="206" w:lineRule="exact"/>
        <w:rPr>
          <w:sz w:val="20"/>
          <w:szCs w:val="20"/>
          <w:color w:val="auto"/>
        </w:rPr>
      </w:pPr>
    </w:p>
    <w:p>
      <w:pPr>
        <w:ind w:left="1100" w:right="40"/>
        <w:spacing w:after="0" w:line="255" w:lineRule="auto"/>
        <w:rPr>
          <w:sz w:val="20"/>
          <w:szCs w:val="20"/>
          <w:color w:val="auto"/>
        </w:rPr>
      </w:pPr>
      <w:r>
        <w:rPr>
          <w:rFonts w:ascii="Times New Roman" w:cs="Times New Roman" w:eastAsia="Times New Roman" w:hAnsi="Times New Roman"/>
          <w:sz w:val="18"/>
          <w:szCs w:val="18"/>
          <w:color w:val="auto"/>
        </w:rPr>
        <w:t xml:space="preserve">which severance amount shall be payable in a lump sum within 10 days following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necessary to comply with Section 409A of the Code, such amount shall be paid on the same schedule as provided in Section 3.01(a).</w:t>
      </w:r>
    </w:p>
    <w:p>
      <w:pPr>
        <w:spacing w:after="0" w:line="375" w:lineRule="exact"/>
        <w:rPr>
          <w:sz w:val="20"/>
          <w:szCs w:val="20"/>
          <w:color w:val="auto"/>
        </w:rPr>
      </w:pPr>
    </w:p>
    <w:p>
      <w:pPr>
        <w:ind w:right="140" w:firstLine="1093"/>
        <w:spacing w:after="0" w:line="258" w:lineRule="auto"/>
        <w:tabs>
          <w:tab w:leader="none" w:pos="14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Bonus.</w:t>
      </w:r>
      <w:r>
        <w:rPr>
          <w:rFonts w:ascii="Times New Roman" w:cs="Times New Roman" w:eastAsia="Times New Roman" w:hAnsi="Times New Roman"/>
          <w:sz w:val="18"/>
          <w:szCs w:val="18"/>
          <w:color w:val="auto"/>
        </w:rPr>
        <w:t xml:space="preserve"> A pro rata portion of the Participant’s Target Bonus in respect of the fiscal year of the Company in which the Date of Termination occurs based on the number of days elapsed in such fiscal year through the Date of Termination, which shall be payable within 10 days following the Date of Termination;</w:t>
      </w:r>
    </w:p>
    <w:p>
      <w:pPr>
        <w:spacing w:after="0" w:line="158" w:lineRule="exact"/>
        <w:rPr>
          <w:rFonts w:ascii="Times New Roman" w:cs="Times New Roman" w:eastAsia="Times New Roman" w:hAnsi="Times New Roman"/>
          <w:sz w:val="18"/>
          <w:szCs w:val="18"/>
          <w:color w:val="auto"/>
        </w:rPr>
      </w:pPr>
    </w:p>
    <w:p>
      <w:pPr>
        <w:ind w:right="60" w:firstLine="1093"/>
        <w:spacing w:after="0" w:line="248" w:lineRule="auto"/>
        <w:tabs>
          <w:tab w:leader="none" w:pos="14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Benefits.</w:t>
      </w:r>
      <w:r>
        <w:rPr>
          <w:rFonts w:ascii="Times New Roman" w:cs="Times New Roman" w:eastAsia="Times New Roman" w:hAnsi="Times New Roman"/>
          <w:sz w:val="18"/>
          <w:szCs w:val="18"/>
          <w:color w:val="auto"/>
        </w:rPr>
        <w:t xml:space="preserve"> Welfare Continuation Reimbursement, for, in the case of each Tier I Employee, the 24-month period following the Date of Termination or, in the case of each Tier II Employee, the 18-month period following the Date of Termination; which, provided that the Participant timely elects and enrolls in continuation coverage under COBRA, shall be payable directly to the sponsor of the applicable group health plan during the applicable COBRA continuation period. Such reimbursement payments shall commence on the first day of the month following the Date of Termination; and</w:t>
      </w:r>
    </w:p>
    <w:p>
      <w:pPr>
        <w:sectPr>
          <w:pgSz w:w="11900" w:h="16838" w:orient="portrait"/>
          <w:cols w:equalWidth="0" w:num="1">
            <w:col w:w="11260"/>
          </w:cols>
          <w:pgMar w:left="320" w:top="335"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929292"/>
        </w:rPr>
        <w:t>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hanging="407"/>
        <w:spacing w:after="0"/>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Outplacement.</w:t>
      </w:r>
      <w:r>
        <w:rPr>
          <w:rFonts w:ascii="Times New Roman" w:cs="Times New Roman" w:eastAsia="Times New Roman" w:hAnsi="Times New Roman"/>
          <w:sz w:val="18"/>
          <w:szCs w:val="18"/>
          <w:color w:val="auto"/>
        </w:rPr>
        <w:t xml:space="preserve"> The Outplacement Benefit.</w:t>
      </w:r>
    </w:p>
    <w:p>
      <w:pPr>
        <w:spacing w:after="0" w:line="206" w:lineRule="exact"/>
        <w:rPr>
          <w:sz w:val="20"/>
          <w:szCs w:val="20"/>
          <w:color w:val="auto"/>
        </w:rPr>
      </w:pPr>
    </w:p>
    <w:p>
      <w:pPr>
        <w:jc w:val="both"/>
        <w:ind w:right="460" w:firstLine="1101"/>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Release Condition.</w:t>
      </w:r>
      <w:r>
        <w:rPr>
          <w:rFonts w:ascii="Times New Roman" w:cs="Times New Roman" w:eastAsia="Times New Roman" w:hAnsi="Times New Roman"/>
          <w:sz w:val="18"/>
          <w:szCs w:val="18"/>
          <w:color w:val="auto"/>
        </w:rPr>
        <w:t xml:space="preserve"> In order to receive any of the benefits outlined in Section 3.01, the Participant must execute and deliver a Separation Agreement and General Release of Claims substantially in the form attached hereto as Exhibit A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that becomes irrevocable in accordance with its terms within 55 days following the Date of Termination (the “</w:t>
      </w:r>
      <w:r>
        <w:rPr>
          <w:rFonts w:ascii="Times New Roman" w:cs="Times New Roman" w:eastAsia="Times New Roman" w:hAnsi="Times New Roman"/>
          <w:sz w:val="18"/>
          <w:szCs w:val="18"/>
          <w:u w:val="single" w:color="auto"/>
          <w:color w:val="auto"/>
        </w:rPr>
        <w:t>Release Condition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Other Benefits Payable and Offset.</w:t>
      </w:r>
    </w:p>
    <w:p>
      <w:pPr>
        <w:spacing w:after="0" w:line="206" w:lineRule="exact"/>
        <w:rPr>
          <w:sz w:val="20"/>
          <w:szCs w:val="20"/>
          <w:color w:val="auto"/>
        </w:rPr>
      </w:pPr>
    </w:p>
    <w:p>
      <w:pPr>
        <w:ind w:right="20" w:firstLine="1093"/>
        <w:spacing w:after="0" w:line="242" w:lineRule="auto"/>
        <w:tabs>
          <w:tab w:leader="none" w:pos="14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xml:space="preserve"> The Separation Benefits and Change of Control Separation Benefits shall be payable in addition to, and not in lieu of, other accrued or vested or earned but deferred compensation, rights, options, restricted stock units, performance units or other benefits that are owed to a Participant upon or following his or her termination of employment, including accrued amounts or benefits previously earned and payable under any bonus or other compensation plans, stock option or other equity incentive plan, stock ownership plan, stock purchase plan, life insurance plan, health plan, disability plan or similar or successor plan, and any business expenses required to be reimbursed under the applicable policies of the Company and its Subsidiaries. For the avoidance of doubt, any outstanding equity or equity- based awards granted to the Participant and outstanding as of the Date of Termination shall be treated in accordance with the terms of the applicable equity incentive plan, award agreements and any other agreement with respect thereto.</w:t>
      </w:r>
    </w:p>
    <w:p>
      <w:pPr>
        <w:spacing w:after="0" w:line="177" w:lineRule="exact"/>
        <w:rPr>
          <w:rFonts w:ascii="Times New Roman" w:cs="Times New Roman" w:eastAsia="Times New Roman" w:hAnsi="Times New Roman"/>
          <w:sz w:val="18"/>
          <w:szCs w:val="18"/>
          <w:color w:val="auto"/>
        </w:rPr>
      </w:pPr>
    </w:p>
    <w:p>
      <w:pPr>
        <w:ind w:firstLine="1093"/>
        <w:spacing w:after="0" w:line="258" w:lineRule="auto"/>
        <w:tabs>
          <w:tab w:leader="none" w:pos="14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Offsets.</w:t>
      </w:r>
      <w:r>
        <w:rPr>
          <w:rFonts w:ascii="Times New Roman" w:cs="Times New Roman" w:eastAsia="Times New Roman" w:hAnsi="Times New Roman"/>
          <w:sz w:val="18"/>
          <w:szCs w:val="18"/>
          <w:color w:val="auto"/>
        </w:rPr>
        <w:t xml:space="preserve"> Notwithstanding the foregoing, any Separation Benefits or Change of Control Separation Benefits paid under the Plan will be reduced, on a dollar-for-dollar basis, by the following, and such reduction shall be made without any change to the timing of payment in a manner that would violate Section 409A of the Code:</w:t>
      </w:r>
    </w:p>
    <w:p>
      <w:pPr>
        <w:spacing w:after="0" w:line="158" w:lineRule="exact"/>
        <w:rPr>
          <w:sz w:val="20"/>
          <w:szCs w:val="20"/>
          <w:color w:val="auto"/>
        </w:rPr>
      </w:pPr>
    </w:p>
    <w:p>
      <w:pPr>
        <w:jc w:val="both"/>
        <w:ind w:left="540" w:right="140" w:firstLine="553"/>
        <w:spacing w:after="0" w:line="251" w:lineRule="auto"/>
        <w:tabs>
          <w:tab w:leader="none" w:pos="14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or to be made to the Participant to comply with, or satisfy liability under, the WARN Act requiring payments in connection with an involuntary termination of employment, plant shutdown, or workforce reduction, including amounts paid in connection with paid leaves of absence, back pay, benefits, and other payments intended to satisfy such liability or alleged liability; and</w:t>
      </w:r>
    </w:p>
    <w:p>
      <w:pPr>
        <w:spacing w:after="0" w:line="165" w:lineRule="exact"/>
        <w:rPr>
          <w:rFonts w:ascii="Times New Roman" w:cs="Times New Roman" w:eastAsia="Times New Roman" w:hAnsi="Times New Roman"/>
          <w:sz w:val="18"/>
          <w:szCs w:val="18"/>
          <w:color w:val="auto"/>
        </w:rPr>
      </w:pPr>
    </w:p>
    <w:p>
      <w:pPr>
        <w:ind w:left="1500" w:hanging="407"/>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common law severance or other separation payments required to be paid to the Participant under applicable law.</w:t>
      </w:r>
    </w:p>
    <w:p>
      <w:pPr>
        <w:sectPr>
          <w:pgSz w:w="11900" w:h="16838" w:orient="portrait"/>
          <w:cols w:equalWidth="0" w:num="1">
            <w:col w:w="11260"/>
          </w:cols>
          <w:pgMar w:left="320" w:top="335" w:right="3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929292"/>
        </w:rPr>
        <w:t>10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80" w:hanging="387"/>
        <w:spacing w:after="0"/>
        <w:tabs>
          <w:tab w:leader="none" w:pos="1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Duplicative Benefits.</w:t>
      </w:r>
    </w:p>
    <w:p>
      <w:pPr>
        <w:spacing w:after="0" w:line="206" w:lineRule="exact"/>
        <w:rPr>
          <w:sz w:val="20"/>
          <w:szCs w:val="20"/>
          <w:color w:val="auto"/>
        </w:rPr>
      </w:pPr>
    </w:p>
    <w:p>
      <w:pPr>
        <w:ind w:left="540" w:right="60" w:firstLine="553"/>
        <w:spacing w:after="0" w:line="242" w:lineRule="auto"/>
        <w:tabs>
          <w:tab w:leader="none" w:pos="14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is eligible to receive benefits under (i) the Plan; and (ii) any other severance plan, program or agreement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Source</w:t>
      </w:r>
      <w:r>
        <w:rPr>
          <w:rFonts w:ascii="Times New Roman" w:cs="Times New Roman" w:eastAsia="Times New Roman" w:hAnsi="Times New Roman"/>
          <w:sz w:val="18"/>
          <w:szCs w:val="18"/>
          <w:color w:val="auto"/>
        </w:rPr>
        <w:t>”), then for each category of payment or benefit under the Plan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xml:space="preserve">, cash severance, pro rata bonus, welfare continuation and outplacement), the Plan Administrator shall compare such payments or benefits due under the Plan to those due under the Other Source and the Participant shall be provided with the better of each such payment or benefit;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under no circumstances shall the Participant receive duplicate payments or benefits as determined by the Plan Administrator. If the Participant is eligible to receive benefits from any Other Source, the form and timing of payments under such Other Source will be determined as set forth by such Other Source, and the form and timing of any remaining monetary and nonmonetary benefits payable under the Plan will be as described herein without any change in the timing of payment that would violate Section 409A of the Code.</w:t>
      </w:r>
    </w:p>
    <w:p>
      <w:pPr>
        <w:spacing w:after="0" w:line="177" w:lineRule="exact"/>
        <w:rPr>
          <w:sz w:val="20"/>
          <w:szCs w:val="20"/>
          <w:color w:val="auto"/>
        </w:rPr>
      </w:pPr>
    </w:p>
    <w:p>
      <w:pPr>
        <w:jc w:val="both"/>
        <w:ind w:right="40" w:firstLine="1101"/>
        <w:spacing w:after="0" w:line="24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Payment Obligations Absolute.</w:t>
      </w:r>
      <w:r>
        <w:rPr>
          <w:rFonts w:ascii="Times New Roman" w:cs="Times New Roman" w:eastAsia="Times New Roman" w:hAnsi="Times New Roman"/>
          <w:sz w:val="18"/>
          <w:szCs w:val="18"/>
          <w:color w:val="auto"/>
        </w:rPr>
        <w:t xml:space="preserve"> Unless otherwise determined by the Plan Administrator prior to a Change of Control, the obligations of the Company and the Subsidiaries to pay the Separation Benefits or the Change of Control Separation Benefits, as applicable, as required by the Plan shall be absolute and unconditional and shall not be affected by any circumstances, including any set-off, counterclaim, recoupment, defense or other right that the Company or any Affiliate may have against any Participant. In no event shall a Participant be obligated to seek other employment or take any other action by way of mitigation of the amounts payable to a Participant under any of the provisions of the Plan, nor shall the amount of any payment hereunder be reduced by any compensation earned by a Participant as a result of employment by another employer.</w:t>
      </w:r>
    </w:p>
    <w:p>
      <w:pPr>
        <w:spacing w:after="0" w:line="172"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8"/>
          <w:szCs w:val="18"/>
          <w:color w:val="auto"/>
        </w:rPr>
        <w:t>ARTICLE IV</w:t>
      </w:r>
    </w:p>
    <w:p>
      <w:pPr>
        <w:spacing w:after="0" w:line="20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Participating Employers</w:t>
      </w:r>
    </w:p>
    <w:p>
      <w:pPr>
        <w:spacing w:after="0" w:line="194" w:lineRule="exact"/>
        <w:rPr>
          <w:sz w:val="20"/>
          <w:szCs w:val="20"/>
          <w:color w:val="auto"/>
        </w:rPr>
      </w:pPr>
    </w:p>
    <w:p>
      <w:pPr>
        <w:ind w:right="100" w:firstLine="1101"/>
        <w:spacing w:after="0" w:line="258" w:lineRule="auto"/>
        <w:rPr>
          <w:sz w:val="20"/>
          <w:szCs w:val="20"/>
          <w:color w:val="auto"/>
        </w:rPr>
      </w:pPr>
      <w:r>
        <w:rPr>
          <w:rFonts w:ascii="Times New Roman" w:cs="Times New Roman" w:eastAsia="Times New Roman" w:hAnsi="Times New Roman"/>
          <w:sz w:val="18"/>
          <w:szCs w:val="18"/>
          <w:color w:val="auto"/>
        </w:rPr>
        <w:t>The Company is the sponsor of the Plan. The Company and each Subsidiary that employs a Tier I Employee or Tier II Employee shall be participating employers of the Plan. Each Subsidiary that is a participating employer of the Plan shall only be considered a participating employer with respect to the Participants who are employees of such Subsidiary.</w:t>
      </w:r>
    </w:p>
    <w:p>
      <w:pPr>
        <w:spacing w:after="0" w:line="158"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8"/>
          <w:szCs w:val="18"/>
          <w:color w:val="auto"/>
        </w:rPr>
        <w:t>ARTICLE V</w:t>
      </w:r>
    </w:p>
    <w:p>
      <w:pPr>
        <w:spacing w:after="0" w:line="2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u w:val="single" w:color="auto"/>
          <w:color w:val="auto"/>
        </w:rPr>
        <w:t>Certain Tax Rules</w:t>
      </w:r>
    </w:p>
    <w:p>
      <w:pPr>
        <w:spacing w:after="0" w:line="206" w:lineRule="exact"/>
        <w:rPr>
          <w:sz w:val="20"/>
          <w:szCs w:val="20"/>
          <w:color w:val="auto"/>
        </w:rPr>
      </w:pPr>
    </w:p>
    <w:p>
      <w:pPr>
        <w:ind w:right="80" w:firstLine="1101"/>
        <w:spacing w:after="0" w:line="24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Tax Withholding; No Guarantee of Tax Consequences.</w:t>
      </w:r>
      <w:r>
        <w:rPr>
          <w:rFonts w:ascii="Times New Roman" w:cs="Times New Roman" w:eastAsia="Times New Roman" w:hAnsi="Times New Roman"/>
          <w:sz w:val="18"/>
          <w:szCs w:val="18"/>
          <w:color w:val="auto"/>
        </w:rPr>
        <w:t xml:space="preserve"> The Company and its Affiliates shall have the power to deduct or withhold, or require the Participant to remit to the Company or its Affiliates, any amount deemed sufficient to satisfy U.S. Federal, state, local and non-U.S. taxes, as deemed necessary or appropriate by the Company or its Affiliate. No representation, commitment or guarantee is made that any amounts paid under the Plan will be excludable from the recipient’s gross income for any tax purpose, or that any other tax treatment will apply or be available to such Person.</w:t>
      </w:r>
    </w:p>
    <w:p>
      <w:pPr>
        <w:sectPr>
          <w:pgSz w:w="11900" w:h="16838" w:orient="portrait"/>
          <w:cols w:equalWidth="0" w:num="1">
            <w:col w:w="11260"/>
          </w:cols>
          <w:pgMar w:left="320" w:top="335" w:right="3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929292"/>
        </w:rPr>
        <w:t>11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1101"/>
        <w:spacing w:after="0" w:line="24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Six-Month Delay for Specified Employee.</w:t>
      </w:r>
      <w:r>
        <w:rPr>
          <w:rFonts w:ascii="Times New Roman" w:cs="Times New Roman" w:eastAsia="Times New Roman" w:hAnsi="Times New Roman"/>
          <w:sz w:val="18"/>
          <w:szCs w:val="18"/>
          <w:color w:val="auto"/>
        </w:rPr>
        <w:t xml:space="preserve"> Notwithstanding any other provision to the contrary, if any Participant is a Specified Employee, no payments under the Plan that constitute nonqualified deferred compensation subject to Section 409A of the Code shall be made to such Participant prior to the date that is six months after such Participant’s Date of Termination, or such earlier date upon which such amount can be paid or provided under Section 409A of the Code without being subject to additional taxes thereunder. Following any applicable six-month delay, all such delayed payments will be paid in a single lump sum on the earliest date permitted under Section 409A of the Code that is also a business day.</w:t>
      </w:r>
    </w:p>
    <w:p>
      <w:pPr>
        <w:spacing w:after="0" w:line="16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Cutback of Parachute Payments.</w:t>
      </w:r>
    </w:p>
    <w:p>
      <w:pPr>
        <w:spacing w:after="0" w:line="194" w:lineRule="exact"/>
        <w:rPr>
          <w:sz w:val="20"/>
          <w:szCs w:val="20"/>
          <w:color w:val="auto"/>
        </w:rPr>
      </w:pPr>
    </w:p>
    <w:p>
      <w:pPr>
        <w:ind w:right="20" w:firstLine="1093"/>
        <w:spacing w:after="0" w:line="243" w:lineRule="auto"/>
        <w:tabs>
          <w:tab w:leader="none" w:pos="14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to the contrary, if a Participant is a “disqualified individual” (as defined in Section 280G of the Code) and any portion of the Separation Benefits, Change of Control Separation Benefits or other payments and benefits the Participant is entitled to receive, has received or would receive in connection with a “change in ownership or control” as defined in Section 280G of the Code, whether pursuant to the Plan, any Other Source or otherwise (collectively, the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would constitute a “parachute payment” (as defined in Section 280G of the Code), then the Payments shall be either (i) reduced (but not below zero) so that the aggregate present value of the Payments will be one dollar ($1.00) less than three times such Participant’s “base amount” (as defined in Section 280G of the Code), such that no portion of the Payments shall be subject to the excise tax imposed by Section 4999 of the Code, or (ii) paid in full, whichever produces the better net after-tax result for such Participant (taking into account any applicable excise tax under Section 4999 of the Code and any other applicable tax). For the avoidance of doubt, this provision shall reduce the Payments otherwise payable to the Participant only if doing so would place the Participant in a better net after-tax economic position as compared with not doing so (taking into the account any excise taxes payable in respect of such Payments).</w:t>
      </w:r>
    </w:p>
    <w:p>
      <w:pPr>
        <w:spacing w:after="0" w:line="175" w:lineRule="exact"/>
        <w:rPr>
          <w:rFonts w:ascii="Times New Roman" w:cs="Times New Roman" w:eastAsia="Times New Roman" w:hAnsi="Times New Roman"/>
          <w:sz w:val="18"/>
          <w:szCs w:val="18"/>
          <w:color w:val="auto"/>
        </w:rPr>
      </w:pPr>
    </w:p>
    <w:p>
      <w:pPr>
        <w:ind w:right="40" w:firstLine="1093"/>
        <w:spacing w:after="0" w:line="241" w:lineRule="auto"/>
        <w:tabs>
          <w:tab w:leader="none" w:pos="14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made pursuant to Section 5.03(a) results in a reduction of the payments that would otherwise be paid to the Participant except for the application of Section 5.03(a), the Company shall give the Participant notice of such determination not later than 20 days prior to the date that the first Payment would otherwise be made. Such reduction in payments shall be first applied to reduce any cash payments that the Participant would otherwise be entitled to receive (whether pursuant to the Plan or otherwise) and shall thereafter be applied to reduce other payments and benefits, in each case, in reverse order beginning with the payments or benefits that are to be paid the furthest in time from the date of such determination, unless, to the extent permitted by Section 409A of the Code, the Participant elects to have the reduction in payments applied in a different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may such payments be reduced in a manner that would result in subjecting the Participant to additional taxation under Section 409A of the Code. Within 10 days following such determination, the Company or the applicable Affiliate shall pay or distribute to the Participant or for the Participant’s benefit such amounts as are then due to the Participant under the Plan or otherwise and shall pay or distribute to the Participant or for the Participant’s benefit in the future such amounts as become due to the Participant under the Plan or otherwise promptly following the date on which such payments or benefits become due.</w:t>
      </w:r>
    </w:p>
    <w:p>
      <w:pPr>
        <w:sectPr>
          <w:pgSz w:w="11900" w:h="16838" w:orient="portrait"/>
          <w:cols w:equalWidth="0" w:num="1">
            <w:col w:w="11260"/>
          </w:cols>
          <w:pgMar w:left="320" w:top="335" w:right="3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929292"/>
        </w:rPr>
        <w:t>12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1093"/>
        <w:spacing w:after="0" w:line="243" w:lineRule="auto"/>
        <w:tabs>
          <w:tab w:leader="none" w:pos="14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as to the Payments to be reduced and the amount of reduction shall be made by a nationally recognized certified public accounting firm selected by the Company prior to the Change of Control (the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whose determination shall be conclusive and binding. It is expressly understood that in determining the amount of any reduction to the Payments, the Accountant shall take into account any positions to mitigate any excise taxes payable under Section 4999 of the Code, such as the value of any reasonable compensation for services to be rendered by the Participant before or after the Change of Control, including any amounts payable to the Participant following the Date of Termination with respect to any noncompetition provisions that may apply to the Participant, and the Company shall cooperate in the valuation of any such services, including any noncompetition provisions. All such determinations by the Accountant shall be at the Company’s expense.</w:t>
      </w:r>
    </w:p>
    <w:p>
      <w:pPr>
        <w:spacing w:after="0" w:line="173" w:lineRule="exact"/>
        <w:rPr>
          <w:rFonts w:ascii="Times New Roman" w:cs="Times New Roman" w:eastAsia="Times New Roman" w:hAnsi="Times New Roman"/>
          <w:sz w:val="18"/>
          <w:szCs w:val="18"/>
          <w:color w:val="auto"/>
        </w:rPr>
      </w:pPr>
    </w:p>
    <w:p>
      <w:pPr>
        <w:ind w:right="120" w:firstLine="1093"/>
        <w:spacing w:after="0" w:line="244" w:lineRule="auto"/>
        <w:tabs>
          <w:tab w:leader="none" w:pos="14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Accountant (based upon the assertion of a deficiency by the Internal Revenue Service against either the Company or the Participant, with respect to which the Accountant believes the Internal Revenue Service should prevail) determines that a Payment has been made or provided and, through error or otherwise, that Payment, when aggregated with other Payments used in determining if a “parachute payment” exists, exceeds one dollar ($1.00) less than three times the applicable Participant’s base amount, the Participant shall promptly repay such excess to the Company upon notification that an overpayment has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repayment shall be required if and to the extent such deemed repayment would not either reduce the amount on which the Participant is subject to tax under Sections 1 and 4999 of the Code or generate a refund of such taxes. If the Accountant, based on controlling precedent or substantial authority, determines that a Payment has been reduced pursuant to this Section 5.03 that could have been fully paid or distributed, the Company (or applicable payor) shall promptly pay such amount to the Participant, together with interest at the applicable federal rate provided for in Section 7872(f)(2)(A) of the Code.</w:t>
      </w:r>
    </w:p>
    <w:p>
      <w:pPr>
        <w:spacing w:after="0" w:line="170" w:lineRule="exact"/>
        <w:rPr>
          <w:rFonts w:ascii="Times New Roman" w:cs="Times New Roman" w:eastAsia="Times New Roman" w:hAnsi="Times New Roman"/>
          <w:sz w:val="18"/>
          <w:szCs w:val="18"/>
          <w:color w:val="auto"/>
        </w:rPr>
      </w:pPr>
    </w:p>
    <w:p>
      <w:pPr>
        <w:ind w:right="40" w:firstLine="1093"/>
        <w:spacing w:after="0" w:line="245" w:lineRule="auto"/>
        <w:tabs>
          <w:tab w:leader="none" w:pos="148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dispute between the Participant and the Internal Revenue Service in respect of amounts payable by the Participant in respect of Section 4999 of the Code, the Company shall promptly make the Participant whole, on a net-after tax basis, upon demand by the Participant, for all legal fees, court costs, fees of experts and other costs and expenses which the Participant incurs in any actual, threatened or contemplated contest of any interpretation of, or determination under, the provisions of this Section 5.03, provided that such amounts must be incurred not later than 10 years following the final date on which a Payment is scheduled to be made.</w:t>
      </w:r>
    </w:p>
    <w:p>
      <w:pPr>
        <w:sectPr>
          <w:pgSz w:w="11900" w:h="16838" w:orient="portrait"/>
          <w:cols w:equalWidth="0" w:num="1">
            <w:col w:w="11260"/>
          </w:cols>
          <w:pgMar w:left="320" w:top="335"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929292"/>
        </w:rPr>
        <w:t>13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1101"/>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409A Considerations.</w:t>
      </w:r>
      <w:r>
        <w:rPr>
          <w:rFonts w:ascii="Times New Roman" w:cs="Times New Roman" w:eastAsia="Times New Roman" w:hAnsi="Times New Roman"/>
          <w:sz w:val="18"/>
          <w:szCs w:val="18"/>
          <w:color w:val="auto"/>
        </w:rPr>
        <w:t xml:space="preserve"> Payments and benefits under the Plan are intended to be exempt from or compliant with Section 409A of the Code, and the Company shall interpret and administer the Plan in accordance therewith. The Company may make amendments to the Plan or revise the timing of any payments to be made hereunder in accordance with Section 409A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adverse amendment shall be made during the Potential Change of Control Protection Period without the prior written consent of the Participant who would be adversely affected by such proposed amendment. Each payment made under the Plan (including each separate installment payment in the case of a series of installment payments) shall be deemed to be a separate payment for purposes of Section 409A of the Code. To the extent that any of the payments or benefits provided for under the Plan are deemed to constitute nonqualified deferred compensation benefits subject to Section 409A of the Code, references to “termination of employment”, “termination”, or words and phrases of similar import shall be deemed to refer to “separation from service” as defined in Section 409A of the Code, and shall be interpreted and applied in a manner that is consistent with the requirements of Section 409A of the Code. To the extent that any reimbursements under the Plan are taxable to a Participant, any such reimbursement payment due to the Participant shall be paid to the Participant as promptly as practicable consistent with the Company’s practice following the Participant’s appropriate substantiation of expenses incurred, and in all events on or before the last day of the Participant’s taxable year following the taxable year in which the related expense was incurred. Except as permitted by Section 409A, the in-kind benefits and reimbursements under the Plan are not subject to liquidation or exchange for another benefit, and the amount of such benefits or reimbursements that a Participant receives in one taxable year shall not affect the amount of such benefits or reimbursements that the Participant receives in any other taxable year. The welfare benefits provided pursuant to Sections</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3.01(c) and 3.02(c) shall be provided at the Company’s discretion in a manner that is intended to satisfy an exception to Section 409A of the Code, and therefore not be treated as an arrangement providing for nonqualified deferred compensation that is subject to taxation under Section 409A of the Code,or in a manner that otherwise complies with Section 409A of the Code, including (a) providing such benefits on a nontaxable basis to the Participant, (b) providing for the reimbursement of medical expenses incurred during the period of time during which the Participant would be entitled to continuation coverage under a group health plan of the Company under COBRA,(c) providing that such benefits constitute the reimbursement or provision of in-kind benefits payable at a specified time or pursuant to a fixed schedule as permitted under Section 409A of the Code or (d) requiring the Participant to pay the actual cost of such coverage and having the Company reimburse the Participant for such payments (with such reimbursement, less applicable taxes, for a particular calendar year during which the Participant received such coverage to be made within 15 days following the end of such calendar year (but in no event, in the case of any Specified Employee, prior to the date that is six months after the Participant’s Date of Termination)).</w:t>
      </w:r>
    </w:p>
    <w:p>
      <w:pPr>
        <w:sectPr>
          <w:pgSz w:w="11900" w:h="16838" w:orient="portrait"/>
          <w:cols w:equalWidth="0" w:num="1">
            <w:col w:w="11260"/>
          </w:cols>
          <w:pgMar w:left="320" w:top="335"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929292"/>
        </w:rPr>
        <w:t>14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8"/>
          <w:szCs w:val="18"/>
          <w:color w:val="auto"/>
        </w:rPr>
        <w:t>ARTICLE VI</w:t>
      </w:r>
    </w:p>
    <w:p>
      <w:pPr>
        <w:spacing w:after="0" w:line="20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u w:val="single" w:color="auto"/>
          <w:color w:val="auto"/>
        </w:rPr>
        <w:t>Successor to Company</w:t>
      </w:r>
    </w:p>
    <w:p>
      <w:pPr>
        <w:spacing w:after="0" w:line="206" w:lineRule="exact"/>
        <w:rPr>
          <w:sz w:val="20"/>
          <w:szCs w:val="20"/>
          <w:color w:val="auto"/>
        </w:rPr>
      </w:pPr>
    </w:p>
    <w:p>
      <w:pPr>
        <w:ind w:right="160" w:firstLine="1101"/>
        <w:spacing w:after="0" w:line="258" w:lineRule="auto"/>
        <w:rPr>
          <w:sz w:val="20"/>
          <w:szCs w:val="20"/>
          <w:color w:val="auto"/>
        </w:rPr>
      </w:pPr>
      <w:r>
        <w:rPr>
          <w:rFonts w:ascii="Times New Roman" w:cs="Times New Roman" w:eastAsia="Times New Roman" w:hAnsi="Times New Roman"/>
          <w:sz w:val="18"/>
          <w:szCs w:val="18"/>
          <w:color w:val="auto"/>
        </w:rPr>
        <w:t>The Plan shall bind any successor of the Company, its assets or its businesses (whether direct or indirect, by purchase, merger, consolidation or otherwise), in the same manner and to the same extent that the Company would be obligated under the Plan if no succession had taken place.</w:t>
      </w:r>
    </w:p>
    <w:p>
      <w:pPr>
        <w:spacing w:after="0" w:line="158" w:lineRule="exact"/>
        <w:rPr>
          <w:sz w:val="20"/>
          <w:szCs w:val="20"/>
          <w:color w:val="auto"/>
        </w:rPr>
      </w:pPr>
    </w:p>
    <w:p>
      <w:pPr>
        <w:ind w:right="80" w:firstLine="1101"/>
        <w:spacing w:after="0" w:line="251" w:lineRule="auto"/>
        <w:rPr>
          <w:sz w:val="20"/>
          <w:szCs w:val="20"/>
          <w:color w:val="auto"/>
        </w:rPr>
      </w:pPr>
      <w:r>
        <w:rPr>
          <w:rFonts w:ascii="Times New Roman" w:cs="Times New Roman" w:eastAsia="Times New Roman" w:hAnsi="Times New Roman"/>
          <w:sz w:val="18"/>
          <w:szCs w:val="18"/>
          <w:color w:val="auto"/>
        </w:rPr>
        <w:t>In the case of any transaction in which a successor would not by the foregoing provision or by operation of law be bound by the Plan, the Company shall require such successor expressly and unconditionally to assume and agree to perform the Company’s obligations under the Plan, in the same manner and to the same extent that the Company would be required to perform if no such succession had taken place.</w:t>
      </w:r>
    </w:p>
    <w:p>
      <w:pPr>
        <w:spacing w:after="0" w:line="165"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8"/>
          <w:szCs w:val="18"/>
          <w:color w:val="auto"/>
        </w:rPr>
        <w:t>ARTICLE VII</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Amendment and Termination</w:t>
      </w:r>
    </w:p>
    <w:p>
      <w:pPr>
        <w:spacing w:after="0" w:line="206" w:lineRule="exact"/>
        <w:rPr>
          <w:sz w:val="20"/>
          <w:szCs w:val="20"/>
          <w:color w:val="auto"/>
        </w:rPr>
      </w:pPr>
    </w:p>
    <w:p>
      <w:pPr>
        <w:ind w:right="160" w:firstLine="1101"/>
        <w:spacing w:after="0" w:line="241"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xml:space="preserve"> The Company reserves the right, in its sole discretion, to modify, amend, suspend or terminate the Plan, in whole or in part, at any time, prospectively or retrospectively, and for any reason, as it deems appropriate, by action of the Plan Administrator, including, for the avoidance of doubt, to revoke the designation of an employee of the Company or its Subsidiaries as a Participant;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except as set forth in Section 5.04, any such adverse modification, amendment, suspension or termination shall not be effective until the first anniversary of the date such modification, amendment, suspension or termination is approved by the Plan Administrator, (b) any such modification, amendment, suspension or termination shall not affect any right of any Participant to benefits under the Plan for a termination of employment occurring prior to the effective date of such modification, amendment, suspension or termination and (c) the Company may not modify, amend, suspend or terminate the Plan at any time in an adverse manner during the Potential Change of Control Protection Period. Notwithstanding the foregoing, the Plan and the Release may be modified by the Company at any time with respect to Participants employed primarily outside the U.S., as necessary to comply with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not amend the Plan in an adverse manner at any time during the Potential Change of Control Protection Period without the written consent of each Participant who would be adversely affected by such proposed amendment.</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xml:space="preserve"> All modifications, amendments, suspensions or terminations of the Plan shall be in writing.</w:t>
      </w:r>
    </w:p>
    <w:p>
      <w:pPr>
        <w:sectPr>
          <w:pgSz w:w="11900" w:h="16838" w:orient="portrait"/>
          <w:cols w:equalWidth="0" w:num="1">
            <w:col w:w="11260"/>
          </w:cols>
          <w:pgMar w:left="320" w:top="335"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929292"/>
        </w:rPr>
        <w:t>15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ARTICLE VIII</w:t>
      </w:r>
    </w:p>
    <w:p>
      <w:pPr>
        <w:spacing w:after="0" w:line="20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6" w:lineRule="exact"/>
        <w:rPr>
          <w:sz w:val="20"/>
          <w:szCs w:val="20"/>
          <w:color w:val="auto"/>
        </w:rPr>
      </w:pPr>
    </w:p>
    <w:p>
      <w:pPr>
        <w:ind w:right="20" w:firstLine="1101"/>
        <w:spacing w:after="0" w:line="24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Employment Status.</w:t>
      </w:r>
      <w:r>
        <w:rPr>
          <w:rFonts w:ascii="Times New Roman" w:cs="Times New Roman" w:eastAsia="Times New Roman" w:hAnsi="Times New Roman"/>
          <w:sz w:val="18"/>
          <w:szCs w:val="18"/>
          <w:color w:val="auto"/>
        </w:rPr>
        <w:t xml:space="preserve"> The Plan does not constitute a contract of employment or impose on any Participant, the Company or any Affiliate any obligation to retain the Participant as an employee of the Company or any of its Subsidiaries, to change the status of the Participant’s employment, or to change the policies of the Company or any Affiliate regarding termination of employment. Nothing contained in the Plan will be construed as (a) an employment contract between the Company or any Affiliate and any Participant; (b) a right of any Participant to be continued in the employment of the Company or its Affiliates; or (c) a limitation of the right of the Company or its Affiliates to discharge any Participant, with or without Cause, at any time. All Participants will be subject to discharge to the same extent as if the Plan had never been adopted.</w:t>
      </w:r>
    </w:p>
    <w:p>
      <w:pPr>
        <w:spacing w:after="0" w:line="171" w:lineRule="exact"/>
        <w:rPr>
          <w:sz w:val="20"/>
          <w:szCs w:val="20"/>
          <w:color w:val="auto"/>
        </w:rPr>
      </w:pPr>
    </w:p>
    <w:p>
      <w:pPr>
        <w:ind w:right="80" w:firstLine="1101"/>
        <w:spacing w:after="0" w:line="248"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Sources of Payment.</w:t>
      </w:r>
      <w:r>
        <w:rPr>
          <w:rFonts w:ascii="Times New Roman" w:cs="Times New Roman" w:eastAsia="Times New Roman" w:hAnsi="Times New Roman"/>
          <w:sz w:val="18"/>
          <w:szCs w:val="18"/>
          <w:color w:val="auto"/>
        </w:rPr>
        <w:t xml:space="preserve"> The benefits provided under the Plan will be paid from the general assets of the Company and its Affiliates in accordance with the terms and provisions of the Plan. Nothing herein will be construed to require the Company or any Affiliate to maintain any trust, fund, or otherwise segregate any amount for the benefit of any Person. Furthermore, no Person with a claim for Separation Benefits or Change of Control Separation Benefits hereunder will have any claim against, right to, security or other interest in, any fund, account, or assets of the Company or any Affiliate.</w:t>
      </w:r>
    </w:p>
    <w:p>
      <w:pPr>
        <w:spacing w:after="0" w:line="169" w:lineRule="exact"/>
        <w:rPr>
          <w:sz w:val="20"/>
          <w:szCs w:val="20"/>
          <w:color w:val="auto"/>
        </w:rPr>
      </w:pPr>
    </w:p>
    <w:p>
      <w:pPr>
        <w:ind w:firstLine="1101"/>
        <w:spacing w:after="0" w:line="25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Non-Alienation.</w:t>
      </w:r>
      <w:r>
        <w:rPr>
          <w:rFonts w:ascii="Times New Roman" w:cs="Times New Roman" w:eastAsia="Times New Roman" w:hAnsi="Times New Roman"/>
          <w:sz w:val="18"/>
          <w:szCs w:val="18"/>
          <w:color w:val="auto"/>
        </w:rPr>
        <w:t xml:space="preserve"> No payments, benefits or rights hereunder shall be subject to anticipation, alienation, sale, transfer, assignment, pledge, encumbrance, attachment, garnishment, charge, execution or levy of any kind, either voluntary or involuntary, by creditors of any Participant or any Participant’s beneficiary. Any attempt to anticipate, alienate, sell, transfer, assign, pledge, encumber, attach, garnish, charge, execute or levy any payments, benefits or rights hereunder will be void and without effect.</w:t>
      </w:r>
    </w:p>
    <w:p>
      <w:pPr>
        <w:spacing w:after="0" w:line="155" w:lineRule="exact"/>
        <w:rPr>
          <w:sz w:val="20"/>
          <w:szCs w:val="20"/>
          <w:color w:val="auto"/>
        </w:rPr>
      </w:pPr>
    </w:p>
    <w:p>
      <w:pPr>
        <w:ind w:right="20" w:firstLine="1101"/>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xml:space="preserve"> If a Participant is entitled to receive Separation Benefits or Change of Control Separation Benefits but dies prior to receiving entire payment of such benefits, the Participant’s remaining Separation Benefits or Change of Control Separation Benefits shall be paid to the Participant’s estate or designated beneficiaries in accordance with the Company’s applicable policies.</w:t>
      </w:r>
    </w:p>
    <w:p>
      <w:pPr>
        <w:spacing w:after="0" w:line="158" w:lineRule="exact"/>
        <w:rPr>
          <w:sz w:val="20"/>
          <w:szCs w:val="20"/>
          <w:color w:val="auto"/>
        </w:rPr>
      </w:pPr>
    </w:p>
    <w:p>
      <w:pPr>
        <w:ind w:right="60" w:firstLine="1101"/>
        <w:spacing w:after="0" w:line="251"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Any provision in the Plan that is prohibited or unenforceable in any jurisdiction by reason of applicable law shall, as to such jurisdiction, be 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w:t>
      </w:r>
    </w:p>
    <w:p>
      <w:pPr>
        <w:spacing w:after="0" w:line="167" w:lineRule="exact"/>
        <w:rPr>
          <w:sz w:val="20"/>
          <w:szCs w:val="20"/>
          <w:color w:val="auto"/>
        </w:rPr>
      </w:pPr>
    </w:p>
    <w:p>
      <w:pPr>
        <w:ind w:right="20" w:firstLine="1101"/>
        <w:spacing w:after="0" w:line="277"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Except as otherwise required by applicable law, the terms, conditions and provisions of the Plan will be construed, governed and enforced under the laws of the State of Connecticut, without regard to its conflicts of law provisions.</w:t>
      </w:r>
    </w:p>
    <w:p>
      <w:pPr>
        <w:sectPr>
          <w:pgSz w:w="11900" w:h="16838" w:orient="portrait"/>
          <w:cols w:equalWidth="0" w:num="1">
            <w:col w:w="11260"/>
          </w:cols>
          <w:pgMar w:left="320" w:top="335" w:right="3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929292"/>
        </w:rPr>
        <w:t>16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ARTICLE IX</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206" w:lineRule="exact"/>
        <w:rPr>
          <w:sz w:val="20"/>
          <w:szCs w:val="20"/>
          <w:color w:val="auto"/>
        </w:rPr>
      </w:pPr>
    </w:p>
    <w:p>
      <w:pPr>
        <w:ind w:right="40" w:firstLine="1101"/>
        <w:spacing w:after="0" w:line="24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xml:space="preserve"> The Plan Administrator shall establish such rules and procedures as may be necessary to enable it to discharge its duties hereunder. The Plan Administrator shall have all powers necessary or proper to administer the Plan and to discharge its duties hereunder. The Plan Administrator may allocate to others certain aspects of the management, operation and responsibilities of the Plan, including the employment of advisors and the delegation of any ministerial duties or functions, to qualified individuals or entities. In writing, or by custom, practice or in operation, the Plan Administrator may provide for the allocation or delegation of any of its duties hereunder to such person or persons as it may designate from time to time. The Plan Administrator will also be authorized to engage or employ agents, attorneys, accountants, consultants, and other advisors which it deems to be necessary or appropriate to assist in discharging its duties hereunder. The Plan Administrator, shall exercise good faith, reasonable discretion to (a) interpret the Plan, (b) determine eligibility for payments and the amount of such payments, (c) make any factual or legal determinations,(d) resolve factual or legal disputes and (e) decide all matters arising in connection with the interpretation, administration and operation of the Plan or the determination of eligibility for payments or the amount of such payments.</w:t>
      </w:r>
    </w:p>
    <w:p>
      <w:pPr>
        <w:sectPr>
          <w:pgSz w:w="11900" w:h="16838" w:orient="portrait"/>
          <w:cols w:equalWidth="0" w:num="1">
            <w:col w:w="11260"/>
          </w:cols>
          <w:pgMar w:left="320" w:top="335" w:right="3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7"/>
          <w:szCs w:val="17"/>
          <w:b w:val="1"/>
          <w:bCs w:val="1"/>
          <w:color w:val="929292"/>
        </w:rPr>
        <w:t>EXHIBIT 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SEPARATION AGREEMENT AND GENERAL RELEASE OF CLAIMS</w:t>
      </w:r>
    </w:p>
    <w:p>
      <w:pPr>
        <w:spacing w:after="0" w:line="21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FactSet Research Systems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 [●], have entered into this Separation Agreement and General Release of Claims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settle all known and unknown claims I might have against the Company and all related parties. Except to the extent governed by federal law or any applicable non-U.S. law, this Agreement shall be governed by the statutes and common law of Connecticut, excluding any that mandate the use of another jurisdiction’s laws. Capitalized terms used and not defined herein shall have the meaning ascribed to them in the Company’s Executive Severance Plan, as may be amended from time to time in accordance with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 agree as follows:</w:t>
      </w:r>
    </w:p>
    <w:p>
      <w:pPr>
        <w:spacing w:after="0" w:line="20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Section 1 -- </w:t>
      </w:r>
      <w:r>
        <w:rPr>
          <w:rFonts w:ascii="Times New Roman" w:cs="Times New Roman" w:eastAsia="Times New Roman" w:hAnsi="Times New Roman"/>
          <w:sz w:val="18"/>
          <w:szCs w:val="18"/>
          <w:b w:val="1"/>
          <w:bCs w:val="1"/>
          <w:u w:val="single" w:color="auto"/>
          <w:color w:val="auto"/>
        </w:rPr>
        <w:t>In General</w:t>
      </w:r>
    </w:p>
    <w:p>
      <w:pPr>
        <w:spacing w:after="0" w:line="210" w:lineRule="exact"/>
        <w:rPr>
          <w:sz w:val="20"/>
          <w:szCs w:val="20"/>
          <w:color w:val="auto"/>
        </w:rPr>
      </w:pPr>
    </w:p>
    <w:p>
      <w:pPr>
        <w:jc w:val="both"/>
        <w:ind w:firstLine="1170"/>
        <w:spacing w:after="0" w:line="248" w:lineRule="auto"/>
        <w:rPr>
          <w:sz w:val="20"/>
          <w:szCs w:val="20"/>
          <w:color w:val="auto"/>
        </w:rPr>
      </w:pPr>
      <w:r>
        <w:rPr>
          <w:rFonts w:ascii="Times New Roman" w:cs="Times New Roman" w:eastAsia="Times New Roman" w:hAnsi="Times New Roman"/>
          <w:sz w:val="18"/>
          <w:szCs w:val="18"/>
          <w:color w:val="auto"/>
        </w:rPr>
        <w:t>The Company and I hereby agree that my employment with the Company will end on [●]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Effective as of the Date of Termination (or such earlier date as determined by the Company in its sole discretion), I shall irrevocably resign from all offices, titles, position, and appointments at the Company and any of its Affiliates, including as a member of the Board (or a committee thereof), provided that during the period from the date of this Agreement to the Date of Termination (such period,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I will remain employed by the Company pursuant to this Agreement.</w:t>
      </w:r>
    </w:p>
    <w:p>
      <w:pPr>
        <w:spacing w:after="0" w:line="1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Section 2 -- </w:t>
      </w:r>
      <w:r>
        <w:rPr>
          <w:rFonts w:ascii="Times New Roman" w:cs="Times New Roman" w:eastAsia="Times New Roman" w:hAnsi="Times New Roman"/>
          <w:sz w:val="18"/>
          <w:szCs w:val="18"/>
          <w:b w:val="1"/>
          <w:bCs w:val="1"/>
          <w:u w:val="single" w:color="auto"/>
          <w:color w:val="auto"/>
        </w:rPr>
        <w:t>Transition Period</w:t>
      </w:r>
    </w:p>
    <w:p>
      <w:pPr>
        <w:spacing w:after="0" w:line="210" w:lineRule="exact"/>
        <w:rPr>
          <w:sz w:val="20"/>
          <w:szCs w:val="20"/>
          <w:color w:val="auto"/>
        </w:rPr>
      </w:pPr>
    </w:p>
    <w:p>
      <w:pPr>
        <w:jc w:val="both"/>
        <w:ind w:firstLine="1170"/>
        <w:spacing w:after="0" w:line="247" w:lineRule="auto"/>
        <w:rPr>
          <w:sz w:val="20"/>
          <w:szCs w:val="20"/>
          <w:color w:val="auto"/>
        </w:rPr>
      </w:pPr>
      <w:r>
        <w:rPr>
          <w:rFonts w:ascii="Times New Roman" w:cs="Times New Roman" w:eastAsia="Times New Roman" w:hAnsi="Times New Roman"/>
          <w:sz w:val="18"/>
          <w:szCs w:val="18"/>
          <w:color w:val="auto"/>
        </w:rPr>
        <w:t>During the Transition Period, subject to my continued employment, the Company promises that I will remain on active payroll and continue to receive the compensation and benefits as provided to me immediately prior to the date of this Agreement, including my current base salary ($[●] per annum), less all applicable federal, state, local and non-U.S. deductions and withholding, except I will not be entitled to receive any additional equity-based awards during the Transition Period.</w:t>
      </w:r>
    </w:p>
    <w:p>
      <w:pPr>
        <w:spacing w:after="0" w:line="1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Section 3 -- </w:t>
      </w:r>
      <w:r>
        <w:rPr>
          <w:rFonts w:ascii="Times New Roman" w:cs="Times New Roman" w:eastAsia="Times New Roman" w:hAnsi="Times New Roman"/>
          <w:sz w:val="18"/>
          <w:szCs w:val="18"/>
          <w:b w:val="1"/>
          <w:bCs w:val="1"/>
          <w:u w:val="single" w:color="auto"/>
          <w:color w:val="auto"/>
        </w:rPr>
        <w:t>Severance Payments and Benefits</w:t>
      </w:r>
    </w:p>
    <w:p>
      <w:pPr>
        <w:spacing w:after="0" w:line="210" w:lineRule="exact"/>
        <w:rPr>
          <w:sz w:val="20"/>
          <w:szCs w:val="20"/>
          <w:color w:val="auto"/>
        </w:rPr>
      </w:pPr>
    </w:p>
    <w:p>
      <w:pPr>
        <w:jc w:val="both"/>
        <w:ind w:firstLine="1170"/>
        <w:spacing w:after="0" w:line="246" w:lineRule="auto"/>
        <w:rPr>
          <w:sz w:val="20"/>
          <w:szCs w:val="20"/>
          <w:color w:val="auto"/>
        </w:rPr>
      </w:pPr>
      <w:r>
        <w:rPr>
          <w:rFonts w:ascii="Times New Roman" w:cs="Times New Roman" w:eastAsia="Times New Roman" w:hAnsi="Times New Roman"/>
          <w:sz w:val="18"/>
          <w:szCs w:val="18"/>
          <w:color w:val="auto"/>
        </w:rPr>
        <w:t>The Company promises that I will receive the compensation and benefits set forth in Appendix A attached hereto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which includes amounts payable under the Company’s Executive Severance Plan and pursuant to the Company’s equity- based awards, that are conditioned on my execution of this Agreement and compliance with its terms. I understand and agree that I am not otherwise entitled to receive the compensation and benefits set forth in Appendix A. I understand that this Agreement shall be immediately effective upon my execution and delivery of the Agreement to the Company, provided that if I fail to comply with this Agreement (including the Second Release requirement pursuant to Section 5), I will not receive the amounts or benefits that are set forth in Appendix A, and this Agreement will never go into effect.</w:t>
      </w:r>
    </w:p>
    <w:p>
      <w:pPr>
        <w:sectPr>
          <w:pgSz w:w="11900" w:h="16838" w:orient="portrait"/>
          <w:cols w:equalWidth="0" w:num="1">
            <w:col w:w="10860"/>
          </w:cols>
          <w:pgMar w:left="720" w:top="323"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7"/>
          <w:szCs w:val="17"/>
          <w:b w:val="1"/>
          <w:bCs w:val="1"/>
          <w:color w:val="929292"/>
        </w:rPr>
        <w:t>A-2</w:t>
      </w:r>
    </w:p>
    <w:p>
      <w:pPr>
        <w:spacing w:after="0" w:line="200" w:lineRule="exact"/>
        <w:rPr>
          <w:sz w:val="20"/>
          <w:szCs w:val="20"/>
          <w:color w:val="auto"/>
        </w:rPr>
      </w:pPr>
    </w:p>
    <w:p>
      <w:pPr>
        <w:spacing w:after="0" w:line="2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Section 4 -- </w:t>
      </w:r>
      <w:r>
        <w:rPr>
          <w:rFonts w:ascii="Times New Roman" w:cs="Times New Roman" w:eastAsia="Times New Roman" w:hAnsi="Times New Roman"/>
          <w:sz w:val="18"/>
          <w:szCs w:val="18"/>
          <w:b w:val="1"/>
          <w:bCs w:val="1"/>
          <w:u w:val="single" w:color="auto"/>
          <w:color w:val="auto"/>
        </w:rPr>
        <w:t>First Complete General Release of Claims</w:t>
      </w:r>
    </w:p>
    <w:p>
      <w:pPr>
        <w:spacing w:after="0" w:line="210" w:lineRule="exact"/>
        <w:rPr>
          <w:sz w:val="20"/>
          <w:szCs w:val="20"/>
          <w:color w:val="auto"/>
        </w:rPr>
      </w:pPr>
    </w:p>
    <w:p>
      <w:pPr>
        <w:jc w:val="both"/>
        <w:ind w:firstLine="1032"/>
        <w:spacing w:after="0" w:line="258" w:lineRule="auto"/>
        <w:rPr>
          <w:sz w:val="20"/>
          <w:szCs w:val="20"/>
          <w:color w:val="auto"/>
        </w:rPr>
      </w:pPr>
      <w:r>
        <w:rPr>
          <w:rFonts w:ascii="Times New Roman" w:cs="Times New Roman" w:eastAsia="Times New Roman" w:hAnsi="Times New Roman"/>
          <w:sz w:val="18"/>
          <w:szCs w:val="18"/>
          <w:color w:val="auto"/>
        </w:rPr>
        <w:t>I acknowledge and represent that the consideration provided by the Company in this Agreement is adequate and satisfactory in exchange for the general release provided by me in this Section 4 and for the other commitments I make in this Agreement, and that, in exchange for the compensation and benefits set forth on Appendix A, the following releases are made as of the date of this Agreement:</w:t>
      </w:r>
    </w:p>
    <w:p>
      <w:pPr>
        <w:spacing w:after="0" w:line="154" w:lineRule="exact"/>
        <w:rPr>
          <w:sz w:val="20"/>
          <w:szCs w:val="20"/>
          <w:color w:val="auto"/>
        </w:rPr>
      </w:pPr>
    </w:p>
    <w:p>
      <w:pPr>
        <w:jc w:val="both"/>
        <w:ind w:firstLine="897"/>
        <w:spacing w:after="0" w:line="243" w:lineRule="auto"/>
        <w:tabs>
          <w:tab w:leader="none" w:pos="11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Released: </w:t>
      </w:r>
      <w:r>
        <w:rPr>
          <w:rFonts w:ascii="Times New Roman" w:cs="Times New Roman" w:eastAsia="Times New Roman" w:hAnsi="Times New Roman"/>
          <w:sz w:val="18"/>
          <w:szCs w:val="18"/>
          <w:color w:val="auto"/>
        </w:rPr>
        <w:t>Except for the claims identified in Section 4(b), I irrevocably and unconditionally release (i.e., give up), acquit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forever discharge all known and unknown claims, promises, causes of action, charges, complaints, demands, liabilities, obligations, agreements, controversies, damages, suits, entitlements, costs, losses, debts and expenses (including attorneys’ fees and legal expenses) or similar rights of any type that I currently may have (“Claims”) with respect to any Released Party listed in Section 4(c). I understand that I am not releasing future rights or claims, meaning rights or claims that arise after the date of this Agreement. I understand that the Claims I am releasing might arise under many different federal, state, local or non-U.S. laws (including statutes, regulations, other administrative guidance, and common law doctrines). Without limiting the generality of the foregoing, I acknowledge that I knowingly and voluntarily waive and release any and all Claims under the Age Discrimination in Employment Act (the “ADEA”) and Executive Order 11,141, which prohibit age discrimination in employment, as well as all Claims under the following:</w:t>
      </w:r>
    </w:p>
    <w:p>
      <w:pPr>
        <w:spacing w:after="0" w:line="171" w:lineRule="exact"/>
        <w:rPr>
          <w:sz w:val="20"/>
          <w:szCs w:val="20"/>
          <w:color w:val="auto"/>
        </w:rPr>
      </w:pPr>
    </w:p>
    <w:p>
      <w:pPr>
        <w:jc w:val="both"/>
        <w:ind w:left="900" w:hanging="3"/>
        <w:spacing w:after="0" w:line="242" w:lineRule="auto"/>
        <w:tabs>
          <w:tab w:leader="none" w:pos="11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Anti-discrimination statutes, such as Title VII of the Civil Rights Act of 1964, Sections 1981 and 1983 of the Civil Rights Act of 1866, and Executive Order 11,246, which prohibit discrimination based on race, color, national origin, religion, or sex; the Equal Pay Act, which prohibits paying men and women unequal pay for equal work; the Americans With Disabilities Act (“</w:t>
      </w:r>
      <w:r>
        <w:rPr>
          <w:rFonts w:ascii="Times New Roman" w:cs="Times New Roman" w:eastAsia="Times New Roman" w:hAnsi="Times New Roman"/>
          <w:sz w:val="18"/>
          <w:szCs w:val="18"/>
          <w:u w:val="single" w:color="auto"/>
          <w:color w:val="auto"/>
        </w:rPr>
        <w:t>ADA</w:t>
      </w:r>
      <w:r>
        <w:rPr>
          <w:rFonts w:ascii="Times New Roman" w:cs="Times New Roman" w:eastAsia="Times New Roman" w:hAnsi="Times New Roman"/>
          <w:sz w:val="18"/>
          <w:szCs w:val="18"/>
          <w:color w:val="auto"/>
        </w:rPr>
        <w:t>”) and Sections 503 and 504 of the Rehabilitation Act of 1973, which prohibit discrimination based on disability; the Genetic Information Nondiscrimination Act of 2008 (“</w:t>
      </w:r>
      <w:r>
        <w:rPr>
          <w:rFonts w:ascii="Times New Roman" w:cs="Times New Roman" w:eastAsia="Times New Roman" w:hAnsi="Times New Roman"/>
          <w:sz w:val="18"/>
          <w:szCs w:val="18"/>
          <w:u w:val="single" w:color="auto"/>
          <w:color w:val="auto"/>
        </w:rPr>
        <w:t>GINA</w:t>
      </w:r>
      <w:r>
        <w:rPr>
          <w:rFonts w:ascii="Times New Roman" w:cs="Times New Roman" w:eastAsia="Times New Roman" w:hAnsi="Times New Roman"/>
          <w:sz w:val="18"/>
          <w:szCs w:val="18"/>
          <w:color w:val="auto"/>
        </w:rPr>
        <w:t>”), which prohibits discrimination based on genetic information; and any other federal, state, local or non-U.S.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177" w:lineRule="exact"/>
        <w:rPr>
          <w:rFonts w:ascii="Times New Roman" w:cs="Times New Roman" w:eastAsia="Times New Roman" w:hAnsi="Times New Roman"/>
          <w:sz w:val="18"/>
          <w:szCs w:val="18"/>
          <w:color w:val="auto"/>
        </w:rPr>
      </w:pPr>
    </w:p>
    <w:p>
      <w:pPr>
        <w:jc w:val="both"/>
        <w:ind w:left="900" w:hanging="3"/>
        <w:spacing w:after="0" w:line="251" w:lineRule="auto"/>
        <w:tabs>
          <w:tab w:leader="none" w:pos="11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employment statutes, such as the Worker Adjustment and Retraining Notification Act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which requires that advance notice be given of certain work force reductions;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which, among other things, protects employee benefits; and any other federal laws relating to employment, such as veterans’ reemployment rights laws; and</w:t>
      </w:r>
    </w:p>
    <w:p>
      <w:pPr>
        <w:sectPr>
          <w:pgSz w:w="11900" w:h="16838" w:orient="portrait"/>
          <w:cols w:equalWidth="0" w:num="1">
            <w:col w:w="10720"/>
          </w:cols>
          <w:pgMar w:left="860" w:top="530" w:right="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b w:val="1"/>
          <w:bCs w:val="1"/>
          <w:color w:val="929292"/>
        </w:rPr>
        <w:t>A-3</w:t>
      </w:r>
    </w:p>
    <w:p>
      <w:pPr>
        <w:spacing w:after="0" w:line="200" w:lineRule="exact"/>
        <w:rPr>
          <w:sz w:val="20"/>
          <w:szCs w:val="20"/>
          <w:color w:val="auto"/>
        </w:rPr>
      </w:pPr>
    </w:p>
    <w:p>
      <w:pPr>
        <w:spacing w:after="0" w:line="293" w:lineRule="exact"/>
        <w:rPr>
          <w:sz w:val="20"/>
          <w:szCs w:val="20"/>
          <w:color w:val="auto"/>
        </w:rPr>
      </w:pPr>
    </w:p>
    <w:p>
      <w:pPr>
        <w:jc w:val="both"/>
        <w:ind w:left="900" w:hanging="3"/>
        <w:spacing w:after="0" w:line="246" w:lineRule="auto"/>
        <w:tabs>
          <w:tab w:leader="none" w:pos="14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such as any federal, state, local or non-U.S. laws mandating leaves of absence, restricting an employer’s right to terminate employees, or otherwise regulating employment; any federal, state, local or non-U.S. law enforcing express or implied employment contracts or requiring an employer to deal with employees fairly or in good faith; any other federal, state, local or non-U.S.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161" w:lineRule="exact"/>
        <w:rPr>
          <w:sz w:val="20"/>
          <w:szCs w:val="20"/>
          <w:color w:val="auto"/>
        </w:rPr>
      </w:pPr>
    </w:p>
    <w:p>
      <w:pPr>
        <w:jc w:val="both"/>
        <w:ind w:left="420" w:firstLine="482"/>
        <w:spacing w:after="0" w:line="244" w:lineRule="auto"/>
        <w:rPr>
          <w:sz w:val="20"/>
          <w:szCs w:val="20"/>
          <w:color w:val="auto"/>
        </w:rPr>
      </w:pPr>
      <w:r>
        <w:rPr>
          <w:rFonts w:ascii="Times New Roman" w:cs="Times New Roman" w:eastAsia="Times New Roman" w:hAnsi="Times New Roman"/>
          <w:sz w:val="18"/>
          <w:szCs w:val="18"/>
          <w:color w:val="auto"/>
        </w:rPr>
        <w:t>Examples of released Claims include, but are not limited to the following (except to the extent explicitly preserved by Section 3 or 4(b) of this Agreement): (i) Claims that in any way relate to or arose during my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I have irrevocable or vested rights to severance or similar benefits or to post-employment health or group insurance benefits; (iv) any Claims to attorneys’ fees or other indemnities (such as under the Civil Rights Attorneys’ Fees Act), with respect to Claims I am releasing; or (v) Claims under the Connecticut Human Rights and Opportunities Law, the Connecticut Family and Medical Leave Law, the Connecticut Age Discrimination and Employee Insurance Benefits Law, and the Connecticut Smokers’ Rights Law.</w:t>
      </w:r>
    </w:p>
    <w:p>
      <w:pPr>
        <w:spacing w:after="0" w:line="171" w:lineRule="exact"/>
        <w:rPr>
          <w:sz w:val="20"/>
          <w:szCs w:val="20"/>
          <w:color w:val="auto"/>
        </w:rPr>
      </w:pPr>
    </w:p>
    <w:p>
      <w:pPr>
        <w:jc w:val="both"/>
        <w:ind w:firstLine="897"/>
        <w:spacing w:after="0" w:line="245" w:lineRule="auto"/>
        <w:tabs>
          <w:tab w:leader="none" w:pos="11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Claims Not Released</w:t>
      </w:r>
      <w:r>
        <w:rPr>
          <w:rFonts w:ascii="Times New Roman" w:cs="Times New Roman" w:eastAsia="Times New Roman" w:hAnsi="Times New Roman"/>
          <w:sz w:val="18"/>
          <w:szCs w:val="18"/>
          <w:color w:val="auto"/>
        </w:rPr>
        <w:t>: This Agreement does not release any claims that the law does not permit me to release. Nothing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affects my rights to indemnification in respect of my service as a director or officer of the Company or any of its Affiliates, reimbursement for business expenses incurred through the date of this Agreement in accordance with Company policy, payment of accrued salary, payment for accrued but unused vacation in accordance with Company policy, vested benefits under the Company’s 401(k) plan and any other rights pursuant to the employee benefit plans of the Company and its Subsidiaries that are accrued and vested as of the date of this Agreement, subject to the terms of the applicable plan. Furthermore, this Agreement does not release my rights to the payments set forth in Appendix A.</w:t>
      </w:r>
    </w:p>
    <w:p>
      <w:pPr>
        <w:spacing w:after="0" w:line="166" w:lineRule="exact"/>
        <w:rPr>
          <w:rFonts w:ascii="Times New Roman" w:cs="Times New Roman" w:eastAsia="Times New Roman" w:hAnsi="Times New Roman"/>
          <w:sz w:val="18"/>
          <w:szCs w:val="18"/>
          <w:color w:val="auto"/>
        </w:rPr>
      </w:pPr>
    </w:p>
    <w:p>
      <w:pPr>
        <w:jc w:val="both"/>
        <w:ind w:firstLine="897"/>
        <w:spacing w:after="0" w:line="250" w:lineRule="auto"/>
        <w:tabs>
          <w:tab w:leader="none" w:pos="11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The Released Parties are the Company, all current and former parents, Subsidiaries, Affiliates, partnerships,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w:t>
      </w:r>
    </w:p>
    <w:p>
      <w:pPr>
        <w:sectPr>
          <w:pgSz w:w="11900" w:h="16838" w:orient="portrait"/>
          <w:cols w:equalWidth="0" w:num="1">
            <w:col w:w="10720"/>
          </w:cols>
          <w:pgMar w:left="860" w:top="530" w:right="3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7"/>
          <w:szCs w:val="17"/>
          <w:b w:val="1"/>
          <w:bCs w:val="1"/>
          <w:color w:val="929292"/>
        </w:rPr>
        <w:t>A-4</w:t>
      </w:r>
    </w:p>
    <w:p>
      <w:pPr>
        <w:spacing w:after="0" w:line="200" w:lineRule="exact"/>
        <w:rPr>
          <w:sz w:val="20"/>
          <w:szCs w:val="20"/>
          <w:color w:val="auto"/>
        </w:rPr>
      </w:pPr>
    </w:p>
    <w:p>
      <w:pPr>
        <w:spacing w:after="0" w:line="289" w:lineRule="exact"/>
        <w:rPr>
          <w:sz w:val="20"/>
          <w:szCs w:val="20"/>
          <w:color w:val="auto"/>
        </w:rPr>
      </w:pPr>
    </w:p>
    <w:p>
      <w:pPr>
        <w:jc w:val="both"/>
        <w:ind w:firstLine="897"/>
        <w:spacing w:after="0" w:line="242" w:lineRule="auto"/>
        <w:tabs>
          <w:tab w:leader="none" w:pos="11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 not to Sue</w:t>
      </w:r>
      <w:r>
        <w:rPr>
          <w:rFonts w:ascii="Times New Roman" w:cs="Times New Roman" w:eastAsia="Times New Roman" w:hAnsi="Times New Roman"/>
          <w:sz w:val="18"/>
          <w:szCs w:val="18"/>
          <w:color w:val="auto"/>
        </w:rPr>
        <w:t>: I affirm that (i) I have not filed, and have not caused to be filed, and am not presently party to, any lawsuit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arbitration against any Released Party in any forum and (ii) agree not to sue any of the Released Parties or become a party to a lawsuit on the basis of any Claims of any type to date that arise out of any aspect of my employment or severance from employment other than, in each case, in order to enforce rights under Appendix A or Section 4(b). I understand that this is an affirmative promise not to sue any of the Released Parties, which is in addition to my general release of claims in Section 4(a). If, despite this Agreement, I sue or bring an arbitration action asserting any Claim that I have released, (i) I will be liable to the Released Party (as defined below) for its attorneys’ fees, other defense costs, and any other damages that my suit or arbitration causes, except those attributable to ADEA claims and (ii) the Company shall have no obligation to pay any amounts set forth in Appendix A and the Company shall be entitled to recover any amounts set forth in Appendix A paid to me prior to the date of such actual or threatened violation. I promise not to accept any relief or remedies not set forth in this Agreement as to any Claim I have released by signing it.</w:t>
      </w:r>
    </w:p>
    <w:p>
      <w:pPr>
        <w:spacing w:after="0" w:line="381" w:lineRule="exact"/>
        <w:rPr>
          <w:rFonts w:ascii="Times New Roman" w:cs="Times New Roman" w:eastAsia="Times New Roman" w:hAnsi="Times New Roman"/>
          <w:sz w:val="18"/>
          <w:szCs w:val="18"/>
          <w:color w:val="auto"/>
        </w:rPr>
      </w:pPr>
    </w:p>
    <w:p>
      <w:pPr>
        <w:ind w:left="1140" w:hanging="24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California Law</w:t>
      </w:r>
      <w:r>
        <w:rPr>
          <w:rFonts w:ascii="Times New Roman" w:cs="Times New Roman" w:eastAsia="Times New Roman" w:hAnsi="Times New Roman"/>
          <w:sz w:val="18"/>
          <w:szCs w:val="18"/>
          <w:color w:val="auto"/>
        </w:rPr>
        <w:t>: I acknowledge that I have read and understand Section 1542 of the California Civil Code that reads as follows:</w:t>
      </w:r>
    </w:p>
    <w:p>
      <w:pPr>
        <w:spacing w:after="0" w:line="210" w:lineRule="exact"/>
        <w:rPr>
          <w:sz w:val="20"/>
          <w:szCs w:val="20"/>
          <w:color w:val="auto"/>
        </w:rPr>
      </w:pPr>
    </w:p>
    <w:p>
      <w:pPr>
        <w:jc w:val="both"/>
        <w:ind w:left="900"/>
        <w:spacing w:after="0" w:line="258"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 hereby expressly waive and relinquish all rights and benefits under that section and any law of any jurisdiction of similar effect with respect to the release of any claims herein.</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Section 5 -- </w:t>
      </w:r>
      <w:r>
        <w:rPr>
          <w:rFonts w:ascii="Times New Roman" w:cs="Times New Roman" w:eastAsia="Times New Roman" w:hAnsi="Times New Roman"/>
          <w:sz w:val="18"/>
          <w:szCs w:val="18"/>
          <w:b w:val="1"/>
          <w:bCs w:val="1"/>
          <w:u w:val="single" w:color="auto"/>
          <w:color w:val="auto"/>
        </w:rPr>
        <w:t>Second Release of Claims</w:t>
      </w:r>
    </w:p>
    <w:p>
      <w:pPr>
        <w:spacing w:after="0" w:line="198" w:lineRule="exact"/>
        <w:rPr>
          <w:sz w:val="20"/>
          <w:szCs w:val="20"/>
          <w:color w:val="auto"/>
        </w:rPr>
      </w:pPr>
    </w:p>
    <w:p>
      <w:pPr>
        <w:jc w:val="both"/>
        <w:ind w:firstLine="895"/>
        <w:spacing w:after="0" w:line="248" w:lineRule="auto"/>
        <w:rPr>
          <w:sz w:val="20"/>
          <w:szCs w:val="20"/>
          <w:color w:val="auto"/>
        </w:rPr>
      </w:pPr>
      <w:r>
        <w:rPr>
          <w:rFonts w:ascii="Times New Roman" w:cs="Times New Roman" w:eastAsia="Times New Roman" w:hAnsi="Times New Roman"/>
          <w:sz w:val="18"/>
          <w:szCs w:val="18"/>
          <w:color w:val="auto"/>
        </w:rPr>
        <w:t>I agree that my eligibility to receive the compensation and benefits set forth on Appendix A is subject to my execution, not later than 21 days following the Date of Termination, of a second release of claims (the “Second Release”) in the form attached hereto as Appendix B, and the non-revocation of the Second Release during the period specified therein. If I fail to execute and deliver the Second Release within 21 days following the Date of Termination, or if I revoke the Second Release as provided therein, I will forfeit my right to receive the compensation and benefits set forth on Appendix A.</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Section 6 -- </w:t>
      </w:r>
      <w:r>
        <w:rPr>
          <w:rFonts w:ascii="Times New Roman" w:cs="Times New Roman" w:eastAsia="Times New Roman" w:hAnsi="Times New Roman"/>
          <w:sz w:val="18"/>
          <w:szCs w:val="18"/>
          <w:b w:val="1"/>
          <w:bCs w:val="1"/>
          <w:u w:val="single" w:color="auto"/>
          <w:color w:val="auto"/>
        </w:rPr>
        <w:t>Promises</w:t>
      </w:r>
    </w:p>
    <w:p>
      <w:pPr>
        <w:spacing w:after="0" w:line="206" w:lineRule="exact"/>
        <w:rPr>
          <w:sz w:val="20"/>
          <w:szCs w:val="20"/>
          <w:color w:val="auto"/>
        </w:rPr>
      </w:pPr>
    </w:p>
    <w:p>
      <w:pPr>
        <w:jc w:val="both"/>
        <w:ind w:firstLine="897"/>
        <w:spacing w:after="0" w:line="253" w:lineRule="auto"/>
        <w:tabs>
          <w:tab w:leader="none" w:pos="117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Termination</w:t>
      </w:r>
      <w:r>
        <w:rPr>
          <w:rFonts w:ascii="Times New Roman" w:cs="Times New Roman" w:eastAsia="Times New Roman" w:hAnsi="Times New Roman"/>
          <w:sz w:val="18"/>
          <w:szCs w:val="18"/>
          <w:color w:val="auto"/>
        </w:rPr>
        <w:t>: I agree that my employment with the Company and its Affiliates will end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and that I will receive the payments and benefits under this Agreement (subject to my compliance with the terms of this Agreement) in lieu of any such other rights or benefits to which I possibly could be or become entitled. I have not been told that the Company or any Released Party will rehire me.</w:t>
      </w:r>
    </w:p>
    <w:p>
      <w:pPr>
        <w:sectPr>
          <w:pgSz w:w="11900" w:h="16838" w:orient="portrait"/>
          <w:cols w:equalWidth="0" w:num="1">
            <w:col w:w="10720"/>
          </w:cols>
          <w:pgMar w:left="860" w:top="530" w:right="3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929292"/>
        </w:rPr>
        <w:t>A-5</w:t>
      </w:r>
    </w:p>
    <w:p>
      <w:pPr>
        <w:spacing w:after="0" w:line="200" w:lineRule="exact"/>
        <w:rPr>
          <w:sz w:val="20"/>
          <w:szCs w:val="20"/>
          <w:color w:val="auto"/>
        </w:rPr>
      </w:pPr>
    </w:p>
    <w:p>
      <w:pPr>
        <w:spacing w:after="0" w:line="289" w:lineRule="exact"/>
        <w:rPr>
          <w:sz w:val="20"/>
          <w:szCs w:val="20"/>
          <w:color w:val="auto"/>
        </w:rPr>
      </w:pPr>
    </w:p>
    <w:p>
      <w:pPr>
        <w:jc w:val="both"/>
        <w:ind w:firstLine="897"/>
        <w:spacing w:after="0" w:line="243" w:lineRule="auto"/>
        <w:tabs>
          <w:tab w:leader="none" w:pos="11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Property and Debts</w:t>
      </w:r>
      <w:r>
        <w:rPr>
          <w:rFonts w:ascii="Times New Roman" w:cs="Times New Roman" w:eastAsia="Times New Roman" w:hAnsi="Times New Roman"/>
          <w:sz w:val="18"/>
          <w:szCs w:val="18"/>
          <w:color w:val="auto"/>
        </w:rPr>
        <w:t>: On or before the Date of Termination, I will return to the Company all files, memoranda,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records, copies of the foregoing, Company-provided credit cards, keys, building passes, security passes, access or identification cards, devices and equipment belonging to the Company (including computers, laptops, tablets, smart phones, handheld electronic devices, telephone equipment, and other electronic devices), and any other property of the Company or any Released Party in my possession or control, other than specific mutually approved devices, all with the Company’s consent. I have cooperated with the Company and will cooperate with the Company regarding the proper handling of any digital property of the Company that may be retained in mobile phone or related digital storage devices, media or accounts. As of the Date of Termination, I will have cleared all expense accounts, repaid everything I owe to the Company or any Released Party, paid all amounts I owe on Company-provided credit cards or accounts (such as mobile or smart phone accounts), and canceled or personally assumed any such credit cards or accounts.</w:t>
      </w:r>
    </w:p>
    <w:p>
      <w:pPr>
        <w:spacing w:after="0" w:line="167" w:lineRule="exact"/>
        <w:rPr>
          <w:rFonts w:ascii="Times New Roman" w:cs="Times New Roman" w:eastAsia="Times New Roman" w:hAnsi="Times New Roman"/>
          <w:sz w:val="18"/>
          <w:szCs w:val="18"/>
          <w:color w:val="auto"/>
        </w:rPr>
      </w:pPr>
    </w:p>
    <w:p>
      <w:pPr>
        <w:jc w:val="both"/>
        <w:ind w:firstLine="897"/>
        <w:spacing w:after="0" w:line="260" w:lineRule="auto"/>
        <w:tabs>
          <w:tab w:leader="none" w:pos="11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 am responsible for paying any taxes on amounts I receive because I signed this Agreement. I agree that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withhold all taxes it determines it is legally required to withhold. I agree not to make any claim against the Company or any other person based on how the Company reports amounts paid under this Agreement to tax authorities.</w:t>
      </w:r>
    </w:p>
    <w:p>
      <w:pPr>
        <w:spacing w:after="0" w:line="153" w:lineRule="exact"/>
        <w:rPr>
          <w:rFonts w:ascii="Times New Roman" w:cs="Times New Roman" w:eastAsia="Times New Roman" w:hAnsi="Times New Roman"/>
          <w:sz w:val="18"/>
          <w:szCs w:val="18"/>
          <w:color w:val="auto"/>
        </w:rPr>
      </w:pPr>
    </w:p>
    <w:p>
      <w:pPr>
        <w:ind w:left="1160" w:hanging="263"/>
        <w:spacing w:after="0"/>
        <w:tabs>
          <w:tab w:leader="none" w:pos="11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Ownership of Claims</w:t>
      </w:r>
      <w:r>
        <w:rPr>
          <w:rFonts w:ascii="Times New Roman" w:cs="Times New Roman" w:eastAsia="Times New Roman" w:hAnsi="Times New Roman"/>
          <w:sz w:val="18"/>
          <w:szCs w:val="18"/>
          <w:color w:val="auto"/>
        </w:rPr>
        <w:t>: I have not assigned or transferred any Claim I am purporting to release, nor have I attempted to do so.</w:t>
      </w:r>
    </w:p>
    <w:p>
      <w:pPr>
        <w:sectPr>
          <w:pgSz w:w="11900" w:h="16838" w:orient="portrait"/>
          <w:cols w:equalWidth="0" w:num="1">
            <w:col w:w="10720"/>
          </w:cols>
          <w:pgMar w:left="860" w:top="530" w:right="3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929292"/>
        </w:rPr>
        <w:t>A-6</w:t>
      </w:r>
    </w:p>
    <w:p>
      <w:pPr>
        <w:spacing w:after="0" w:line="200" w:lineRule="exact"/>
        <w:rPr>
          <w:sz w:val="20"/>
          <w:szCs w:val="20"/>
          <w:color w:val="auto"/>
        </w:rPr>
      </w:pPr>
    </w:p>
    <w:p>
      <w:pPr>
        <w:spacing w:after="0" w:line="289" w:lineRule="exact"/>
        <w:rPr>
          <w:sz w:val="20"/>
          <w:szCs w:val="20"/>
          <w:color w:val="auto"/>
        </w:rPr>
      </w:pPr>
    </w:p>
    <w:p>
      <w:pPr>
        <w:jc w:val="both"/>
        <w:ind w:firstLine="897"/>
        <w:spacing w:after="0"/>
        <w:tabs>
          <w:tab w:leader="none" w:pos="115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Communication with Government Agency; Immunity</w:t>
      </w:r>
      <w:r>
        <w:rPr>
          <w:rFonts w:ascii="Times New Roman" w:cs="Times New Roman" w:eastAsia="Times New Roman" w:hAnsi="Times New Roman"/>
          <w:sz w:val="18"/>
          <w:szCs w:val="18"/>
          <w:color w:val="auto"/>
        </w:rPr>
        <w:t>: This Agreement does not preclude me from filing an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 or otherwise communicating with any federal, state, local or non-U.S. government office, official or agency, or from reporting possible violations of any law or regulation, making disclosures to, and/or participating in any investigation or proceeding conducted by any federal, state, local or non-U.S. agency, including the National Labor Relations Board, the Equal Employment Opportunity Commission,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Department of Fair Employment and Housing and/or any governmental authority charged with the enforcement of any employment laws. However, I understand that by signing this Agreement I am waiving the right to recover any damages or to receive other relief in any claim or suit brought by any such federal, state, local or non-U.S agency on my behalf, or with respect to any Claim released by Paragraph 2(a) of this Agreement, to the fullest extent permitted by applicable law. Furthermore, nothing in this Agreement prohibits me from: (i) filing and, as provided for under Section 21F of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maintaining the confidentiality of a claim with the SEC; (ii) providing Confidential Information (as defined in Section 6(g) below) to the SEC, or providing the SEC with information that would otherwise violate any provision of this Agreement, to the extent permitted by Section 21F of the Exchange Act;</w:t>
      </w:r>
    </w:p>
    <w:p>
      <w:pPr>
        <w:spacing w:after="0" w:line="6" w:lineRule="exact"/>
        <w:rPr>
          <w:rFonts w:ascii="Times New Roman" w:cs="Times New Roman" w:eastAsia="Times New Roman" w:hAnsi="Times New Roman"/>
          <w:sz w:val="18"/>
          <w:szCs w:val="18"/>
          <w:color w:val="auto"/>
        </w:rPr>
      </w:pPr>
    </w:p>
    <w:p>
      <w:pPr>
        <w:jc w:val="both"/>
        <w:ind w:firstLine="2"/>
        <w:spacing w:after="0" w:line="239"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participating or assisting in an SEC investigation or proceeding without notifying the Company; or (iv) receiving a monetary award as set forth in Section 21F of the Exchange Act. Notwithstanding my confidentiality obligations set forth in this Agreement, I understand that, pursuant to the Defend Trade Secrets Act of 2016, I will not be held criminally or civilly liable under any U.S. Federal or State trade secret law for the disclosure of a trade secret that: (i) is made (A) in confidence to a federal, state, local or non-U.S. government official, either directly or indirectly, or to an attorney; and (B) solely for the purpose of reporting or investigating a suspected violation of law; or (ii) is made in a complaint or other document filed in a lawsuit or other proceeding, if such filing is made under seal. I also understand that if I file a lawsuit for retaliation by the Company for reporting a suspected violation of law, I may disclose the trade secret to my attorney and use the trade secret information in the court proceeding, if I (i) file any document containing the trade secret under seal; and (ii) do not disclose the trade secret, except pursuant to court order. I understand that if a disclosure of trade secrets was not done in good faith pursuant to the above, then I may be subject to liability, including, without limitation, punitive damages and attorneys’ fees.</w:t>
      </w:r>
    </w:p>
    <w:p>
      <w:pPr>
        <w:spacing w:after="0" w:line="174" w:lineRule="exact"/>
        <w:rPr>
          <w:rFonts w:ascii="Times New Roman" w:cs="Times New Roman" w:eastAsia="Times New Roman" w:hAnsi="Times New Roman"/>
          <w:sz w:val="18"/>
          <w:szCs w:val="18"/>
          <w:color w:val="auto"/>
        </w:rPr>
      </w:pPr>
    </w:p>
    <w:p>
      <w:pPr>
        <w:jc w:val="both"/>
        <w:ind w:firstLine="897"/>
        <w:spacing w:after="0" w:line="250" w:lineRule="auto"/>
        <w:tabs>
          <w:tab w:leader="none" w:pos="113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Mutual Agreement Not to Disparage or Harm</w:t>
      </w:r>
      <w:r>
        <w:rPr>
          <w:rFonts w:ascii="Times New Roman" w:cs="Times New Roman" w:eastAsia="Times New Roman" w:hAnsi="Times New Roman"/>
          <w:sz w:val="18"/>
          <w:szCs w:val="18"/>
          <w:color w:val="auto"/>
        </w:rPr>
        <w:t>: Subject to Section 6(e), I agree not to criticize, denigrate, or disparage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Released Party and, in particular, not to criticize, denigrate, or disparage any current or former employee of the Company. I understand and agree that breach of this provision will result in damages that are difficult to quantify. The Company likewise agrees not to criticize, denigrate, or disparage me or my work in any communication to a third party. I agree not to incur any expenses, obligations, or liabilities on behalf of the Company.</w:t>
      </w:r>
    </w:p>
    <w:p>
      <w:pPr>
        <w:sectPr>
          <w:pgSz w:w="11900" w:h="16838" w:orient="portrait"/>
          <w:cols w:equalWidth="0" w:num="1">
            <w:col w:w="10720"/>
          </w:cols>
          <w:pgMar w:left="860" w:top="530" w:right="3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929292"/>
        </w:rPr>
        <w:t>A-7</w:t>
      </w:r>
    </w:p>
    <w:p>
      <w:pPr>
        <w:spacing w:after="0" w:line="200" w:lineRule="exact"/>
        <w:rPr>
          <w:sz w:val="20"/>
          <w:szCs w:val="20"/>
          <w:color w:val="auto"/>
        </w:rPr>
      </w:pPr>
    </w:p>
    <w:p>
      <w:pPr>
        <w:spacing w:after="0" w:line="289" w:lineRule="exact"/>
        <w:rPr>
          <w:sz w:val="20"/>
          <w:szCs w:val="20"/>
          <w:color w:val="auto"/>
        </w:rPr>
      </w:pPr>
    </w:p>
    <w:p>
      <w:pPr>
        <w:jc w:val="both"/>
        <w:ind w:firstLine="897"/>
        <w:spacing w:after="0"/>
        <w:tabs>
          <w:tab w:leader="none" w:pos="11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and Proprietary Information and Existing Obligations</w:t>
      </w:r>
      <w:r>
        <w:rPr>
          <w:rFonts w:ascii="Times New Roman" w:cs="Times New Roman" w:eastAsia="Times New Roman" w:hAnsi="Times New Roman"/>
          <w:sz w:val="18"/>
          <w:szCs w:val="18"/>
          <w:color w:val="auto"/>
        </w:rPr>
        <w:t>: Subject to Section 6(e), I understand that, at all times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future, I will remain bound by any Company or Company Affiliate agreement or policy relating to non-solicitation, non- competition, confidential information, proprietary information, invention, or similar matters to which I am now subject, in accordance with the terms of such agreement or policy, including but not limited to any FactSet Research Systems Inc. Intellectual Property Agreement which I previously signed and any non-competition, non-solicitation and confidentiality restrictions to which I am subject pursuant to the Company’s Stock Option and Award Plan, as amended from time to time, and any award agreements thereunder, and which are expressly incorporated by reference herein, and I agree that to the extent any provision in any such agreement, plan or policy conflicts with any provision in this Agreement, the provision or interpretation affording the greater protection to the Company shall govern. In particular, I acknowledge that my employment by the Company created a relationship of confidence and trust with respect to any information of a confidential or secret nature disclosed to me by the Company or a third party that (i) related to the business of the Company or to the business of any parent, Subsidiary, Affiliate, customer or supplier of the Company or any other party with whom the Company agreed to hold information of such party in confidence, (ii) was not generally known to the public or to other persons in the industry, or if generally known, was used, selected or arranged by the Company in a manner not generally known and was made the property of the Company by mutual agreement of the parties, including by the Invention Assignment and Proprietary Information Agreement, and/or similar agreement, and (iii) that the Company has taken reasonable measures under the circumstances to protect from unauthorized use or disclosure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I agree and represent that I have not disclosed, copied, disseminated, shared or transmitted any Confidential Information to any person, firm, corporation or entity for any reason or purpose whatsoever, except in the course of carrying out my duties and responsibilities of employment with the Company. I also agree, at all times in the future, not to make use of any Confidential Information for my own purposes or for the benefit of any person, firm, corporation or other entity. I further warrant and represent that all Confidential Information in my possession, custody or control that is or was a property of the Company has been or shall be returned to the Company by the Date of Termination.</w:t>
      </w:r>
    </w:p>
    <w:p>
      <w:pPr>
        <w:spacing w:after="0" w:line="173" w:lineRule="exact"/>
        <w:rPr>
          <w:rFonts w:ascii="Times New Roman" w:cs="Times New Roman" w:eastAsia="Times New Roman" w:hAnsi="Times New Roman"/>
          <w:sz w:val="18"/>
          <w:szCs w:val="18"/>
          <w:color w:val="auto"/>
        </w:rPr>
      </w:pPr>
    </w:p>
    <w:p>
      <w:pPr>
        <w:ind w:left="1160" w:hanging="263"/>
        <w:spacing w:after="0"/>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Implementation</w:t>
      </w:r>
      <w:r>
        <w:rPr>
          <w:rFonts w:ascii="Times New Roman" w:cs="Times New Roman" w:eastAsia="Times New Roman" w:hAnsi="Times New Roman"/>
          <w:sz w:val="18"/>
          <w:szCs w:val="18"/>
          <w:color w:val="auto"/>
        </w:rPr>
        <w:t>: I agree to sign any documents and do anything else that in the future is needed to implement this Agreement.</w:t>
      </w:r>
    </w:p>
    <w:p>
      <w:pPr>
        <w:spacing w:after="0" w:line="205" w:lineRule="exact"/>
        <w:rPr>
          <w:rFonts w:ascii="Times New Roman" w:cs="Times New Roman" w:eastAsia="Times New Roman" w:hAnsi="Times New Roman"/>
          <w:sz w:val="18"/>
          <w:szCs w:val="18"/>
          <w:color w:val="auto"/>
        </w:rPr>
      </w:pPr>
    </w:p>
    <w:p>
      <w:pPr>
        <w:ind w:firstLine="897"/>
        <w:spacing w:after="0" w:line="281" w:lineRule="auto"/>
        <w:tabs>
          <w:tab w:leader="none" w:pos="11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Representations</w:t>
      </w:r>
      <w:r>
        <w:rPr>
          <w:rFonts w:ascii="Times New Roman" w:cs="Times New Roman" w:eastAsia="Times New Roman" w:hAnsi="Times New Roman"/>
          <w:sz w:val="18"/>
          <w:szCs w:val="18"/>
          <w:color w:val="auto"/>
        </w:rPr>
        <w:t>: In addition to my other representations in this Agreement, I have made the following representations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on which I acknowledge it also has relied in entering into this Agreement with me:</w:t>
      </w:r>
    </w:p>
    <w:p>
      <w:pPr>
        <w:spacing w:after="0" w:line="139" w:lineRule="exact"/>
        <w:rPr>
          <w:sz w:val="20"/>
          <w:szCs w:val="20"/>
          <w:color w:val="auto"/>
        </w:rPr>
      </w:pPr>
    </w:p>
    <w:p>
      <w:pPr>
        <w:jc w:val="both"/>
        <w:ind w:left="900" w:hanging="3"/>
        <w:spacing w:after="0" w:line="245" w:lineRule="auto"/>
        <w:tabs>
          <w:tab w:leader="none" w:pos="11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not suffered any job-related wrongs or injuries, such as any type of discrimination, for which I might still be entitled to compensation or relief in the future. I have properly reported any and all job-related wrongs or injuries for which I might still be entitled to compensation or relief, such as an injury for which I might receive a workers’ compensation award in the future. I have properly reported all hours that I have worked and I have been paid all wages, overtime, commissions, compensation, benefits, and other amounts that the Company or any Released Party should have paid me in the past.</w:t>
      </w:r>
    </w:p>
    <w:p>
      <w:pPr>
        <w:sectPr>
          <w:pgSz w:w="11900" w:h="16838" w:orient="portrait"/>
          <w:cols w:equalWidth="0" w:num="1">
            <w:col w:w="10720"/>
          </w:cols>
          <w:pgMar w:left="860" w:top="530" w:right="3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929292"/>
        </w:rPr>
        <w:t>A-8</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00" w:hanging="403"/>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not an admission of wrongdoing by the Company or any other Released Party.</w:t>
      </w:r>
    </w:p>
    <w:p>
      <w:pPr>
        <w:spacing w:after="0" w:line="205" w:lineRule="exact"/>
        <w:rPr>
          <w:rFonts w:ascii="Times New Roman" w:cs="Times New Roman" w:eastAsia="Times New Roman" w:hAnsi="Times New Roman"/>
          <w:sz w:val="18"/>
          <w:szCs w:val="18"/>
          <w:color w:val="auto"/>
        </w:rPr>
      </w:pPr>
    </w:p>
    <w:p>
      <w:pPr>
        <w:ind w:left="1220" w:hanging="323"/>
        <w:spacing w:after="0"/>
        <w:tabs>
          <w:tab w:leader="none" w:pos="1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intentionally releasing claims that I do not know I might have and that, with hindsight, I might regret having released.</w:t>
      </w:r>
    </w:p>
    <w:p>
      <w:pPr>
        <w:spacing w:after="0" w:line="205" w:lineRule="exact"/>
        <w:rPr>
          <w:rFonts w:ascii="Times New Roman" w:cs="Times New Roman" w:eastAsia="Times New Roman" w:hAnsi="Times New Roman"/>
          <w:sz w:val="18"/>
          <w:szCs w:val="18"/>
          <w:color w:val="auto"/>
        </w:rPr>
      </w:pPr>
    </w:p>
    <w:p>
      <w:pPr>
        <w:ind w:left="900" w:right="20" w:hanging="3"/>
        <w:spacing w:after="0" w:line="277" w:lineRule="auto"/>
        <w:tabs>
          <w:tab w:leader="none" w:pos="122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I successfully assert that any provision in this Release is void, the rest of the Agreement shall remain valid and enforceable.</w:t>
      </w:r>
    </w:p>
    <w:p>
      <w:pPr>
        <w:spacing w:after="0" w:line="138" w:lineRule="exact"/>
        <w:rPr>
          <w:sz w:val="20"/>
          <w:szCs w:val="20"/>
          <w:color w:val="auto"/>
        </w:rPr>
      </w:pPr>
    </w:p>
    <w:p>
      <w:pPr>
        <w:jc w:val="both"/>
        <w:ind w:firstLine="897"/>
        <w:spacing w:after="0" w:line="245" w:lineRule="auto"/>
        <w:tabs>
          <w:tab w:leader="none" w:pos="11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False Claims Representations and Promises</w:t>
      </w:r>
      <w:r>
        <w:rPr>
          <w:rFonts w:ascii="Times New Roman" w:cs="Times New Roman" w:eastAsia="Times New Roman" w:hAnsi="Times New Roman"/>
          <w:sz w:val="18"/>
          <w:szCs w:val="18"/>
          <w:color w:val="auto"/>
        </w:rPr>
        <w:t>: I have disclosed to the Company any information I have concerning any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involving the Company or any Affiliate that I have any reason to believe may be unlawful or that involves any false claims to the United States. I promise to cooperate fully in any investigation the Company or any Affiliate undertakes into matters occurring during my employment with the Company or any Affiliate. I understand that nothing in this Agreement prevents me from cooperating with any U.S. government investigation. In addition, to the fullest extent permitted by law, I hereby irrevocably assign to the U.S. government any right I might have to any proceeds or awards in connection with any false claims proceedings against the Company or any Affiliate.</w:t>
      </w:r>
    </w:p>
    <w:p>
      <w:pPr>
        <w:spacing w:after="0" w:line="166" w:lineRule="exact"/>
        <w:rPr>
          <w:rFonts w:ascii="Times New Roman" w:cs="Times New Roman" w:eastAsia="Times New Roman" w:hAnsi="Times New Roman"/>
          <w:sz w:val="18"/>
          <w:szCs w:val="18"/>
          <w:color w:val="auto"/>
        </w:rPr>
      </w:pPr>
    </w:p>
    <w:p>
      <w:pPr>
        <w:jc w:val="both"/>
        <w:ind w:firstLine="897"/>
        <w:spacing w:after="0" w:line="250" w:lineRule="auto"/>
        <w:tabs>
          <w:tab w:leader="none" w:pos="11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Required</w:t>
      </w:r>
      <w:r>
        <w:rPr>
          <w:rFonts w:ascii="Times New Roman" w:cs="Times New Roman" w:eastAsia="Times New Roman" w:hAnsi="Times New Roman"/>
          <w:sz w:val="18"/>
          <w:szCs w:val="18"/>
          <w:color w:val="auto"/>
        </w:rPr>
        <w:t>: I agree that when requested by the Company, I will promptly and fully respond to all inquiries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 and its representatives relating to any lawsuit in which I am identified as having factual information needed by the Company. To the extent I incur reasonable out-of-pocket expenses (such as postage costs or telephone charges) in assisting the Company or any Affiliate at its request, the Company will mail me a reimbursement check for those expenses within 15 days after it receives my request for payment, along with satisfactory written substantiation of the claimed expenses.</w:t>
      </w:r>
    </w:p>
    <w:p>
      <w:pPr>
        <w:spacing w:after="0" w:line="160" w:lineRule="exact"/>
        <w:rPr>
          <w:rFonts w:ascii="Times New Roman" w:cs="Times New Roman" w:eastAsia="Times New Roman" w:hAnsi="Times New Roman"/>
          <w:sz w:val="18"/>
          <w:szCs w:val="18"/>
          <w:color w:val="auto"/>
        </w:rPr>
      </w:pPr>
    </w:p>
    <w:p>
      <w:pPr>
        <w:ind w:firstLine="897"/>
        <w:spacing w:after="0" w:line="281" w:lineRule="auto"/>
        <w:tabs>
          <w:tab w:leader="none" w:pos="112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Nothing herein shall prevent the Company or me from disclosing the terms of this Agreement if required to do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or by a court of competent jurisdiction.</w:t>
      </w:r>
    </w:p>
    <w:p>
      <w:pPr>
        <w:spacing w:after="0" w:line="1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Section 7 -- </w:t>
      </w:r>
      <w:r>
        <w:rPr>
          <w:rFonts w:ascii="Times New Roman" w:cs="Times New Roman" w:eastAsia="Times New Roman" w:hAnsi="Times New Roman"/>
          <w:sz w:val="18"/>
          <w:szCs w:val="18"/>
          <w:b w:val="1"/>
          <w:bCs w:val="1"/>
          <w:u w:val="single" w:color="auto"/>
          <w:color w:val="auto"/>
        </w:rPr>
        <w:t>Consequences of Violating Promises</w:t>
      </w:r>
    </w:p>
    <w:p>
      <w:pPr>
        <w:spacing w:after="0" w:line="210" w:lineRule="exact"/>
        <w:rPr>
          <w:sz w:val="20"/>
          <w:szCs w:val="20"/>
          <w:color w:val="auto"/>
        </w:rPr>
      </w:pPr>
    </w:p>
    <w:p>
      <w:pPr>
        <w:jc w:val="both"/>
        <w:ind w:firstLine="895"/>
        <w:spacing w:after="0" w:line="246" w:lineRule="auto"/>
        <w:rPr>
          <w:sz w:val="20"/>
          <w:szCs w:val="20"/>
          <w:color w:val="auto"/>
        </w:rPr>
      </w:pPr>
      <w:r>
        <w:rPr>
          <w:rFonts w:ascii="Times New Roman" w:cs="Times New Roman" w:eastAsia="Times New Roman" w:hAnsi="Times New Roman"/>
          <w:sz w:val="18"/>
          <w:szCs w:val="18"/>
          <w:color w:val="auto"/>
        </w:rPr>
        <w:t>I agree that the Company would be irreparably harmed by any actual or threatened violation of Section 6 that involves disclosure or use of confidential information, proprietary information, trade secrets or the violation of any obligations to the Company or its Affiliates in respect of non-competition or non-solicitation, and that the Company will be entitled to an injunction prohibiting me from committing any such violation. In addition, I agree that, in the event of any actual or threatened violation of Section 6 or any confidentiality, non-solicitation or non-competition agreement with the Company or any of its Subsidiaries, then the Company shall (a) have no obligation to pay any amounts set forth in Appendix A and (b) will be entitled to recover any amounts set forth in Appendix A previously paid to me.</w:t>
      </w:r>
    </w:p>
    <w:p>
      <w:pPr>
        <w:sectPr>
          <w:pgSz w:w="11900" w:h="16838" w:orient="portrait"/>
          <w:cols w:equalWidth="0" w:num="1">
            <w:col w:w="10720"/>
          </w:cols>
          <w:pgMar w:left="860" w:top="530" w:right="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7"/>
          <w:szCs w:val="17"/>
          <w:b w:val="1"/>
          <w:bCs w:val="1"/>
          <w:color w:val="929292"/>
        </w:rPr>
        <w:t>A-9</w:t>
      </w:r>
    </w:p>
    <w:p>
      <w:pPr>
        <w:spacing w:after="0" w:line="200" w:lineRule="exact"/>
        <w:rPr>
          <w:sz w:val="20"/>
          <w:szCs w:val="20"/>
          <w:color w:val="auto"/>
        </w:rPr>
      </w:pPr>
    </w:p>
    <w:p>
      <w:pPr>
        <w:spacing w:after="0" w:line="2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Section 8 -- </w:t>
      </w:r>
      <w:r>
        <w:rPr>
          <w:rFonts w:ascii="Times New Roman" w:cs="Times New Roman" w:eastAsia="Times New Roman" w:hAnsi="Times New Roman"/>
          <w:sz w:val="18"/>
          <w:szCs w:val="18"/>
          <w:b w:val="1"/>
          <w:bCs w:val="1"/>
          <w:u w:val="single" w:color="auto"/>
          <w:color w:val="auto"/>
        </w:rPr>
        <w:t>Miscellaneous</w:t>
      </w:r>
    </w:p>
    <w:p>
      <w:pPr>
        <w:spacing w:after="0" w:line="206" w:lineRule="exact"/>
        <w:rPr>
          <w:sz w:val="20"/>
          <w:szCs w:val="20"/>
          <w:color w:val="auto"/>
        </w:rPr>
      </w:pPr>
    </w:p>
    <w:p>
      <w:pPr>
        <w:jc w:val="both"/>
        <w:ind w:firstLine="897"/>
        <w:spacing w:after="0" w:line="244" w:lineRule="auto"/>
        <w:tabs>
          <w:tab w:leader="none" w:pos="11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In addition to any Company or Company Affiliate agreement, plan or policy relating to non-solicitation, non-competition, the confidentiality of proprietary information, inventions, or similar matters referenced in Section 6 above, this Agreement is the entire agreement between me and the Company relating to my termination of employment or the subject matter of this Agreement. This Agreement may not be modified or canceled in any manner, nor may any provision of it or any legal remedy with respect to it be waived, except by a writing signed by both me and an authorized Company official. I acknowledge that the Company has made no representations or promises to me (such as that my former position will remain vacant), other than those in or referred to by this Agreement. If any provision in this Agreement is found to be unenforceable, all other provisions will remain fully enforceable.</w:t>
      </w:r>
    </w:p>
    <w:p>
      <w:pPr>
        <w:spacing w:after="0" w:line="167" w:lineRule="exact"/>
        <w:rPr>
          <w:rFonts w:ascii="Times New Roman" w:cs="Times New Roman" w:eastAsia="Times New Roman" w:hAnsi="Times New Roman"/>
          <w:sz w:val="18"/>
          <w:szCs w:val="18"/>
          <w:color w:val="auto"/>
        </w:rPr>
      </w:pPr>
    </w:p>
    <w:p>
      <w:pPr>
        <w:ind w:firstLine="897"/>
        <w:spacing w:after="0" w:line="281" w:lineRule="auto"/>
        <w:tabs>
          <w:tab w:leader="none" w:pos="11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Agreement binds my heirs, administrators, representatives, executors, successors, and assigns, and will inure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benefit of all Released Parties and their respective heirs, administrators, representatives, executors, successors, and assigns.</w:t>
      </w:r>
    </w:p>
    <w:p>
      <w:pPr>
        <w:spacing w:after="0" w:line="134" w:lineRule="exact"/>
        <w:rPr>
          <w:rFonts w:ascii="Times New Roman" w:cs="Times New Roman" w:eastAsia="Times New Roman" w:hAnsi="Times New Roman"/>
          <w:sz w:val="18"/>
          <w:szCs w:val="18"/>
          <w:color w:val="auto"/>
        </w:rPr>
      </w:pPr>
    </w:p>
    <w:p>
      <w:pPr>
        <w:jc w:val="both"/>
        <w:ind w:right="20" w:firstLine="897"/>
        <w:spacing w:after="0" w:line="253" w:lineRule="auto"/>
        <w:tabs>
          <w:tab w:leader="none" w:pos="11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This Agreement shall be construed as a whole according to its fair meaning. It shall not be construed strictly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against me or any Released Party.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Section 9 -- </w:t>
      </w:r>
      <w:r>
        <w:rPr>
          <w:rFonts w:ascii="Times New Roman" w:cs="Times New Roman" w:eastAsia="Times New Roman" w:hAnsi="Times New Roman"/>
          <w:sz w:val="18"/>
          <w:szCs w:val="18"/>
          <w:b w:val="1"/>
          <w:bCs w:val="1"/>
          <w:u w:val="single" w:color="auto"/>
          <w:color w:val="auto"/>
        </w:rPr>
        <w:t>Arbitration of Disputes</w:t>
      </w:r>
    </w:p>
    <w:p>
      <w:pPr>
        <w:spacing w:after="0" w:line="210" w:lineRule="exact"/>
        <w:rPr>
          <w:sz w:val="20"/>
          <w:szCs w:val="20"/>
          <w:color w:val="auto"/>
        </w:rPr>
      </w:pPr>
    </w:p>
    <w:p>
      <w:pPr>
        <w:jc w:val="both"/>
        <w:ind w:firstLine="895"/>
        <w:spacing w:after="0" w:line="242" w:lineRule="auto"/>
        <w:rPr>
          <w:sz w:val="20"/>
          <w:szCs w:val="20"/>
          <w:color w:val="auto"/>
        </w:rPr>
      </w:pPr>
      <w:r>
        <w:rPr>
          <w:rFonts w:ascii="Times New Roman" w:cs="Times New Roman" w:eastAsia="Times New Roman" w:hAnsi="Times New Roman"/>
          <w:sz w:val="18"/>
          <w:szCs w:val="18"/>
          <w:color w:val="auto"/>
        </w:rPr>
        <w:t>The Company and I agree to resolve any disputes we may have with each other through final, binding and confidential arbitration consistent with applicable law. For example, I am agreeing to arbitrate any dispute about the validity of this Agreement or any discrimination claim. I also agree to resolve through final, binding and confidential arbitration any disputes I have with any other Released Party who elects to arbitrate those disputes under this subsection. Arbitration shall be conducted by the American Arbitration Association in accordance with its employment dispute resolution rules which can be found at www.adr.org/employment, and consistent with state law. A neutral arbitrator will preside over the arbitration and issue a written decision subject to limited judicial review. The decision shall remain confidential between the parties and shall not be published by the arbitrator or the AAA. All remedies available under law will be available in the Arbitration. The Arbitration proceedings will allow for adequate discovery. Commencement of the Arbitration will be at a minimal cost to me. This agreement to arbitrate does not apply to government agency proceedings. By agreeing to this Agreement, I understand that I am waiving my right to a jury trial.</w:t>
      </w:r>
    </w:p>
    <w:p>
      <w:pPr>
        <w:sectPr>
          <w:pgSz w:w="11900" w:h="16838" w:orient="portrait"/>
          <w:cols w:equalWidth="0" w:num="1">
            <w:col w:w="10720"/>
          </w:cols>
          <w:pgMar w:left="860" w:top="530"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color w:val="929292"/>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473075</wp:posOffset>
            </wp:positionV>
            <wp:extent cx="6390005" cy="1573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90005" cy="157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YOU MAY NOT MAKE ANY CHANGES TO THE TERMS OF THIS AGREEMENT.</w:t>
      </w:r>
    </w:p>
    <w:p>
      <w:pPr>
        <w:spacing w:after="0" w:line="183" w:lineRule="exact"/>
        <w:rPr>
          <w:sz w:val="20"/>
          <w:szCs w:val="20"/>
          <w:color w:val="auto"/>
        </w:rPr>
      </w:pPr>
    </w:p>
    <w:p>
      <w:pPr>
        <w:ind w:left="1300" w:right="3380" w:firstLine="10"/>
        <w:spacing w:after="0" w:line="235" w:lineRule="auto"/>
        <w:rPr>
          <w:sz w:val="20"/>
          <w:szCs w:val="20"/>
          <w:color w:val="auto"/>
        </w:rPr>
      </w:pPr>
      <w:r>
        <w:rPr>
          <w:rFonts w:ascii="Times New Roman" w:cs="Times New Roman" w:eastAsia="Times New Roman" w:hAnsi="Times New Roman"/>
          <w:sz w:val="18"/>
          <w:szCs w:val="18"/>
          <w:b w:val="1"/>
          <w:bCs w:val="1"/>
          <w:color w:val="auto"/>
        </w:rPr>
        <w:t>BEFORE SIGNING THIS AGREEMENT, TAKE IT HOME, READ IT, AND CAREFULLY CONSIDER IT. IF YOU CHOOSE, DISCUSS IT WITH YOUR ATTORNEY (AT YOUR OWN EXPENSE).</w:t>
      </w:r>
    </w:p>
    <w:p>
      <w:pPr>
        <w:spacing w:after="0" w:line="149" w:lineRule="exact"/>
        <w:rPr>
          <w:sz w:val="20"/>
          <w:szCs w:val="20"/>
          <w:color w:val="auto"/>
        </w:rPr>
      </w:pPr>
    </w:p>
    <w:p>
      <w:pPr>
        <w:ind w:left="1300" w:right="2700"/>
        <w:spacing w:after="0" w:line="255" w:lineRule="auto"/>
        <w:rPr>
          <w:sz w:val="20"/>
          <w:szCs w:val="20"/>
          <w:color w:val="auto"/>
        </w:rPr>
      </w:pPr>
      <w:r>
        <w:rPr>
          <w:rFonts w:ascii="Times New Roman" w:cs="Times New Roman" w:eastAsia="Times New Roman" w:hAnsi="Times New Roman"/>
          <w:sz w:val="18"/>
          <w:szCs w:val="18"/>
          <w:b w:val="1"/>
          <w:bCs w:val="1"/>
          <w:color w:val="auto"/>
        </w:rPr>
        <w:t>BY SIGNING THIS AGREEMENT, YOU WILL BE WAIVING YOUR KNOWN AND UNKNOWN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at Norwalk, Connecticut, this [●]th day of [●], 20[●], and signed under penalty of perjury under the laws of the state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458470</wp:posOffset>
            </wp:positionV>
            <wp:extent cx="30079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079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393065</wp:posOffset>
            </wp:positionV>
            <wp:extent cx="30079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07995" cy="698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at Norwalk, Connecticut this [●]th day of [●], 20[●].</w:t>
      </w:r>
    </w:p>
    <w:p>
      <w:pPr>
        <w:spacing w:after="0" w:line="200" w:lineRule="exact"/>
        <w:rPr>
          <w:sz w:val="20"/>
          <w:szCs w:val="20"/>
          <w:color w:val="auto"/>
        </w:rPr>
      </w:pPr>
    </w:p>
    <w:p>
      <w:pPr>
        <w:spacing w:after="0" w:line="24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For FactSet Research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305435</wp:posOffset>
            </wp:positionV>
            <wp:extent cx="30956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95625" cy="69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ind w:left="59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60"/>
          </w:cols>
          <w:pgMar w:left="720" w:top="530" w:right="31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929292"/>
                <w:w w:val="97"/>
              </w:rPr>
              <w:t>APPENDIX A</w:t>
            </w:r>
          </w:p>
        </w:tc>
        <w:tc>
          <w:tcPr>
            <w:tcW w:w="0" w:type="dxa"/>
            <w:vAlign w:val="bottom"/>
          </w:tcPr>
          <w:p>
            <w:pPr>
              <w:spacing w:after="0"/>
              <w:rPr>
                <w:sz w:val="1"/>
                <w:szCs w:val="1"/>
                <w:color w:val="auto"/>
              </w:rPr>
            </w:pPr>
          </w:p>
        </w:tc>
      </w:tr>
      <w:tr>
        <w:trPr>
          <w:trHeight w:val="868"/>
        </w:trPr>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Severance Payments and Benefits</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40" w:type="dxa"/>
            <w:vAlign w:val="bottom"/>
            <w:tcBorders>
              <w:left w:val="single" w:sz="8" w:color="auto"/>
            </w:tcBorders>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620" w:type="dxa"/>
            <w:vAlign w:val="bottom"/>
            <w:shd w:val="clear" w:color="auto" w:fill="DBDBDB"/>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Type of</w:t>
            </w:r>
          </w:p>
        </w:tc>
        <w:tc>
          <w:tcPr>
            <w:tcW w:w="1200" w:type="dxa"/>
            <w:vAlign w:val="bottom"/>
            <w:tcBorders>
              <w:right w:val="single" w:sz="8" w:color="auto"/>
            </w:tcBorders>
            <w:gridSpan w:val="2"/>
            <w:shd w:val="clear" w:color="auto" w:fill="DBDBDB"/>
          </w:tcPr>
          <w:p>
            <w:pPr>
              <w:spacing w:after="0"/>
              <w:rPr>
                <w:sz w:val="15"/>
                <w:szCs w:val="15"/>
                <w:color w:val="auto"/>
              </w:rPr>
            </w:pPr>
          </w:p>
        </w:tc>
        <w:tc>
          <w:tcPr>
            <w:tcW w:w="4140" w:type="dxa"/>
            <w:vAlign w:val="bottom"/>
            <w:gridSpan w:val="3"/>
            <w:vMerge w:val="restart"/>
            <w:shd w:val="clear" w:color="auto" w:fill="DBDBDB"/>
          </w:tcPr>
          <w:p>
            <w:pPr>
              <w:ind w:left="1120"/>
              <w:spacing w:after="0"/>
              <w:rPr>
                <w:sz w:val="20"/>
                <w:szCs w:val="20"/>
                <w:color w:val="auto"/>
              </w:rPr>
            </w:pPr>
            <w:r>
              <w:rPr>
                <w:rFonts w:ascii="Times New Roman" w:cs="Times New Roman" w:eastAsia="Times New Roman" w:hAnsi="Times New Roman"/>
                <w:sz w:val="18"/>
                <w:szCs w:val="18"/>
                <w:b w:val="1"/>
                <w:bCs w:val="1"/>
                <w:color w:val="auto"/>
              </w:rPr>
              <w:t>Form and Amount of Payment/Benefit</w:t>
            </w:r>
          </w:p>
        </w:tc>
        <w:tc>
          <w:tcPr>
            <w:tcW w:w="1140" w:type="dxa"/>
            <w:vAlign w:val="bottom"/>
            <w:tcBorders>
              <w:right w:val="single" w:sz="8" w:color="auto"/>
            </w:tcBorders>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2160" w:type="dxa"/>
            <w:vAlign w:val="bottom"/>
            <w:tcBorders>
              <w:right w:val="single" w:sz="8" w:color="auto"/>
            </w:tcBorders>
            <w:gridSpan w:val="4"/>
            <w:shd w:val="clear" w:color="auto" w:fill="DBDBDB"/>
          </w:tcPr>
          <w:p>
            <w:pPr>
              <w:jc w:val="center"/>
              <w:ind w:right="920"/>
              <w:spacing w:after="0" w:line="175" w:lineRule="exact"/>
              <w:rPr>
                <w:sz w:val="20"/>
                <w:szCs w:val="20"/>
                <w:color w:val="auto"/>
              </w:rPr>
            </w:pPr>
            <w:r>
              <w:rPr>
                <w:rFonts w:ascii="Times New Roman" w:cs="Times New Roman" w:eastAsia="Times New Roman" w:hAnsi="Times New Roman"/>
                <w:sz w:val="18"/>
                <w:szCs w:val="18"/>
                <w:b w:val="1"/>
                <w:bCs w:val="1"/>
                <w:color w:val="auto"/>
              </w:rPr>
              <w:t>Timing of</w:t>
            </w:r>
          </w:p>
        </w:tc>
        <w:tc>
          <w:tcPr>
            <w:tcW w:w="0" w:type="dxa"/>
            <w:vAlign w:val="bottom"/>
          </w:tcPr>
          <w:p>
            <w:pPr>
              <w:spacing w:after="0"/>
              <w:rPr>
                <w:sz w:val="1"/>
                <w:szCs w:val="1"/>
                <w:color w:val="auto"/>
              </w:rPr>
            </w:pPr>
          </w:p>
        </w:tc>
      </w:tr>
      <w:tr>
        <w:trPr>
          <w:trHeight w:val="20"/>
        </w:trPr>
        <w:tc>
          <w:tcPr>
            <w:tcW w:w="840" w:type="dxa"/>
            <w:vAlign w:val="bottom"/>
            <w:tcBorders>
              <w:left w:val="single" w:sz="8" w:color="auto"/>
            </w:tcBorders>
            <w:shd w:val="clear" w:color="auto" w:fill="DBDBDB"/>
          </w:tcPr>
          <w:p>
            <w:pPr>
              <w:spacing w:after="0" w:line="20" w:lineRule="exact"/>
              <w:rPr>
                <w:sz w:val="1"/>
                <w:szCs w:val="1"/>
                <w:color w:val="auto"/>
              </w:rPr>
            </w:pPr>
          </w:p>
        </w:tc>
        <w:tc>
          <w:tcPr>
            <w:tcW w:w="340" w:type="dxa"/>
            <w:vAlign w:val="bottom"/>
            <w:shd w:val="clear" w:color="auto" w:fill="DBDBDB"/>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DBDBDB"/>
          </w:tcPr>
          <w:p>
            <w:pPr>
              <w:spacing w:after="0" w:line="20" w:lineRule="exact"/>
              <w:rPr>
                <w:sz w:val="1"/>
                <w:szCs w:val="1"/>
                <w:color w:val="auto"/>
              </w:rPr>
            </w:pPr>
          </w:p>
        </w:tc>
        <w:tc>
          <w:tcPr>
            <w:tcW w:w="860" w:type="dxa"/>
            <w:vAlign w:val="bottom"/>
            <w:tcBorders>
              <w:right w:val="single" w:sz="8" w:color="auto"/>
            </w:tcBorders>
            <w:shd w:val="clear" w:color="auto" w:fill="DBDBDB"/>
          </w:tcPr>
          <w:p>
            <w:pPr>
              <w:spacing w:after="0" w:line="20" w:lineRule="exact"/>
              <w:rPr>
                <w:sz w:val="1"/>
                <w:szCs w:val="1"/>
                <w:color w:val="auto"/>
              </w:rPr>
            </w:pPr>
          </w:p>
        </w:tc>
        <w:tc>
          <w:tcPr>
            <w:tcW w:w="4140" w:type="dxa"/>
            <w:vAlign w:val="bottom"/>
            <w:gridSpan w:val="3"/>
            <w:vMerge w:val="continue"/>
            <w:shd w:val="clear" w:color="auto" w:fill="DBDBDB"/>
          </w:tcPr>
          <w:p>
            <w:pPr>
              <w:spacing w:after="0" w:line="20" w:lineRule="exact"/>
              <w:rPr>
                <w:sz w:val="1"/>
                <w:szCs w:val="1"/>
                <w:color w:val="auto"/>
              </w:rPr>
            </w:pPr>
          </w:p>
        </w:tc>
        <w:tc>
          <w:tcPr>
            <w:tcW w:w="1140" w:type="dxa"/>
            <w:vAlign w:val="bottom"/>
            <w:tcBorders>
              <w:right w:val="single" w:sz="8" w:color="auto"/>
            </w:tcBorders>
            <w:shd w:val="clear" w:color="auto" w:fill="DBDBDB"/>
          </w:tcPr>
          <w:p>
            <w:pPr>
              <w:spacing w:after="0" w:line="20" w:lineRule="exact"/>
              <w:rPr>
                <w:sz w:val="1"/>
                <w:szCs w:val="1"/>
                <w:color w:val="auto"/>
              </w:rPr>
            </w:pPr>
          </w:p>
        </w:tc>
        <w:tc>
          <w:tcPr>
            <w:tcW w:w="84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860" w:type="dxa"/>
            <w:vAlign w:val="bottom"/>
            <w:tcBorders>
              <w:right w:val="single" w:sz="8" w:color="auto"/>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840" w:type="dxa"/>
            <w:vAlign w:val="bottom"/>
            <w:tcBorders>
              <w:left w:val="single" w:sz="8" w:color="auto"/>
            </w:tcBorders>
            <w:shd w:val="clear" w:color="auto" w:fill="DBDBDB"/>
          </w:tcPr>
          <w:p>
            <w:pPr>
              <w:spacing w:after="0"/>
              <w:rPr>
                <w:sz w:val="6"/>
                <w:szCs w:val="6"/>
                <w:color w:val="auto"/>
              </w:rPr>
            </w:pPr>
          </w:p>
        </w:tc>
        <w:tc>
          <w:tcPr>
            <w:tcW w:w="2160" w:type="dxa"/>
            <w:vAlign w:val="bottom"/>
            <w:tcBorders>
              <w:right w:val="single" w:sz="8" w:color="auto"/>
            </w:tcBorders>
            <w:gridSpan w:val="4"/>
            <w:vMerge w:val="restart"/>
            <w:shd w:val="clear" w:color="auto" w:fill="DBDBDB"/>
          </w:tcPr>
          <w:p>
            <w:pPr>
              <w:jc w:val="center"/>
              <w:ind w:right="860"/>
              <w:spacing w:after="0" w:line="164" w:lineRule="exact"/>
              <w:rPr>
                <w:sz w:val="20"/>
                <w:szCs w:val="20"/>
                <w:color w:val="auto"/>
              </w:rPr>
            </w:pPr>
            <w:r>
              <w:rPr>
                <w:rFonts w:ascii="Times New Roman" w:cs="Times New Roman" w:eastAsia="Times New Roman" w:hAnsi="Times New Roman"/>
                <w:sz w:val="18"/>
                <w:szCs w:val="18"/>
                <w:b w:val="1"/>
                <w:bCs w:val="1"/>
                <w:color w:val="auto"/>
              </w:rPr>
              <w:t>Payment/Benefit</w:t>
            </w:r>
          </w:p>
        </w:tc>
        <w:tc>
          <w:tcPr>
            <w:tcW w:w="4140" w:type="dxa"/>
            <w:vAlign w:val="bottom"/>
            <w:gridSpan w:val="3"/>
            <w:vMerge w:val="continue"/>
            <w:shd w:val="clear" w:color="auto" w:fill="DBDBDB"/>
          </w:tcPr>
          <w:p>
            <w:pPr>
              <w:spacing w:after="0"/>
              <w:rPr>
                <w:sz w:val="6"/>
                <w:szCs w:val="6"/>
                <w:color w:val="auto"/>
              </w:rPr>
            </w:pPr>
          </w:p>
        </w:tc>
        <w:tc>
          <w:tcPr>
            <w:tcW w:w="1140" w:type="dxa"/>
            <w:vAlign w:val="bottom"/>
            <w:tcBorders>
              <w:right w:val="single" w:sz="8" w:color="auto"/>
            </w:tcBorders>
            <w:shd w:val="clear" w:color="auto" w:fill="DBDBDB"/>
          </w:tcPr>
          <w:p>
            <w:pPr>
              <w:spacing w:after="0"/>
              <w:rPr>
                <w:sz w:val="6"/>
                <w:szCs w:val="6"/>
                <w:color w:val="auto"/>
              </w:rPr>
            </w:pPr>
          </w:p>
        </w:tc>
        <w:tc>
          <w:tcPr>
            <w:tcW w:w="840" w:type="dxa"/>
            <w:vAlign w:val="bottom"/>
            <w:shd w:val="clear" w:color="auto" w:fill="DBDBDB"/>
          </w:tcPr>
          <w:p>
            <w:pPr>
              <w:spacing w:after="0"/>
              <w:rPr>
                <w:sz w:val="6"/>
                <w:szCs w:val="6"/>
                <w:color w:val="auto"/>
              </w:rPr>
            </w:pPr>
          </w:p>
        </w:tc>
        <w:tc>
          <w:tcPr>
            <w:tcW w:w="2160" w:type="dxa"/>
            <w:vAlign w:val="bottom"/>
            <w:tcBorders>
              <w:right w:val="single" w:sz="8" w:color="auto"/>
            </w:tcBorders>
            <w:gridSpan w:val="4"/>
            <w:vMerge w:val="restart"/>
            <w:shd w:val="clear" w:color="auto" w:fill="DBDBDB"/>
          </w:tcPr>
          <w:p>
            <w:pPr>
              <w:jc w:val="center"/>
              <w:ind w:right="860"/>
              <w:spacing w:after="0" w:line="164" w:lineRule="exact"/>
              <w:rPr>
                <w:sz w:val="20"/>
                <w:szCs w:val="20"/>
                <w:color w:val="auto"/>
              </w:rPr>
            </w:pPr>
            <w:r>
              <w:rPr>
                <w:rFonts w:ascii="Times New Roman" w:cs="Times New Roman" w:eastAsia="Times New Roman" w:hAnsi="Times New Roman"/>
                <w:sz w:val="18"/>
                <w:szCs w:val="18"/>
                <w:b w:val="1"/>
                <w:bCs w:val="1"/>
                <w:color w:val="auto"/>
              </w:rPr>
              <w:t>Payment/Benefit</w:t>
            </w:r>
          </w:p>
        </w:tc>
        <w:tc>
          <w:tcPr>
            <w:tcW w:w="0" w:type="dxa"/>
            <w:vAlign w:val="bottom"/>
          </w:tcPr>
          <w:p>
            <w:pPr>
              <w:spacing w:after="0"/>
              <w:rPr>
                <w:sz w:val="1"/>
                <w:szCs w:val="1"/>
                <w:color w:val="auto"/>
              </w:rPr>
            </w:pPr>
          </w:p>
        </w:tc>
      </w:tr>
      <w:tr>
        <w:trPr>
          <w:trHeight w:val="118"/>
        </w:trPr>
        <w:tc>
          <w:tcPr>
            <w:tcW w:w="840" w:type="dxa"/>
            <w:vAlign w:val="bottom"/>
            <w:tcBorders>
              <w:top w:val="single" w:sz="8" w:color="DBDBDB"/>
              <w:left w:val="single" w:sz="8" w:color="auto"/>
              <w:bottom w:val="single" w:sz="8" w:color="auto"/>
            </w:tcBorders>
            <w:shd w:val="clear" w:color="auto" w:fill="DBDBDB"/>
          </w:tcPr>
          <w:p>
            <w:pPr>
              <w:spacing w:after="0"/>
              <w:rPr>
                <w:sz w:val="10"/>
                <w:szCs w:val="10"/>
                <w:color w:val="auto"/>
              </w:rPr>
            </w:pPr>
          </w:p>
        </w:tc>
        <w:tc>
          <w:tcPr>
            <w:tcW w:w="2160" w:type="dxa"/>
            <w:vAlign w:val="bottom"/>
            <w:tcBorders>
              <w:top w:val="single" w:sz="8" w:color="DBDBDB"/>
              <w:bottom w:val="single" w:sz="8" w:color="auto"/>
              <w:right w:val="single" w:sz="8" w:color="auto"/>
            </w:tcBorders>
            <w:gridSpan w:val="4"/>
            <w:vMerge w:val="continue"/>
            <w:shd w:val="clear" w:color="auto" w:fill="DBDBDB"/>
          </w:tcPr>
          <w:p>
            <w:pPr>
              <w:spacing w:after="0"/>
              <w:rPr>
                <w:sz w:val="10"/>
                <w:szCs w:val="10"/>
                <w:color w:val="auto"/>
              </w:rPr>
            </w:pPr>
          </w:p>
        </w:tc>
        <w:tc>
          <w:tcPr>
            <w:tcW w:w="1120" w:type="dxa"/>
            <w:vAlign w:val="bottom"/>
            <w:tcBorders>
              <w:top w:val="single" w:sz="8" w:color="DBDBDB"/>
              <w:bottom w:val="single" w:sz="8" w:color="auto"/>
            </w:tcBorders>
            <w:shd w:val="clear" w:color="auto" w:fill="DBDBDB"/>
          </w:tcPr>
          <w:p>
            <w:pPr>
              <w:spacing w:after="0"/>
              <w:rPr>
                <w:sz w:val="10"/>
                <w:szCs w:val="10"/>
                <w:color w:val="auto"/>
              </w:rPr>
            </w:pPr>
          </w:p>
        </w:tc>
        <w:tc>
          <w:tcPr>
            <w:tcW w:w="400" w:type="dxa"/>
            <w:vAlign w:val="bottom"/>
            <w:tcBorders>
              <w:top w:val="single" w:sz="8" w:color="auto"/>
              <w:bottom w:val="single" w:sz="8" w:color="auto"/>
            </w:tcBorders>
            <w:shd w:val="clear" w:color="auto" w:fill="DBDBDB"/>
          </w:tcPr>
          <w:p>
            <w:pPr>
              <w:spacing w:after="0"/>
              <w:rPr>
                <w:sz w:val="10"/>
                <w:szCs w:val="10"/>
                <w:color w:val="auto"/>
              </w:rPr>
            </w:pPr>
          </w:p>
        </w:tc>
        <w:tc>
          <w:tcPr>
            <w:tcW w:w="2620" w:type="dxa"/>
            <w:vAlign w:val="bottom"/>
            <w:tcBorders>
              <w:top w:val="single" w:sz="8" w:color="auto"/>
              <w:bottom w:val="single" w:sz="8" w:color="auto"/>
            </w:tcBorders>
            <w:shd w:val="clear" w:color="auto" w:fill="DBDBDB"/>
          </w:tcPr>
          <w:p>
            <w:pPr>
              <w:spacing w:after="0"/>
              <w:rPr>
                <w:sz w:val="10"/>
                <w:szCs w:val="10"/>
                <w:color w:val="auto"/>
              </w:rPr>
            </w:pPr>
          </w:p>
        </w:tc>
        <w:tc>
          <w:tcPr>
            <w:tcW w:w="1140" w:type="dxa"/>
            <w:vAlign w:val="bottom"/>
            <w:tcBorders>
              <w:top w:val="single" w:sz="8" w:color="DBDBDB"/>
              <w:bottom w:val="single" w:sz="8" w:color="auto"/>
              <w:right w:val="single" w:sz="8" w:color="auto"/>
            </w:tcBorders>
            <w:shd w:val="clear" w:color="auto" w:fill="DBDBDB"/>
          </w:tcPr>
          <w:p>
            <w:pPr>
              <w:spacing w:after="0"/>
              <w:rPr>
                <w:sz w:val="10"/>
                <w:szCs w:val="10"/>
                <w:color w:val="auto"/>
              </w:rPr>
            </w:pPr>
          </w:p>
        </w:tc>
        <w:tc>
          <w:tcPr>
            <w:tcW w:w="840" w:type="dxa"/>
            <w:vAlign w:val="bottom"/>
            <w:tcBorders>
              <w:top w:val="single" w:sz="8" w:color="DBDBDB"/>
              <w:bottom w:val="single" w:sz="8" w:color="auto"/>
            </w:tcBorders>
            <w:shd w:val="clear" w:color="auto" w:fill="DBDBDB"/>
          </w:tcPr>
          <w:p>
            <w:pPr>
              <w:spacing w:after="0"/>
              <w:rPr>
                <w:sz w:val="10"/>
                <w:szCs w:val="10"/>
                <w:color w:val="auto"/>
              </w:rPr>
            </w:pPr>
          </w:p>
        </w:tc>
        <w:tc>
          <w:tcPr>
            <w:tcW w:w="2160" w:type="dxa"/>
            <w:vAlign w:val="bottom"/>
            <w:tcBorders>
              <w:top w:val="single" w:sz="8" w:color="DBDBDB"/>
              <w:bottom w:val="single" w:sz="8" w:color="auto"/>
              <w:right w:val="single" w:sz="8" w:color="auto"/>
            </w:tcBorders>
            <w:gridSpan w:val="4"/>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8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23"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929292"/>
        </w:rPr>
        <w:t>APPENDIX B</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Second Release</w:t>
      </w:r>
    </w:p>
    <w:p>
      <w:pPr>
        <w:spacing w:after="0" w:line="210"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8"/>
          <w:szCs w:val="18"/>
          <w:color w:val="auto"/>
        </w:rPr>
        <w:t>This release (this “</w:t>
      </w:r>
      <w:r>
        <w:rPr>
          <w:rFonts w:ascii="Times New Roman" w:cs="Times New Roman" w:eastAsia="Times New Roman" w:hAnsi="Times New Roman"/>
          <w:sz w:val="18"/>
          <w:szCs w:val="18"/>
          <w:u w:val="single" w:color="auto"/>
          <w:color w:val="auto"/>
        </w:rPr>
        <w:t>Second Release</w:t>
      </w:r>
      <w:r>
        <w:rPr>
          <w:rFonts w:ascii="Times New Roman" w:cs="Times New Roman" w:eastAsia="Times New Roman" w:hAnsi="Times New Roman"/>
          <w:sz w:val="18"/>
          <w:szCs w:val="18"/>
          <w:color w:val="auto"/>
        </w:rPr>
        <w:t>”) is made by [●]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as of the date set forth below in connection with the Separation Agreement and General Release of Claims between Employee and FactSet Research Systems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made [●], 20[●]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in association with the termination of Employee’s employment with the Company. Capitalized terms used and not defined herein shall have the meaning ascribed to them in the Company’s Executive Severance Plan, as may be amended from time to time in accordance with its terms.</w:t>
      </w:r>
    </w:p>
    <w:p>
      <w:pPr>
        <w:spacing w:after="0" w:line="167" w:lineRule="exact"/>
        <w:rPr>
          <w:sz w:val="20"/>
          <w:szCs w:val="20"/>
          <w:color w:val="auto"/>
        </w:rPr>
      </w:pPr>
    </w:p>
    <w:p>
      <w:pPr>
        <w:jc w:val="both"/>
        <w:ind w:firstLine="414"/>
        <w:spacing w:after="0"/>
        <w:tabs>
          <w:tab w:leader="none" w:pos="103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payments to be made to Employee and other benefits to be received by Employee pursuant to the Separation Agreement, Employee, being of lawful age, irrevocably and unconditionally releases (i.e., gives up), acquits and forever discharges all known and unknown claims, promises, causes of action, charges, complaints, demands, liabilities, obligations, agreements, controversies, damages, suits, entitlements, costs, losses, debts and expenses (including attorneys’ fees and legal expenses) or similar rights of any type that Employee currently may have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with respect to the Company, all current and former parents, Subsidiaries, Affiliates, 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Employee understands that Employee is not releasing future rights or claims, meaning rights or claims that arise after the date that Employee executes and delivers this Second Release. Employee understands that the Claims Employee is releasing might arise under many different federal, state, local or non-U.S. laws (including statutes, regulations, other administrative guidance, and common law doctrines). Without limiting the generality of the foregoing, Employee acknowledges that Employee knowingly and voluntarily waives and releases any and all Claims under the Age Discrimination in Employment Act (the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and Executive Order 11,141, which prohibit age discrimination in employment, as well as all Claims under the following:</w:t>
      </w:r>
    </w:p>
    <w:p>
      <w:pPr>
        <w:spacing w:after="0" w:line="176" w:lineRule="exact"/>
        <w:rPr>
          <w:rFonts w:ascii="Times New Roman" w:cs="Times New Roman" w:eastAsia="Times New Roman" w:hAnsi="Times New Roman"/>
          <w:sz w:val="18"/>
          <w:szCs w:val="18"/>
          <w:color w:val="auto"/>
        </w:rPr>
      </w:pPr>
    </w:p>
    <w:p>
      <w:pPr>
        <w:jc w:val="both"/>
        <w:ind w:left="960" w:hanging="133"/>
        <w:spacing w:after="0" w:line="244" w:lineRule="auto"/>
        <w:tabs>
          <w:tab w:leader="none" w:pos="104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Anti-discrimination statutes, such as Title VII of the Civil Rights Act of 1964, Sections 1981 and 1983 of the Civil Rights Act of 1866, and Executive Order 11,246, which prohibit discrimination based on race, color, national origin, religion, or sex; the Equal Pay Act, which prohibits paying men and women unequal pay for equal work; the Americans With Disabilities Act (“</w:t>
      </w:r>
      <w:r>
        <w:rPr>
          <w:rFonts w:ascii="Times New Roman" w:cs="Times New Roman" w:eastAsia="Times New Roman" w:hAnsi="Times New Roman"/>
          <w:sz w:val="18"/>
          <w:szCs w:val="18"/>
          <w:u w:val="single" w:color="auto"/>
          <w:color w:val="auto"/>
        </w:rPr>
        <w:t>ADA</w:t>
      </w:r>
      <w:r>
        <w:rPr>
          <w:rFonts w:ascii="Times New Roman" w:cs="Times New Roman" w:eastAsia="Times New Roman" w:hAnsi="Times New Roman"/>
          <w:sz w:val="18"/>
          <w:szCs w:val="18"/>
          <w:color w:val="auto"/>
        </w:rPr>
        <w:t>”) and Sections 503 and 504 of the Rehabilitation Act of 1973, which prohibit discrimination based on disability; the Genetic Information Nondiscrimination Act of 2008 (“</w:t>
      </w:r>
      <w:r>
        <w:rPr>
          <w:rFonts w:ascii="Times New Roman" w:cs="Times New Roman" w:eastAsia="Times New Roman" w:hAnsi="Times New Roman"/>
          <w:sz w:val="18"/>
          <w:szCs w:val="18"/>
          <w:u w:val="single" w:color="auto"/>
          <w:color w:val="auto"/>
        </w:rPr>
        <w:t>GINA</w:t>
      </w:r>
      <w:r>
        <w:rPr>
          <w:rFonts w:ascii="Times New Roman" w:cs="Times New Roman" w:eastAsia="Times New Roman" w:hAnsi="Times New Roman"/>
          <w:sz w:val="18"/>
          <w:szCs w:val="18"/>
          <w:color w:val="auto"/>
        </w:rPr>
        <w:t>”), which prohibits discrimination based on genetic information; and any other federal, state, local or non-U.S.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ectPr>
          <w:pgSz w:w="11900" w:h="16838" w:orient="portrait"/>
          <w:cols w:equalWidth="0" w:num="1">
            <w:col w:w="11200"/>
          </w:cols>
          <w:pgMar w:left="380" w:top="323" w:right="319" w:bottom="1440" w:gutter="0" w:footer="0" w:header="0"/>
        </w:sectPr>
      </w:pPr>
    </w:p>
    <w:bookmarkStart w:id="82" w:name="page83"/>
    <w:bookmarkEnd w:id="82"/>
    <w:p>
      <w:pPr>
        <w:ind w:left="11000"/>
        <w:spacing w:after="0"/>
        <w:rPr>
          <w:sz w:val="20"/>
          <w:szCs w:val="20"/>
          <w:color w:val="auto"/>
        </w:rPr>
      </w:pPr>
      <w:r>
        <w:rPr>
          <w:rFonts w:ascii="Times New Roman" w:cs="Times New Roman" w:eastAsia="Times New Roman" w:hAnsi="Times New Roman"/>
          <w:sz w:val="17"/>
          <w:szCs w:val="17"/>
          <w:b w:val="1"/>
          <w:bCs w:val="1"/>
          <w:color w:val="929292"/>
        </w:rPr>
        <w:t>B-2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020" w:firstLine="4"/>
        <w:spacing w:after="0" w:line="253" w:lineRule="auto"/>
        <w:tabs>
          <w:tab w:leader="none" w:pos="131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employment statutes, such as the Worker Adjustment and Retraining Notification Act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which requires that advance notice be given of certain work force reductions;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which, among other things, protects employee benefits; and any other federal laws relating to employment, such as veterans’ reemployment rights laws; and</w:t>
      </w:r>
    </w:p>
    <w:p>
      <w:pPr>
        <w:spacing w:after="0" w:line="377" w:lineRule="exact"/>
        <w:rPr>
          <w:rFonts w:ascii="Times New Roman" w:cs="Times New Roman" w:eastAsia="Times New Roman" w:hAnsi="Times New Roman"/>
          <w:sz w:val="18"/>
          <w:szCs w:val="18"/>
          <w:color w:val="auto"/>
        </w:rPr>
      </w:pPr>
    </w:p>
    <w:p>
      <w:pPr>
        <w:jc w:val="both"/>
        <w:ind w:left="1020" w:firstLine="4"/>
        <w:spacing w:after="0" w:line="244" w:lineRule="auto"/>
        <w:tabs>
          <w:tab w:leader="none" w:pos="13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such as any federal, state, local or non-U.S. laws mandating leaves of absence, restricting an employer’s right to terminate employees, or otherwise regulating employment; any federal, state, local or non-U.S. law enforcing express or implied employment contracts or requiring an employer to deal with employees fairly or in good faith; any other federal, state, local or non- U.S.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3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Examples of released Claims include, but are not limited to the following (except to the extent explicitly preserved by Section 3 or 4(b) of the Separation Agreement): (i) Claims that in any way relate to or arose during Employee’s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Employee has irrevocable or vested rights to severance or similar benefits or to post-employment health or group insurance benefits; (iv) any Claims to attorneys’ fees or other indemnities (such as under the Civil Rights Attorneys’ Fees Act), with respect to Claims Employee is releasing; or (v) Claims under the Connecticut Human Rights and Opportunities Law, the Connecticut Family and Medical Leave Law, the Connecticut Age Discrimination and Employee Insurance Benefits Law, and the Connecticut Smokers’ Rights Law.</w:t>
      </w:r>
    </w:p>
    <w:p>
      <w:pPr>
        <w:spacing w:after="0" w:line="161" w:lineRule="exact"/>
        <w:rPr>
          <w:sz w:val="20"/>
          <w:szCs w:val="20"/>
          <w:color w:val="auto"/>
        </w:rPr>
      </w:pPr>
    </w:p>
    <w:p>
      <w:pPr>
        <w:ind w:left="720" w:hanging="315"/>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Employee has read and understands Section 1542 of the California Civil Code that reads as follows:</w:t>
      </w:r>
    </w:p>
    <w:p>
      <w:pPr>
        <w:spacing w:after="0" w:line="206" w:lineRule="exact"/>
        <w:rPr>
          <w:sz w:val="20"/>
          <w:szCs w:val="20"/>
          <w:color w:val="auto"/>
        </w:rPr>
      </w:pPr>
    </w:p>
    <w:p>
      <w:pPr>
        <w:jc w:val="both"/>
        <w:ind w:left="960"/>
        <w:spacing w:after="0" w:line="258"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Employee hereby expressly waives and relinquishes all rights and benefits under that section and any law of any jurisdiction of similar effect with respect to the release of any claims herein.</w:t>
      </w:r>
    </w:p>
    <w:p>
      <w:pPr>
        <w:spacing w:after="0" w:line="142" w:lineRule="exact"/>
        <w:rPr>
          <w:sz w:val="20"/>
          <w:szCs w:val="20"/>
          <w:color w:val="auto"/>
        </w:rPr>
      </w:pPr>
    </w:p>
    <w:p>
      <w:pPr>
        <w:ind w:firstLine="405"/>
        <w:spacing w:after="0" w:line="277" w:lineRule="auto"/>
        <w:tabs>
          <w:tab w:leader="none" w:pos="6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acknowledges and agrees that the Covenant not to Sue set forth in Section 4(d) of the Separation Agreement applies to all Claims released pursuant to this Second Release.</w:t>
      </w:r>
    </w:p>
    <w:p>
      <w:pPr>
        <w:sectPr>
          <w:pgSz w:w="11900" w:h="16838" w:orient="portrait"/>
          <w:cols w:equalWidth="0" w:num="1">
            <w:col w:w="11260"/>
          </w:cols>
          <w:pgMar w:left="320" w:top="323"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929292"/>
        </w:rPr>
        <w:t>B-3</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405"/>
        <w:spacing w:after="0" w:line="251" w:lineRule="auto"/>
        <w:tabs>
          <w:tab w:leader="none" w:pos="5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nothing in this Second Release shall constitute a release of any rights of Employee that are preserved pursuant to Section 3 or 4(b) of the Separation Agreement, and nothing herein shall prohibit or restrict Employee from taking any actions permitted by Section 6(e) of the Separation Agreement. In addition, nothing in this Second Release shall prohibit or restrict Employee from challenging the knowing and voluntary nature of Employee’s release of claims under the ADEA pursuant to the Older Workers Benefit Protection Act.</w:t>
      </w:r>
    </w:p>
    <w:p>
      <w:pPr>
        <w:spacing w:after="0" w:line="166" w:lineRule="exact"/>
        <w:rPr>
          <w:rFonts w:ascii="Times New Roman" w:cs="Times New Roman" w:eastAsia="Times New Roman" w:hAnsi="Times New Roman"/>
          <w:sz w:val="18"/>
          <w:szCs w:val="18"/>
          <w:color w:val="auto"/>
        </w:rPr>
      </w:pPr>
    </w:p>
    <w:p>
      <w:pPr>
        <w:jc w:val="both"/>
        <w:ind w:firstLine="405"/>
        <w:spacing w:after="0" w:line="241" w:lineRule="auto"/>
        <w:tabs>
          <w:tab w:leader="none" w:pos="8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before signing this Second Release, Employee was given at least 21 days in which to consider this Second Release. Employee waives any right Employee might have to additional time within which to consider this Second Release. Employee further acknowledges that: (1) Employee took advantage of the time Employee was given to consider this Second Release before signing it; (2) Employee carefully read this Second Release; (3) Employee fully understands it; (4) Employee is entering into it voluntarily; (5) Employee is receiving valuable consideration in exchange for Employee’s execution of this Second Release that Employee would not otherwise be entitled to receive; (6) the Company, by this writing, encouraged Employee to discuss this Second Release with Employee’s attorney (at Employee’s own expense) before signing it, and that Employee did so to the extent Employee deemed appropriate; and (7) any changes made to this Second Release, whether material or immaterial, will not restart the 21 day consideration period. Employee understands that Employee is entitled to revoke this Second Release, in writing, within 7 days once Employee signs it. Such revocation must be delivered to the Company as provided herein within the 7 day period, in which case Employee will receive no benefits pursuant to Appendix A of the Separation Agreement. If Employee does not revoke this Second Release, it will become enforceable on the eighth day after Employee signs it. The Company need not sign this Second Release for it to become effective and irrevocable.</w:t>
      </w:r>
    </w:p>
    <w:p>
      <w:pPr>
        <w:spacing w:after="0" w:line="38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ectPr>
          <w:pgSz w:w="11900" w:h="16838" w:orient="portrait"/>
          <w:cols w:equalWidth="0" w:num="1">
            <w:col w:w="11260"/>
          </w:cols>
          <w:pgMar w:left="320" w:top="323" w:right="3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929292"/>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603885</wp:posOffset>
            </wp:positionV>
            <wp:extent cx="7167245" cy="2345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234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YOU MAY NOT MAKE ANY CHANGES TO THE TERMS OF THIS SECOND RELEASE.</w:t>
      </w:r>
    </w:p>
    <w:p>
      <w:pPr>
        <w:spacing w:after="0" w:line="183" w:lineRule="exact"/>
        <w:rPr>
          <w:sz w:val="20"/>
          <w:szCs w:val="20"/>
          <w:color w:val="auto"/>
        </w:rPr>
      </w:pPr>
    </w:p>
    <w:p>
      <w:pPr>
        <w:ind w:left="20" w:right="40"/>
        <w:spacing w:after="0" w:line="235" w:lineRule="auto"/>
        <w:rPr>
          <w:sz w:val="20"/>
          <w:szCs w:val="20"/>
          <w:color w:val="auto"/>
        </w:rPr>
      </w:pPr>
      <w:r>
        <w:rPr>
          <w:rFonts w:ascii="Times New Roman" w:cs="Times New Roman" w:eastAsia="Times New Roman" w:hAnsi="Times New Roman"/>
          <w:sz w:val="18"/>
          <w:szCs w:val="18"/>
          <w:b w:val="1"/>
          <w:bCs w:val="1"/>
          <w:color w:val="auto"/>
        </w:rPr>
        <w:t>BEFORE SIGNING THIS SECOND RELEASE, TAKE IT HOME, READ IT, AND CAREFULLY CONSIDER IT. IF YOU CHOOSE, DISCUSS IT WITH YOUR ATTORNEY (AT YOUR OWN EXPENSE). YOU HAVE 21 DAYS TO CONSIDER THIS AGREEMENT. IF YOU DO NOT SIGN AND RETURN THIS AGREEMENT WITHIN THIS 21-DAY PERIOD, IT AUTOMATICALLY EXPIRES.</w:t>
      </w:r>
    </w:p>
    <w:p>
      <w:pPr>
        <w:spacing w:after="0" w:line="149" w:lineRule="exact"/>
        <w:rPr>
          <w:sz w:val="20"/>
          <w:szCs w:val="20"/>
          <w:color w:val="auto"/>
        </w:rPr>
      </w:pPr>
    </w:p>
    <w:p>
      <w:pPr>
        <w:ind w:left="20" w:right="160"/>
        <w:spacing w:after="0" w:line="255" w:lineRule="auto"/>
        <w:rPr>
          <w:sz w:val="20"/>
          <w:szCs w:val="20"/>
          <w:color w:val="auto"/>
        </w:rPr>
      </w:pPr>
      <w:r>
        <w:rPr>
          <w:rFonts w:ascii="Times New Roman" w:cs="Times New Roman" w:eastAsia="Times New Roman" w:hAnsi="Times New Roman"/>
          <w:sz w:val="18"/>
          <w:szCs w:val="18"/>
          <w:b w:val="1"/>
          <w:bCs w:val="1"/>
          <w:color w:val="auto"/>
        </w:rPr>
        <w:t>ONCE YOU SIGN THIS AGREEMENT, YOU WILL HAVE AN ADDITIONAL 7 DAYS TO REVOKE IT. IF YOU CHOOSE TO REVOKE THIS AGREEMENT, YOU MUST DELIVER A WRITTEN NOTICE OF REVOCATION TO:</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CHIEF LEGAL OFFICER</w:t>
      </w:r>
    </w:p>
    <w:p>
      <w:pPr>
        <w:ind w:left="560"/>
        <w:spacing w:after="0" w:line="213" w:lineRule="auto"/>
        <w:rPr>
          <w:sz w:val="20"/>
          <w:szCs w:val="20"/>
          <w:color w:val="auto"/>
        </w:rPr>
      </w:pPr>
      <w:r>
        <w:rPr>
          <w:rFonts w:ascii="Times New Roman" w:cs="Times New Roman" w:eastAsia="Times New Roman" w:hAnsi="Times New Roman"/>
          <w:sz w:val="18"/>
          <w:szCs w:val="18"/>
          <w:i w:val="1"/>
          <w:iCs w:val="1"/>
          <w:color w:val="auto"/>
        </w:rPr>
        <w:t>FACTSET RESEARCH SYSTEMS INC.</w:t>
      </w:r>
    </w:p>
    <w:p>
      <w:pPr>
        <w:ind w:left="560"/>
        <w:spacing w:after="0"/>
        <w:rPr>
          <w:sz w:val="20"/>
          <w:szCs w:val="20"/>
          <w:color w:val="auto"/>
        </w:rPr>
      </w:pPr>
      <w:r>
        <w:rPr>
          <w:rFonts w:ascii="Times New Roman" w:cs="Times New Roman" w:eastAsia="Times New Roman" w:hAnsi="Times New Roman"/>
          <w:sz w:val="18"/>
          <w:szCs w:val="18"/>
          <w:i w:val="1"/>
          <w:iCs w:val="1"/>
          <w:color w:val="auto"/>
        </w:rPr>
        <w:t>45 GLOVER AVENUE, NORWALK, CT 06850</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BY SIGNING THIS AGREEMENT, YOU WILL BE WAIVING YOUR KNOWN AND UNKNOWN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at Norwalk, Connecticut, this [●]th day of [●], 20[●], and signed under penalty of perjury under the laws of the state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589915</wp:posOffset>
            </wp:positionV>
            <wp:extent cx="23475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475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458470</wp:posOffset>
            </wp:positionV>
            <wp:extent cx="23475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475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60"/>
          </w:cols>
          <w:pgMar w:left="320" w:top="323" w:right="3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60" w:lineRule="exact"/>
        <w:rPr>
          <w:sz w:val="20"/>
          <w:szCs w:val="20"/>
          <w:color w:val="auto"/>
        </w:rPr>
      </w:pPr>
    </w:p>
    <w:p>
      <w:pPr>
        <w:jc w:val="center"/>
        <w:ind w:right="12"/>
        <w:spacing w:after="0" w:line="276" w:lineRule="auto"/>
        <w:rPr>
          <w:sz w:val="20"/>
          <w:szCs w:val="20"/>
          <w:color w:val="auto"/>
        </w:rPr>
      </w:pPr>
      <w:r>
        <w:rPr>
          <w:rFonts w:ascii="Times New Roman" w:cs="Times New Roman" w:eastAsia="Times New Roman" w:hAnsi="Times New Roman"/>
          <w:sz w:val="15"/>
          <w:szCs w:val="15"/>
          <w:b w:val="1"/>
          <w:bCs w:val="1"/>
          <w:color w:val="auto"/>
        </w:rPr>
        <w:t>CERTIFICATION OF PRINCIPAL EXECUTIVE OFFICER PURSUANT TO EXCHANGE ACT RULE 13a-14(a)/15d-14(a) AS ADOPTED PURSUANT TO SECTION 302 OF THE SARBANES-OXLEY ACT OF 2002</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 F. Philip Snow, certify that:</w:t>
      </w:r>
    </w:p>
    <w:p>
      <w:pPr>
        <w:spacing w:after="0" w:line="160" w:lineRule="exact"/>
        <w:rPr>
          <w:sz w:val="20"/>
          <w:szCs w:val="20"/>
          <w:color w:val="auto"/>
        </w:rPr>
      </w:pPr>
    </w:p>
    <w:p>
      <w:pPr>
        <w:ind w:left="408" w:hanging="408"/>
        <w:spacing w:after="0"/>
        <w:tabs>
          <w:tab w:leader="none" w:pos="40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FactSet Research Systems Inc.;</w:t>
      </w:r>
    </w:p>
    <w:p>
      <w:pPr>
        <w:spacing w:after="0" w:line="160" w:lineRule="exact"/>
        <w:rPr>
          <w:rFonts w:ascii="Times New Roman" w:cs="Times New Roman" w:eastAsia="Times New Roman" w:hAnsi="Times New Roman"/>
          <w:sz w:val="15"/>
          <w:szCs w:val="15"/>
          <w:color w:val="auto"/>
        </w:rPr>
      </w:pPr>
    </w:p>
    <w:p>
      <w:pPr>
        <w:ind w:left="408" w:hanging="408"/>
        <w:spacing w:after="0" w:line="291" w:lineRule="auto"/>
        <w:tabs>
          <w:tab w:leader="none" w:pos="40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5"/>
          <w:szCs w:val="15"/>
          <w:color w:val="auto"/>
        </w:rPr>
      </w:pPr>
    </w:p>
    <w:p>
      <w:pPr>
        <w:ind w:left="408" w:hanging="408"/>
        <w:spacing w:after="0" w:line="291" w:lineRule="auto"/>
        <w:tabs>
          <w:tab w:leader="none" w:pos="40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5"/>
          <w:szCs w:val="15"/>
          <w:color w:val="auto"/>
        </w:rPr>
      </w:pPr>
    </w:p>
    <w:p>
      <w:pPr>
        <w:ind w:left="408" w:right="20" w:hanging="408"/>
        <w:spacing w:after="0" w:line="291" w:lineRule="auto"/>
        <w:tabs>
          <w:tab w:leader="none" w:pos="40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5"/>
          <w:szCs w:val="15"/>
          <w:color w:val="auto"/>
        </w:rPr>
      </w:pPr>
    </w:p>
    <w:p>
      <w:pPr>
        <w:jc w:val="both"/>
        <w:ind w:left="828" w:hanging="415"/>
        <w:spacing w:after="0" w:line="273" w:lineRule="auto"/>
        <w:tabs>
          <w:tab w:leader="none" w:pos="821"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5"/>
          <w:szCs w:val="15"/>
          <w:color w:val="auto"/>
        </w:rPr>
      </w:pPr>
    </w:p>
    <w:p>
      <w:pPr>
        <w:jc w:val="both"/>
        <w:ind w:left="828" w:hanging="415"/>
        <w:spacing w:after="0" w:line="273" w:lineRule="auto"/>
        <w:tabs>
          <w:tab w:leader="none" w:pos="818"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5"/>
          <w:szCs w:val="15"/>
          <w:color w:val="auto"/>
        </w:rPr>
      </w:pPr>
    </w:p>
    <w:p>
      <w:pPr>
        <w:ind w:left="828" w:right="20" w:hanging="415"/>
        <w:spacing w:after="0" w:line="291" w:lineRule="auto"/>
        <w:tabs>
          <w:tab w:leader="none" w:pos="821"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97" w:lineRule="exact"/>
        <w:rPr>
          <w:rFonts w:ascii="Times New Roman" w:cs="Times New Roman" w:eastAsia="Times New Roman" w:hAnsi="Times New Roman"/>
          <w:sz w:val="15"/>
          <w:szCs w:val="15"/>
          <w:color w:val="auto"/>
        </w:rPr>
      </w:pPr>
    </w:p>
    <w:p>
      <w:pPr>
        <w:ind w:left="828" w:right="20" w:hanging="415"/>
        <w:spacing w:after="0" w:line="291" w:lineRule="auto"/>
        <w:tabs>
          <w:tab w:leader="none" w:pos="818"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09" w:lineRule="exact"/>
        <w:rPr>
          <w:rFonts w:ascii="Times New Roman" w:cs="Times New Roman" w:eastAsia="Times New Roman" w:hAnsi="Times New Roman"/>
          <w:sz w:val="15"/>
          <w:szCs w:val="15"/>
          <w:color w:val="auto"/>
        </w:rPr>
      </w:pPr>
    </w:p>
    <w:p>
      <w:pPr>
        <w:ind w:left="408" w:hanging="408"/>
        <w:spacing w:after="0" w:line="291" w:lineRule="auto"/>
        <w:tabs>
          <w:tab w:leader="none" w:pos="40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Times New Roman" w:cs="Times New Roman" w:eastAsia="Times New Roman" w:hAnsi="Times New Roman"/>
          <w:sz w:val="15"/>
          <w:szCs w:val="15"/>
          <w:color w:val="auto"/>
        </w:rPr>
      </w:pPr>
    </w:p>
    <w:p>
      <w:pPr>
        <w:ind w:left="828" w:right="20" w:hanging="415"/>
        <w:spacing w:after="0" w:line="291" w:lineRule="auto"/>
        <w:tabs>
          <w:tab w:leader="none" w:pos="821"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5"/>
          <w:szCs w:val="15"/>
          <w:color w:val="auto"/>
        </w:rPr>
      </w:pPr>
    </w:p>
    <w:p>
      <w:pPr>
        <w:ind w:left="148" w:right="40" w:firstLine="265"/>
        <w:spacing w:after="0" w:line="558" w:lineRule="auto"/>
        <w:tabs>
          <w:tab w:leader="none" w:pos="811"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any significant role in the registrant’s internal control over financial reporting. Date: July 3, 2024</w:t>
      </w:r>
    </w:p>
    <w:p>
      <w:pPr>
        <w:spacing w:after="0" w:line="1"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5"/>
          <w:szCs w:val="15"/>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16510</wp:posOffset>
            </wp:positionV>
            <wp:extent cx="348170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81705" cy="6985"/>
                    </a:xfrm>
                    <a:prstGeom prst="rect">
                      <a:avLst/>
                    </a:prstGeom>
                    <a:noFill/>
                  </pic:spPr>
                </pic:pic>
              </a:graphicData>
            </a:graphic>
          </wp:anchor>
        </w:drawing>
      </w:r>
    </w:p>
    <w:p>
      <w:pPr>
        <w:spacing w:after="0" w:line="14"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5"/>
          <w:szCs w:val="15"/>
          <w:color w:val="auto"/>
        </w:rPr>
        <w:t>F. Philip Snow</w:t>
      </w:r>
    </w:p>
    <w:p>
      <w:pPr>
        <w:spacing w:after="0" w:line="2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5"/>
          <w:szCs w:val="15"/>
          <w:color w:val="auto"/>
        </w:rPr>
        <w:t>Chief Executive Officer</w:t>
      </w:r>
    </w:p>
    <w:p>
      <w:pPr>
        <w:sectPr>
          <w:pgSz w:w="11900" w:h="16838" w:orient="portrait"/>
          <w:cols w:equalWidth="0" w:num="1">
            <w:col w:w="11268"/>
          </w:cols>
          <w:pgMar w:left="312" w:top="775" w:right="3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72" w:lineRule="exact"/>
        <w:rPr>
          <w:sz w:val="20"/>
          <w:szCs w:val="20"/>
          <w:color w:val="auto"/>
        </w:rPr>
      </w:pPr>
    </w:p>
    <w:p>
      <w:pPr>
        <w:jc w:val="center"/>
        <w:ind w:right="12"/>
        <w:spacing w:after="0" w:line="276" w:lineRule="auto"/>
        <w:rPr>
          <w:sz w:val="20"/>
          <w:szCs w:val="20"/>
          <w:color w:val="auto"/>
        </w:rPr>
      </w:pPr>
      <w:r>
        <w:rPr>
          <w:rFonts w:ascii="Times New Roman" w:cs="Times New Roman" w:eastAsia="Times New Roman" w:hAnsi="Times New Roman"/>
          <w:sz w:val="15"/>
          <w:szCs w:val="15"/>
          <w:b w:val="1"/>
          <w:bCs w:val="1"/>
          <w:color w:val="auto"/>
        </w:rPr>
        <w:t>CERTIFICATION OF PRINCIPAL FINANCIAL OFFICER PURSUANT TO EXCHANGE ACT RULE 13a-14(a)/15d-14(a) AS ADOPTED PURSUANT TO SECTION 302 OF THE SARBANES-OXLEY ACT OF 2002</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 Linda S. Huber, certify that:</w:t>
      </w:r>
    </w:p>
    <w:p>
      <w:pPr>
        <w:spacing w:after="0" w:line="160" w:lineRule="exact"/>
        <w:rPr>
          <w:sz w:val="20"/>
          <w:szCs w:val="20"/>
          <w:color w:val="auto"/>
        </w:rPr>
      </w:pPr>
    </w:p>
    <w:p>
      <w:pPr>
        <w:ind w:left="408" w:hanging="408"/>
        <w:spacing w:after="0"/>
        <w:tabs>
          <w:tab w:leader="none" w:pos="40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FactSet Research Systems Inc.;</w:t>
      </w:r>
    </w:p>
    <w:p>
      <w:pPr>
        <w:spacing w:after="0" w:line="171" w:lineRule="exact"/>
        <w:rPr>
          <w:rFonts w:ascii="Times New Roman" w:cs="Times New Roman" w:eastAsia="Times New Roman" w:hAnsi="Times New Roman"/>
          <w:sz w:val="15"/>
          <w:szCs w:val="15"/>
          <w:color w:val="auto"/>
        </w:rPr>
      </w:pPr>
    </w:p>
    <w:p>
      <w:pPr>
        <w:ind w:left="408" w:hanging="408"/>
        <w:spacing w:after="0" w:line="291" w:lineRule="auto"/>
        <w:tabs>
          <w:tab w:leader="none" w:pos="40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Times New Roman" w:cs="Times New Roman" w:eastAsia="Times New Roman" w:hAnsi="Times New Roman"/>
          <w:sz w:val="15"/>
          <w:szCs w:val="15"/>
          <w:color w:val="auto"/>
        </w:rPr>
      </w:pPr>
    </w:p>
    <w:p>
      <w:pPr>
        <w:ind w:left="408" w:hanging="408"/>
        <w:spacing w:after="0" w:line="291" w:lineRule="auto"/>
        <w:tabs>
          <w:tab w:leader="none" w:pos="40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5"/>
          <w:szCs w:val="15"/>
          <w:color w:val="auto"/>
        </w:rPr>
      </w:pPr>
    </w:p>
    <w:p>
      <w:pPr>
        <w:ind w:left="408" w:right="20" w:hanging="408"/>
        <w:spacing w:after="0" w:line="291" w:lineRule="auto"/>
        <w:tabs>
          <w:tab w:leader="none" w:pos="40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5"/>
          <w:szCs w:val="15"/>
          <w:color w:val="auto"/>
        </w:rPr>
      </w:pPr>
    </w:p>
    <w:p>
      <w:pPr>
        <w:jc w:val="both"/>
        <w:ind w:left="828" w:hanging="415"/>
        <w:spacing w:after="0" w:line="273" w:lineRule="auto"/>
        <w:tabs>
          <w:tab w:leader="none" w:pos="821"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5"/>
          <w:szCs w:val="15"/>
          <w:color w:val="auto"/>
        </w:rPr>
      </w:pPr>
    </w:p>
    <w:p>
      <w:pPr>
        <w:jc w:val="both"/>
        <w:ind w:left="828" w:hanging="415"/>
        <w:spacing w:after="0" w:line="273" w:lineRule="auto"/>
        <w:tabs>
          <w:tab w:leader="none" w:pos="818"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5"/>
          <w:szCs w:val="15"/>
          <w:color w:val="auto"/>
        </w:rPr>
      </w:pPr>
    </w:p>
    <w:p>
      <w:pPr>
        <w:ind w:left="828" w:right="20" w:hanging="415"/>
        <w:spacing w:after="0" w:line="291" w:lineRule="auto"/>
        <w:tabs>
          <w:tab w:leader="none" w:pos="821"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09" w:lineRule="exact"/>
        <w:rPr>
          <w:rFonts w:ascii="Times New Roman" w:cs="Times New Roman" w:eastAsia="Times New Roman" w:hAnsi="Times New Roman"/>
          <w:sz w:val="15"/>
          <w:szCs w:val="15"/>
          <w:color w:val="auto"/>
        </w:rPr>
      </w:pPr>
    </w:p>
    <w:p>
      <w:pPr>
        <w:ind w:left="828" w:right="20" w:hanging="415"/>
        <w:spacing w:after="0" w:line="291" w:lineRule="auto"/>
        <w:tabs>
          <w:tab w:leader="none" w:pos="818"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7" w:lineRule="exact"/>
        <w:rPr>
          <w:rFonts w:ascii="Times New Roman" w:cs="Times New Roman" w:eastAsia="Times New Roman" w:hAnsi="Times New Roman"/>
          <w:sz w:val="15"/>
          <w:szCs w:val="15"/>
          <w:color w:val="auto"/>
        </w:rPr>
      </w:pPr>
    </w:p>
    <w:p>
      <w:pPr>
        <w:ind w:left="408" w:hanging="408"/>
        <w:spacing w:after="0" w:line="291" w:lineRule="auto"/>
        <w:tabs>
          <w:tab w:leader="none" w:pos="40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Times New Roman" w:cs="Times New Roman" w:eastAsia="Times New Roman" w:hAnsi="Times New Roman"/>
          <w:sz w:val="15"/>
          <w:szCs w:val="15"/>
          <w:color w:val="auto"/>
        </w:rPr>
      </w:pPr>
    </w:p>
    <w:p>
      <w:pPr>
        <w:ind w:left="828" w:right="20" w:hanging="415"/>
        <w:spacing w:after="0" w:line="291" w:lineRule="auto"/>
        <w:tabs>
          <w:tab w:leader="none" w:pos="821"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Times New Roman" w:cs="Times New Roman" w:eastAsia="Times New Roman" w:hAnsi="Times New Roman"/>
          <w:sz w:val="15"/>
          <w:szCs w:val="15"/>
          <w:color w:val="auto"/>
        </w:rPr>
      </w:pPr>
    </w:p>
    <w:p>
      <w:pPr>
        <w:ind w:left="108" w:right="40" w:firstLine="305"/>
        <w:spacing w:after="0" w:line="546" w:lineRule="auto"/>
        <w:tabs>
          <w:tab w:leader="none" w:pos="822"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any significant role in the registrant’s internal control over financial reporting. Date: July 3, 2024</w:t>
      </w:r>
    </w:p>
    <w:p>
      <w:pPr>
        <w:spacing w:after="0" w:line="7"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5"/>
          <w:szCs w:val="15"/>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16510</wp:posOffset>
            </wp:positionV>
            <wp:extent cx="348170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81705" cy="6985"/>
                    </a:xfrm>
                    <a:prstGeom prst="rect">
                      <a:avLst/>
                    </a:prstGeom>
                    <a:noFill/>
                  </pic:spPr>
                </pic:pic>
              </a:graphicData>
            </a:graphic>
          </wp:anchor>
        </w:drawing>
      </w:r>
    </w:p>
    <w:p>
      <w:pPr>
        <w:spacing w:after="0" w:line="14"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5"/>
          <w:szCs w:val="15"/>
          <w:color w:val="auto"/>
        </w:rPr>
        <w:t>Linda S. Huber</w:t>
      </w:r>
    </w:p>
    <w:p>
      <w:pPr>
        <w:spacing w:after="0" w:line="26"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5"/>
          <w:szCs w:val="15"/>
          <w:color w:val="auto"/>
        </w:rPr>
        <w:t>Executive Vice President, Chief Financial Officer</w:t>
      </w:r>
    </w:p>
    <w:p>
      <w:pPr>
        <w:spacing w:after="0" w:line="23"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5"/>
          <w:szCs w:val="15"/>
          <w:color w:val="auto"/>
        </w:rPr>
        <w:t>(Principal Financial Officer)</w:t>
      </w:r>
    </w:p>
    <w:p>
      <w:pPr>
        <w:sectPr>
          <w:pgSz w:w="11900" w:h="16838" w:orient="portrait"/>
          <w:cols w:equalWidth="0" w:num="1">
            <w:col w:w="11268"/>
          </w:cols>
          <w:pgMar w:left="312" w:top="924" w:right="3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PRINCIPAL EXECUTIVE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57"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15"/>
          <w:szCs w:val="15"/>
          <w:color w:val="auto"/>
        </w:rPr>
        <w:t>In connection with the Quarterly Report of FactSet Research Systems Inc. (the “Company”) on Form 10-Q for the quarter ended May 31, 2024, as filed with the Securities and Exchange Commission on the date hereof (the “Report”), I, F. Philip Snow, do hereby certify, pursuant to 18 U.S.C. §1350, as adopted pursuant to §906 of the Sarbanes-Oxley Act of 2002, that:</w:t>
      </w:r>
    </w:p>
    <w:p>
      <w:pPr>
        <w:spacing w:after="0" w:line="111" w:lineRule="exact"/>
        <w:rPr>
          <w:sz w:val="20"/>
          <w:szCs w:val="20"/>
          <w:color w:val="auto"/>
        </w:rPr>
      </w:pPr>
    </w:p>
    <w:p>
      <w:pPr>
        <w:ind w:left="820" w:hanging="278"/>
        <w:spacing w:after="0"/>
        <w:tabs>
          <w:tab w:leader="none" w:pos="82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60" w:lineRule="exact"/>
        <w:rPr>
          <w:rFonts w:ascii="Times New Roman" w:cs="Times New Roman" w:eastAsia="Times New Roman" w:hAnsi="Times New Roman"/>
          <w:sz w:val="15"/>
          <w:szCs w:val="15"/>
          <w:color w:val="auto"/>
        </w:rPr>
      </w:pPr>
    </w:p>
    <w:p>
      <w:pPr>
        <w:ind w:left="820" w:hanging="278"/>
        <w:spacing w:after="0"/>
        <w:tabs>
          <w:tab w:leader="none" w:pos="82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16510</wp:posOffset>
            </wp:positionV>
            <wp:extent cx="348170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81705" cy="698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F. Philip Snow</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July 3, 2024</w:t>
      </w:r>
    </w:p>
    <w:p>
      <w:pPr>
        <w:sectPr>
          <w:pgSz w:w="11900" w:h="16838" w:orient="portrait"/>
          <w:cols w:equalWidth="0" w:num="1">
            <w:col w:w="11260"/>
          </w:cols>
          <w:pgMar w:left="320" w:top="775"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PRINCIPAL FINANCIAL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57" w:lineRule="exact"/>
        <w:rPr>
          <w:sz w:val="20"/>
          <w:szCs w:val="20"/>
          <w:color w:val="auto"/>
        </w:rPr>
      </w:pPr>
    </w:p>
    <w:p>
      <w:pPr>
        <w:jc w:val="both"/>
        <w:ind w:firstLine="551"/>
        <w:spacing w:after="0" w:line="273" w:lineRule="auto"/>
        <w:rPr>
          <w:sz w:val="20"/>
          <w:szCs w:val="20"/>
          <w:color w:val="auto"/>
        </w:rPr>
      </w:pPr>
      <w:r>
        <w:rPr>
          <w:rFonts w:ascii="Times New Roman" w:cs="Times New Roman" w:eastAsia="Times New Roman" w:hAnsi="Times New Roman"/>
          <w:sz w:val="15"/>
          <w:szCs w:val="15"/>
          <w:color w:val="auto"/>
        </w:rPr>
        <w:t>In connection with the Quarterly Report of FactSet Research Systems Inc. (the “Company”) on Form 10-Q for the quarter ended May 31, 2024, as filed with the Securities and Exchange Commission on the date hereof (the “Report”), I, Linda S. Huber, do hereby certify, pursuant to 18 U.S.C. §1350, as adopted pursuant to §906 of the Sarbanes-Oxley Act of 2002, that:</w:t>
      </w:r>
    </w:p>
    <w:p>
      <w:pPr>
        <w:spacing w:after="0" w:line="111" w:lineRule="exact"/>
        <w:rPr>
          <w:sz w:val="20"/>
          <w:szCs w:val="20"/>
          <w:color w:val="auto"/>
        </w:rPr>
      </w:pPr>
    </w:p>
    <w:p>
      <w:pPr>
        <w:ind w:left="820" w:hanging="278"/>
        <w:spacing w:after="0"/>
        <w:tabs>
          <w:tab w:leader="none" w:pos="82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60" w:lineRule="exact"/>
        <w:rPr>
          <w:rFonts w:ascii="Times New Roman" w:cs="Times New Roman" w:eastAsia="Times New Roman" w:hAnsi="Times New Roman"/>
          <w:sz w:val="15"/>
          <w:szCs w:val="15"/>
          <w:color w:val="auto"/>
        </w:rPr>
      </w:pPr>
    </w:p>
    <w:p>
      <w:pPr>
        <w:ind w:left="820" w:hanging="278"/>
        <w:spacing w:after="0"/>
        <w:tabs>
          <w:tab w:leader="none" w:pos="82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16510</wp:posOffset>
            </wp:positionV>
            <wp:extent cx="348170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81705" cy="6985"/>
                    </a:xfrm>
                    <a:prstGeom prst="rect">
                      <a:avLst/>
                    </a:prstGeom>
                    <a:noFill/>
                  </pic:spPr>
                </pic:pic>
              </a:graphicData>
            </a:graphic>
          </wp:anchor>
        </w:drawing>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Linda S. Huber</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Executive Vice President, Chief Financial Officer</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(Principal Financial Officer)</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July 3, 2024</w:t>
      </w:r>
    </w:p>
    <w:sectPr>
      <w:pgSz w:w="11900" w:h="16838" w:orient="portrait"/>
      <w:cols w:equalWidth="0" w:num="1">
        <w:col w:w="11260"/>
      </w:cols>
      <w:pgMar w:left="320" w:top="77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x"/>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4"/>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1)"/>
      <w:numFmt w:val="decimal"/>
      <w:start w:val="2"/>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endash "/>
      <w:numFmt w:val="bullet"/>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lowerRoman"/>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Roman"/>
      <w:start w:val="1"/>
    </w:lvl>
  </w:abstractNum>
  <w:abstractNum w:abstractNumId="29">
    <w:nsid w:val="374A3FE6"/>
    <w:multiLevelType w:val="hybridMultilevel"/>
    <w:lvl w:ilvl="0">
      <w:lvlJc w:val="left"/>
      <w:lvlText w:val="(%1)"/>
      <w:numFmt w:val="lowerLetter"/>
      <w:start w:val="6"/>
    </w:lvl>
  </w:abstractNum>
  <w:abstractNum w:abstractNumId="30">
    <w:nsid w:val="4F4EF005"/>
    <w:multiLevelType w:val="hybridMultilevel"/>
    <w:lvl w:ilvl="0">
      <w:lvlJc w:val="left"/>
      <w:lvlText w:val="(%1)"/>
      <w:numFmt w:val="lowerRoman"/>
      <w:start w:val="2"/>
    </w:lvl>
  </w:abstractNum>
  <w:abstractNum w:abstractNumId="31">
    <w:nsid w:val="23F9C13C"/>
    <w:multiLevelType w:val="hybridMultilevel"/>
    <w:lvl w:ilvl="0">
      <w:lvlJc w:val="left"/>
      <w:lvlText w:val="(%1)"/>
      <w:numFmt w:val="lowerLetter"/>
      <w:start w:val="16"/>
    </w:lvl>
  </w:abstractNum>
  <w:abstractNum w:abstractNumId="32">
    <w:nsid w:val="649BB77C"/>
    <w:multiLevelType w:val="hybridMultilevel"/>
    <w:lvl w:ilvl="0">
      <w:lvlJc w:val="left"/>
      <w:lvlText w:val="(%1)"/>
      <w:numFmt w:val="lowerLetter"/>
      <w:start w:val="17"/>
    </w:lvl>
  </w:abstractNum>
  <w:abstractNum w:abstractNumId="33">
    <w:nsid w:val="275AC794"/>
    <w:multiLevelType w:val="hybridMultilevel"/>
    <w:lvl w:ilvl="0">
      <w:lvlJc w:val="left"/>
      <w:lvlText w:val="(%1)"/>
      <w:numFmt w:val="lowerRoman"/>
      <w:start w:val="1"/>
    </w:lvl>
  </w:abstractNum>
  <w:abstractNum w:abstractNumId="34">
    <w:nsid w:val="39386575"/>
    <w:multiLevelType w:val="hybridMultilevel"/>
    <w:lvl w:ilvl="0">
      <w:lvlJc w:val="left"/>
      <w:lvlText w:val="(%1)"/>
      <w:numFmt w:val="lowerLetter"/>
      <w:start w:val="18"/>
    </w:lvl>
  </w:abstractNum>
  <w:abstractNum w:abstractNumId="35">
    <w:nsid w:val="1CF10FD8"/>
    <w:multiLevelType w:val="hybridMultilevel"/>
    <w:lvl w:ilvl="0">
      <w:lvlJc w:val="left"/>
      <w:lvlText w:val="(%1)"/>
      <w:numFmt w:val="lowerLetter"/>
      <w:start w:val="21"/>
    </w:lvl>
  </w:abstractNum>
  <w:abstractNum w:abstractNumId="36">
    <w:nsid w:val="180115BE"/>
    <w:multiLevelType w:val="hybridMultilevel"/>
    <w:lvl w:ilvl="0">
      <w:lvlJc w:val="left"/>
      <w:lvlText w:val="(%1)"/>
      <w:numFmt w:val="lowerLetter"/>
      <w:start w:val="25"/>
    </w:lvl>
  </w:abstractNum>
  <w:abstractNum w:abstractNumId="37">
    <w:nsid w:val="235BA861"/>
    <w:multiLevelType w:val="hybridMultilevel"/>
    <w:lvl w:ilvl="0">
      <w:lvlJc w:val="left"/>
      <w:lvlText w:val="(%1)"/>
      <w:numFmt w:val="lowerRoman"/>
      <w:start w:val="1"/>
    </w:lvl>
  </w:abstractNum>
  <w:abstractNum w:abstractNumId="38">
    <w:nsid w:val="47398C89"/>
    <w:multiLevelType w:val="hybridMultilevel"/>
    <w:lvl w:ilvl="0">
      <w:lvlJc w:val="left"/>
      <w:lvlText w:val="(%1)"/>
      <w:numFmt w:val="lowerLetter"/>
      <w:start w:val="26"/>
    </w:lvl>
  </w:abstractNum>
  <w:abstractNum w:abstractNumId="39">
    <w:nsid w:val="354FE9F9"/>
    <w:multiLevelType w:val="hybridMultilevel"/>
    <w:lvl w:ilvl="0">
      <w:lvlJc w:val="left"/>
      <w:lvlText w:val="(%1)"/>
      <w:numFmt w:val="lowerLetter"/>
      <w:start w:val="27"/>
    </w:lvl>
  </w:abstractNum>
  <w:abstractNum w:abstractNumId="40">
    <w:nsid w:val="15B5AF5C"/>
    <w:multiLevelType w:val="hybridMultilevel"/>
    <w:lvl w:ilvl="0">
      <w:lvlJc w:val="left"/>
      <w:lvlText w:val="(%1)"/>
      <w:numFmt w:val="lowerLetter"/>
      <w:start w:val="35"/>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Roman"/>
      <w:start w:val="1"/>
    </w:lvl>
  </w:abstractNum>
  <w:abstractNum w:abstractNumId="43">
    <w:nsid w:val="10233C99"/>
    <w:multiLevelType w:val="hybridMultilevel"/>
    <w:lvl w:ilvl="0">
      <w:lvlJc w:val="left"/>
      <w:lvlText w:val="(%1)"/>
      <w:numFmt w:val="lowerLetter"/>
      <w:start w:val="2"/>
    </w:lvl>
  </w:abstractNum>
  <w:abstractNum w:abstractNumId="44">
    <w:nsid w:val="3F6AB60F"/>
    <w:multiLevelType w:val="hybridMultilevel"/>
    <w:lvl w:ilvl="0">
      <w:lvlJc w:val="left"/>
      <w:lvlText w:val="(%1)"/>
      <w:numFmt w:val="lowerLetter"/>
      <w:start w:val="3"/>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Roman"/>
      <w:start w:val="1"/>
    </w:lvl>
  </w:abstractNum>
  <w:abstractNum w:abstractNumId="47">
    <w:nsid w:val="77AE35EB"/>
    <w:multiLevelType w:val="hybridMultilevel"/>
    <w:lvl w:ilvl="0">
      <w:lvlJc w:val="left"/>
      <w:lvlText w:val="(%1)"/>
      <w:numFmt w:val="lowerLetter"/>
      <w:start w:val="2"/>
    </w:lvl>
  </w:abstractNum>
  <w:abstractNum w:abstractNumId="48">
    <w:nsid w:val="579BE4F1"/>
    <w:multiLevelType w:val="hybridMultilevel"/>
    <w:lvl w:ilvl="0">
      <w:lvlJc w:val="left"/>
      <w:lvlText w:val="(%1)"/>
      <w:numFmt w:val="lowerLetter"/>
      <w:start w:val="4"/>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Roman"/>
      <w:start w:val="1"/>
    </w:lvl>
  </w:abstractNum>
  <w:abstractNum w:abstractNumId="51">
    <w:nsid w:val="2F305DEF"/>
    <w:multiLevelType w:val="hybridMultilevel"/>
    <w:lvl w:ilvl="0">
      <w:lvlJc w:val="left"/>
      <w:lvlText w:val="(%1)"/>
      <w:numFmt w:val="lowerLetter"/>
      <w:start w:val="3"/>
    </w:lvl>
  </w:abstractNum>
  <w:abstractNum w:abstractNumId="52">
    <w:nsid w:val="25A70BF7"/>
    <w:multiLevelType w:val="hybridMultilevel"/>
    <w:lvl w:ilvl="0">
      <w:lvlJc w:val="left"/>
      <w:lvlText w:val="(%1)"/>
      <w:numFmt w:val="lowerRoman"/>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3"/>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Roman"/>
      <w:start w:val="1"/>
    </w:lvl>
  </w:abstractNum>
  <w:abstractNum w:abstractNumId="57">
    <w:nsid w:val="5DB70AE5"/>
    <w:multiLevelType w:val="hybridMultilevel"/>
    <w:lvl w:ilvl="0">
      <w:lvlJc w:val="left"/>
      <w:lvlText w:val="(%1)"/>
      <w:numFmt w:val="lowerRoman"/>
      <w:start w:val="3"/>
    </w:lvl>
  </w:abstractNum>
  <w:abstractNum w:abstractNumId="58">
    <w:nsid w:val="100F8FCA"/>
    <w:multiLevelType w:val="hybridMultilevel"/>
    <w:lvl w:ilvl="0">
      <w:lvlJc w:val="left"/>
      <w:lvlText w:val="(%1)"/>
      <w:numFmt w:val="lowerLetter"/>
      <w:start w:val="2"/>
    </w:lvl>
  </w:abstractNum>
  <w:abstractNum w:abstractNumId="59">
    <w:nsid w:val="6590700B"/>
    <w:multiLevelType w:val="hybridMultilevel"/>
    <w:lvl w:ilvl="0">
      <w:lvlJc w:val="left"/>
      <w:lvlText w:val="(%1)"/>
      <w:numFmt w:val="lowerLetter"/>
      <w:start w:val="4"/>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2"/>
    </w:lvl>
  </w:abstractNum>
  <w:abstractNum w:abstractNumId="62">
    <w:nsid w:val="98A3148"/>
    <w:multiLevelType w:val="hybridMultilevel"/>
    <w:lvl w:ilvl="0">
      <w:lvlJc w:val="left"/>
      <w:lvlText w:val="%1"/>
      <w:numFmt w:val="lowerLetter"/>
      <w:start w:val="1"/>
    </w:lvl>
    <w:lvl w:ilvl="1">
      <w:lvlJc w:val="left"/>
      <w:lvlText w:val="(%2)"/>
      <w:numFmt w:val="lowerLetter"/>
      <w:start w:val="5"/>
    </w:lvl>
  </w:abstractNum>
  <w:abstractNum w:abstractNumId="63">
    <w:nsid w:val="799D0247"/>
    <w:multiLevelType w:val="hybridMultilevel"/>
    <w:lvl w:ilvl="0">
      <w:lvlJc w:val="left"/>
      <w:lvlText w:val="(%1)"/>
      <w:numFmt w:val="lowerLetter"/>
      <w:start w:val="61"/>
    </w:lvl>
    <w:lvl w:ilvl="1">
      <w:lvlJc w:val="left"/>
      <w:lvlText w:val="(%2)"/>
      <w:numFmt w:val="lowerLetter"/>
      <w:start w:val="6"/>
    </w:lvl>
  </w:abstractNum>
  <w:abstractNum w:abstractNumId="64">
    <w:nsid w:val="6B94764"/>
    <w:multiLevelType w:val="hybridMultilevel"/>
    <w:lvl w:ilvl="0">
      <w:lvlJc w:val="left"/>
      <w:lvlText w:val="(%1)"/>
      <w:numFmt w:val="lowerLetter"/>
      <w:start w:val="7"/>
    </w:lvl>
  </w:abstractNum>
  <w:abstractNum w:abstractNumId="65">
    <w:nsid w:val="42C296BD"/>
    <w:multiLevelType w:val="hybridMultilevel"/>
    <w:lvl w:ilvl="0">
      <w:lvlJc w:val="left"/>
      <w:lvlText w:val="(%1)"/>
      <w:numFmt w:val="lowerRoman"/>
      <w:start w:val="1"/>
    </w:lvl>
  </w:abstractNum>
  <w:abstractNum w:abstractNumId="66">
    <w:nsid w:val="168E121F"/>
    <w:multiLevelType w:val="hybridMultilevel"/>
    <w:lvl w:ilvl="0">
      <w:lvlJc w:val="left"/>
      <w:lvlText w:val="(%1)"/>
      <w:numFmt w:val="lowerRoman"/>
      <w:start w:val="2"/>
    </w:lvl>
  </w:abstractNum>
  <w:abstractNum w:abstractNumId="67">
    <w:nsid w:val="1EBA5D23"/>
    <w:multiLevelType w:val="hybridMultilevel"/>
    <w:lvl w:ilvl="0">
      <w:lvlJc w:val="left"/>
      <w:lvlText w:val="(%1)"/>
      <w:numFmt w:val="lowerLetter"/>
      <w:start w:val="10"/>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decimal"/>
      <w:start w:val="1"/>
    </w:lvl>
    <w:lvl w:ilvl="1">
      <w:lvlJc w:val="left"/>
      <w:lvlText w:val="(%2)"/>
      <w:numFmt w:val="lowerRoman"/>
      <w:start w:val="1"/>
    </w:lvl>
  </w:abstractNum>
  <w:abstractNum w:abstractNumId="70">
    <w:nsid w:val="540A471C"/>
    <w:multiLevelType w:val="hybridMultilevel"/>
    <w:lvl w:ilvl="0">
      <w:lvlJc w:val="left"/>
      <w:lvlText w:val="(%1)"/>
      <w:numFmt w:val="lowerRoman"/>
      <w:start w:val="2"/>
    </w:lvl>
  </w:abstractNum>
  <w:abstractNum w:abstractNumId="71">
    <w:nsid w:val="7BD3EE7B"/>
    <w:multiLevelType w:val="hybridMultilevel"/>
    <w:lvl w:ilvl="0">
      <w:lvlJc w:val="left"/>
      <w:lvlText w:val="%1."/>
      <w:numFmt w:val="decimal"/>
      <w:start w:val="2"/>
    </w:lvl>
  </w:abstractNum>
  <w:abstractNum w:abstractNumId="72">
    <w:nsid w:val="51D9C564"/>
    <w:multiLevelType w:val="hybridMultilevel"/>
    <w:lvl w:ilvl="0">
      <w:lvlJc w:val="left"/>
      <w:lvlText w:val="%1."/>
      <w:numFmt w:val="decimal"/>
      <w:start w:val="3"/>
    </w:lvl>
  </w:abstractNum>
  <w:abstractNum w:abstractNumId="73">
    <w:nsid w:val="613EFDC5"/>
    <w:multiLevelType w:val="hybridMultilevel"/>
    <w:lvl w:ilvl="0">
      <w:lvlJc w:val="left"/>
      <w:lvlText w:val="%1."/>
      <w:numFmt w:val="decimal"/>
      <w:start w:val="4"/>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2024-07-03T06:30:15Z</dcterms:created>
  <dcterms:modified xsi:type="dcterms:W3CDTF">2024-07-03T06:30:15Z</dcterms:modified>
</cp:coreProperties>
</file>